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data-protection-policy---clear-minds"/>
    <w:p>
      <w:pPr>
        <w:pStyle w:val="Heading1"/>
      </w:pPr>
      <w:r>
        <w:t xml:space="preserve">Data Protection Policy - Clear Minds</w:t>
      </w:r>
    </w:p>
    <w:p>
      <w:pPr>
        <w:pStyle w:val="FirstParagraph"/>
      </w:pPr>
      <w:r>
        <w:rPr>
          <w:b/>
          <w:bCs/>
        </w:rPr>
        <w:t xml:space="preserve">Policy Owner</w:t>
      </w:r>
      <w:r>
        <w:t xml:space="preserve">: Data Protection Officer</w:t>
      </w:r>
      <w:r>
        <w:t xml:space="preserve"> </w:t>
      </w:r>
      <w:r>
        <w:rPr>
          <w:b/>
          <w:bCs/>
        </w:rPr>
        <w:t xml:space="preserve">Effective Date</w:t>
      </w:r>
      <w:r>
        <w:t xml:space="preserve">: [INSERT DATE]</w:t>
      </w:r>
      <w:r>
        <w:t xml:space="preserve"> </w:t>
      </w:r>
      <w:r>
        <w:rPr>
          <w:b/>
          <w:bCs/>
        </w:rPr>
        <w:t xml:space="preserve">Review Date</w:t>
      </w:r>
      <w:r>
        <w:t xml:space="preserve">: [ANNUAL REVIEW]</w:t>
      </w:r>
      <w:r>
        <w:t xml:space="preserve"> </w:t>
      </w:r>
      <w:r>
        <w:rPr>
          <w:b/>
          <w:bCs/>
        </w:rPr>
        <w:t xml:space="preserve">Version</w:t>
      </w:r>
      <w:r>
        <w:t xml:space="preserve">: 2.0 (Clear Minds Digital Platform)</w:t>
      </w:r>
      <w:r>
        <w:t xml:space="preserve"> </w:t>
      </w:r>
      <w:r>
        <w:rPr>
          <w:b/>
          <w:bCs/>
        </w:rPr>
        <w:t xml:space="preserve">Applies To</w:t>
      </w:r>
      <w:r>
        <w:t xml:space="preserve">: All Staff, Contractors &amp; Partners</w:t>
      </w:r>
    </w:p>
    <w:p>
      <w:r>
        <w:pict>
          <v:rect style="width:0;height:1.5pt" o:hralign="center" o:hrstd="t" o:hr="t"/>
        </w:pict>
      </w:r>
    </w:p>
    <w:bookmarkStart w:id="11" w:name="introduction-and-purpose"/>
    <w:p>
      <w:pPr>
        <w:pStyle w:val="Heading2"/>
      </w:pPr>
      <w:r>
        <w:t xml:space="preserve">1. Introduction and Purpose</w:t>
      </w:r>
    </w:p>
    <w:p>
      <w:pPr>
        <w:pStyle w:val="FirstParagraph"/>
      </w:pPr>
      <w:r>
        <w:t xml:space="preserve">Clear Minds is committed to protecting the privacy and security of personal data in accordance with the UK General Data Protection Regulation (UK GDPR), the Data Protection Act 2018, and all applicable data protection legislation.</w:t>
      </w:r>
    </w:p>
    <w:bookmarkStart w:id="9" w:name="what-clear-minds-does"/>
    <w:p>
      <w:pPr>
        <w:pStyle w:val="Heading3"/>
      </w:pPr>
      <w:r>
        <w:t xml:space="preserve">What Clear Minds Does</w:t>
      </w:r>
    </w:p>
    <w:p>
      <w:pPr>
        <w:pStyle w:val="FirstParagraph"/>
      </w:pPr>
      <w:r>
        <w:t xml:space="preserve">Clear Minds is a</w:t>
      </w:r>
      <w:r>
        <w:t xml:space="preserve"> </w:t>
      </w:r>
      <w:r>
        <w:rPr>
          <w:b/>
          <w:bCs/>
        </w:rPr>
        <w:t xml:space="preserve">digital wellness platform</w:t>
      </w:r>
      <w:r>
        <w:t xml:space="preserve"> </w:t>
      </w:r>
      <w:r>
        <w:t xml:space="preserve">offering:</w:t>
      </w:r>
      <w:r>
        <w:t xml:space="preserve"> </w:t>
      </w:r>
      <w:r>
        <w:t xml:space="preserve">- Self-directed hypnotherapy audio content</w:t>
      </w:r>
      <w:r>
        <w:t xml:space="preserve"> </w:t>
      </w:r>
      <w:r>
        <w:t xml:space="preserve">- Guided meditation and breathwork exercises</w:t>
      </w:r>
      <w:r>
        <w:t xml:space="preserve"> </w:t>
      </w:r>
      <w:r>
        <w:t xml:space="preserve">- Optional Facebook community support (moderated)</w:t>
      </w:r>
    </w:p>
    <w:bookmarkEnd w:id="9"/>
    <w:bookmarkStart w:id="10" w:name="what-clear-minds-does-not-do"/>
    <w:p>
      <w:pPr>
        <w:pStyle w:val="Heading3"/>
      </w:pPr>
      <w:r>
        <w:t xml:space="preserve">What Clear Minds Does NOT Do</w:t>
      </w:r>
    </w:p>
    <w:p>
      <w:pPr>
        <w:pStyle w:val="FirstParagraph"/>
      </w:pPr>
      <w:r>
        <w:t xml:space="preserve">✗ We do NOT provide medical or clinical services</w:t>
      </w:r>
      <w:r>
        <w:t xml:space="preserve"> </w:t>
      </w:r>
      <w:r>
        <w:t xml:space="preserve">✗ We do NOT collect health data or medical information</w:t>
      </w:r>
      <w:r>
        <w:t xml:space="preserve"> </w:t>
      </w:r>
      <w:r>
        <w:t xml:space="preserve">✗ We do NOT process special category health data</w:t>
      </w:r>
      <w:r>
        <w:t xml:space="preserve"> </w:t>
      </w:r>
      <w:r>
        <w:t xml:space="preserve">✗ We are NOT registered with the Care Quality Commission (CQC)</w:t>
      </w:r>
    </w:p>
    <w:p>
      <w:pPr>
        <w:pStyle w:val="BodyText"/>
      </w:pPr>
      <w:r>
        <w:rPr>
          <w:b/>
          <w:bCs/>
        </w:rPr>
        <w:t xml:space="preserve">For clinical services</w:t>
      </w:r>
      <w:r>
        <w:t xml:space="preserve">, users can be referred to our partner</w:t>
      </w:r>
      <w:r>
        <w:t xml:space="preserve"> </w:t>
      </w:r>
      <w:r>
        <w:rPr>
          <w:b/>
          <w:bCs/>
        </w:rPr>
        <w:t xml:space="preserve">Concierge Health</w:t>
      </w:r>
      <w:r>
        <w:t xml:space="preserve">, a separate CQC-registered provider with its own data protection framework.</w:t>
      </w:r>
    </w:p>
    <w:p>
      <w:r>
        <w:pict>
          <v:rect style="width:0;height:1.5pt" o:hralign="center" o:hrstd="t" o:hr="t"/>
        </w:pict>
      </w:r>
    </w:p>
    <w:bookmarkEnd w:id="10"/>
    <w:bookmarkEnd w:id="11"/>
    <w:bookmarkStart w:id="12" w:name="scope-and-application"/>
    <w:p>
      <w:pPr>
        <w:pStyle w:val="Heading2"/>
      </w:pPr>
      <w:r>
        <w:t xml:space="preserve">2. Scope and Application</w:t>
      </w:r>
    </w:p>
    <w:p>
      <w:pPr>
        <w:pStyle w:val="FirstParagraph"/>
      </w:pPr>
      <w:r>
        <w:t xml:space="preserve">This policy applies to:</w:t>
      </w:r>
    </w:p>
    <w:p>
      <w:pPr>
        <w:pStyle w:val="Compact"/>
        <w:numPr>
          <w:ilvl w:val="0"/>
          <w:numId w:val="1001"/>
        </w:numPr>
      </w:pPr>
      <w:r>
        <w:t xml:space="preserve">All personal data processed by Clear Minds</w:t>
      </w:r>
    </w:p>
    <w:p>
      <w:pPr>
        <w:pStyle w:val="Compact"/>
        <w:numPr>
          <w:ilvl w:val="0"/>
          <w:numId w:val="1001"/>
        </w:numPr>
      </w:pPr>
      <w:r>
        <w:t xml:space="preserve">All staff members, contractors, consultants, and temporary workers</w:t>
      </w:r>
    </w:p>
    <w:p>
      <w:pPr>
        <w:pStyle w:val="Compact"/>
        <w:numPr>
          <w:ilvl w:val="0"/>
          <w:numId w:val="1001"/>
        </w:numPr>
      </w:pPr>
      <w:r>
        <w:t xml:space="preserve">All data processing activities (digital platform, community, B2B services)</w:t>
      </w:r>
    </w:p>
    <w:p>
      <w:pPr>
        <w:pStyle w:val="Compact"/>
        <w:numPr>
          <w:ilvl w:val="0"/>
          <w:numId w:val="1001"/>
        </w:numPr>
      </w:pPr>
      <w:r>
        <w:t xml:space="preserve">All systems and platforms that process personal data</w:t>
      </w:r>
    </w:p>
    <w:p>
      <w:pPr>
        <w:pStyle w:val="Compact"/>
        <w:numPr>
          <w:ilvl w:val="0"/>
          <w:numId w:val="1001"/>
        </w:numPr>
      </w:pPr>
      <w:r>
        <w:t xml:space="preserve">All third parties who process personal data on our behalf</w:t>
      </w:r>
    </w:p>
    <w:p>
      <w:r>
        <w:pict>
          <v:rect style="width:0;height:1.5pt" o:hralign="center" o:hrstd="t" o:hr="t"/>
        </w:pict>
      </w:r>
    </w:p>
    <w:bookmarkEnd w:id="12"/>
    <w:bookmarkStart w:id="15" w:name="data-we-collect-minimal-by-design"/>
    <w:p>
      <w:pPr>
        <w:pStyle w:val="Heading2"/>
      </w:pPr>
      <w:r>
        <w:t xml:space="preserve">3. Data We Collect (Minimal by Design)</w:t>
      </w:r>
    </w:p>
    <w:p>
      <w:pPr>
        <w:pStyle w:val="FirstParagraph"/>
      </w:pPr>
      <w:r>
        <w:t xml:space="preserve">Clear Minds follows</w:t>
      </w:r>
      <w:r>
        <w:t xml:space="preserve"> </w:t>
      </w:r>
      <w:r>
        <w:rPr>
          <w:b/>
          <w:bCs/>
        </w:rPr>
        <w:t xml:space="preserve">data minimization</w:t>
      </w:r>
      <w:r>
        <w:t xml:space="preserve"> </w:t>
      </w:r>
      <w:r>
        <w:t xml:space="preserve">principles. We only collect what is necessary:</w:t>
      </w:r>
    </w:p>
    <w:bookmarkStart w:id="13" w:name="personal-data-we-collect"/>
    <w:p>
      <w:pPr>
        <w:pStyle w:val="Heading3"/>
      </w:pPr>
      <w:r>
        <w:t xml:space="preserve">3.1 Personal Data We Collect</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Data Type</w:t>
            </w:r>
          </w:p>
        </w:tc>
        <w:tc>
          <w:tcPr/>
          <w:p>
            <w:pPr>
              <w:pStyle w:val="Compact"/>
            </w:pPr>
            <w:r>
              <w:t xml:space="preserve">Purpose</w:t>
            </w:r>
          </w:p>
        </w:tc>
        <w:tc>
          <w:tcPr/>
          <w:p>
            <w:pPr>
              <w:pStyle w:val="Compact"/>
            </w:pPr>
            <w:r>
              <w:t xml:space="preserve">Legal Basis</w:t>
            </w:r>
          </w:p>
        </w:tc>
      </w:tr>
      <w:tr>
        <w:tc>
          <w:tcPr/>
          <w:p>
            <w:pPr>
              <w:pStyle w:val="Compact"/>
            </w:pPr>
            <w:r>
              <w:rPr>
                <w:b/>
                <w:bCs/>
              </w:rPr>
              <w:t xml:space="preserve">Name</w:t>
            </w:r>
          </w:p>
        </w:tc>
        <w:tc>
          <w:tcPr/>
          <w:p>
            <w:pPr>
              <w:pStyle w:val="Compact"/>
            </w:pPr>
            <w:r>
              <w:t xml:space="preserve">Account personalization</w:t>
            </w:r>
          </w:p>
        </w:tc>
        <w:tc>
          <w:tcPr/>
          <w:p>
            <w:pPr>
              <w:pStyle w:val="Compact"/>
            </w:pPr>
            <w:r>
              <w:t xml:space="preserve">Contract (Art 6(1)(b))</w:t>
            </w:r>
          </w:p>
        </w:tc>
      </w:tr>
      <w:tr>
        <w:tc>
          <w:tcPr/>
          <w:p>
            <w:pPr>
              <w:pStyle w:val="Compact"/>
            </w:pPr>
            <w:r>
              <w:rPr>
                <w:b/>
                <w:bCs/>
              </w:rPr>
              <w:t xml:space="preserve">Email Address</w:t>
            </w:r>
          </w:p>
        </w:tc>
        <w:tc>
          <w:tcPr/>
          <w:p>
            <w:pPr>
              <w:pStyle w:val="Compact"/>
            </w:pPr>
            <w:r>
              <w:t xml:space="preserve">Account access, service communications</w:t>
            </w:r>
          </w:p>
        </w:tc>
        <w:tc>
          <w:tcPr/>
          <w:p>
            <w:pPr>
              <w:pStyle w:val="Compact"/>
            </w:pPr>
            <w:r>
              <w:t xml:space="preserve">Contract (Art 6(1)(b))</w:t>
            </w:r>
          </w:p>
        </w:tc>
      </w:tr>
      <w:tr>
        <w:tc>
          <w:tcPr/>
          <w:p>
            <w:pPr>
              <w:pStyle w:val="Compact"/>
            </w:pPr>
            <w:r>
              <w:rPr>
                <w:b/>
                <w:bCs/>
              </w:rPr>
              <w:t xml:space="preserve">Listening History</w:t>
            </w:r>
          </w:p>
        </w:tc>
        <w:tc>
          <w:tcPr/>
          <w:p>
            <w:pPr>
              <w:pStyle w:val="Compact"/>
            </w:pPr>
            <w:r>
              <w:t xml:space="preserve">Service delivery, content recommendations</w:t>
            </w:r>
          </w:p>
        </w:tc>
        <w:tc>
          <w:tcPr/>
          <w:p>
            <w:pPr>
              <w:pStyle w:val="Compact"/>
            </w:pPr>
            <w:r>
              <w:t xml:space="preserve">Contract (Art 6(1)(b))</w:t>
            </w:r>
          </w:p>
        </w:tc>
      </w:tr>
      <w:tr>
        <w:tc>
          <w:tcPr/>
          <w:p>
            <w:pPr>
              <w:pStyle w:val="Compact"/>
            </w:pPr>
            <w:r>
              <w:rPr>
                <w:b/>
                <w:bCs/>
              </w:rPr>
              <w:t xml:space="preserve">Device/Platform Metadata</w:t>
            </w:r>
          </w:p>
        </w:tc>
        <w:tc>
          <w:tcPr/>
          <w:p>
            <w:pPr>
              <w:pStyle w:val="Compact"/>
            </w:pPr>
            <w:r>
              <w:t xml:space="preserve">Technical support, analytics</w:t>
            </w:r>
          </w:p>
        </w:tc>
        <w:tc>
          <w:tcPr/>
          <w:p>
            <w:pPr>
              <w:pStyle w:val="Compact"/>
            </w:pPr>
            <w:r>
              <w:t xml:space="preserve">Legitimate Interests (Art 6(1)(f))</w:t>
            </w:r>
          </w:p>
        </w:tc>
      </w:tr>
      <w:tr>
        <w:tc>
          <w:tcPr/>
          <w:p>
            <w:pPr>
              <w:pStyle w:val="Compact"/>
            </w:pPr>
            <w:r>
              <w:rPr>
                <w:b/>
                <w:bCs/>
              </w:rPr>
              <w:t xml:space="preserve">Employer Code (B2B only)</w:t>
            </w:r>
          </w:p>
        </w:tc>
        <w:tc>
          <w:tcPr/>
          <w:p>
            <w:pPr>
              <w:pStyle w:val="Compact"/>
            </w:pPr>
            <w:r>
              <w:t xml:space="preserve">Access validation (not shared back)</w:t>
            </w:r>
          </w:p>
        </w:tc>
        <w:tc>
          <w:tcPr/>
          <w:p>
            <w:pPr>
              <w:pStyle w:val="Compact"/>
            </w:pPr>
            <w:r>
              <w:t xml:space="preserve">Contract (Art 6(1)(b))</w:t>
            </w:r>
          </w:p>
        </w:tc>
      </w:tr>
    </w:tbl>
    <w:bookmarkEnd w:id="13"/>
    <w:bookmarkStart w:id="14" w:name="data-we-do-not-collect"/>
    <w:p>
      <w:pPr>
        <w:pStyle w:val="Heading3"/>
      </w:pPr>
      <w:r>
        <w:t xml:space="preserve">3.2 Data We DO NOT Collect</w:t>
      </w:r>
    </w:p>
    <w:p>
      <w:pPr>
        <w:pStyle w:val="FirstParagraph"/>
      </w:pPr>
      <w:r>
        <w:t xml:space="preserve">✗ Health conditions or symptoms</w:t>
      </w:r>
      <w:r>
        <w:t xml:space="preserve"> </w:t>
      </w:r>
      <w:r>
        <w:t xml:space="preserve">✗ Medical history or diagnoses</w:t>
      </w:r>
      <w:r>
        <w:t xml:space="preserve"> </w:t>
      </w:r>
      <w:r>
        <w:t xml:space="preserve">✗ Therapeutic assessments</w:t>
      </w:r>
      <w:r>
        <w:t xml:space="preserve"> </w:t>
      </w:r>
      <w:r>
        <w:t xml:space="preserve">✗ Payment card details (handled by Shopify/App Stores)</w:t>
      </w:r>
      <w:r>
        <w:t xml:space="preserve"> </w:t>
      </w:r>
      <w:r>
        <w:t xml:space="preserve">✗ National Insurance numbers, NHS numbers</w:t>
      </w:r>
      <w:r>
        <w:t xml:space="preserve"> </w:t>
      </w:r>
      <w:r>
        <w:t xml:space="preserve">✗ Precise location data</w:t>
      </w:r>
    </w:p>
    <w:p>
      <w:r>
        <w:pict>
          <v:rect style="width:0;height:1.5pt" o:hralign="center" o:hrstd="t" o:hr="t"/>
        </w:pict>
      </w:r>
    </w:p>
    <w:bookmarkEnd w:id="14"/>
    <w:bookmarkEnd w:id="15"/>
    <w:bookmarkStart w:id="17" w:name="data-classification"/>
    <w:p>
      <w:pPr>
        <w:pStyle w:val="Heading2"/>
      </w:pPr>
      <w:r>
        <w:t xml:space="preserve">4. Data Classification</w:t>
      </w:r>
    </w:p>
    <w:bookmarkStart w:id="16" w:name="X2644a0faa12e4cad756fb4449ce481b1269e4ad"/>
    <w:p>
      <w:pPr>
        <w:pStyle w:val="Heading3"/>
      </w:pPr>
      <w:r>
        <w:t xml:space="preserve">4.1 Listening History: Sensitive Personal Data (NOT Special Category)</w:t>
      </w:r>
    </w:p>
    <w:p>
      <w:pPr>
        <w:pStyle w:val="FirstParagraph"/>
      </w:pPr>
      <w:r>
        <w:rPr>
          <w:b/>
          <w:bCs/>
        </w:rPr>
        <w:t xml:space="preserve">Position:</w:t>
      </w:r>
      <w:r>
        <w:t xml:space="preserve"> </w:t>
      </w:r>
      <w:r>
        <w:t xml:space="preserve">Clear Minds listening history is classified as</w:t>
      </w:r>
      <w:r>
        <w:t xml:space="preserve"> </w:t>
      </w:r>
      <w:r>
        <w:rPr>
          <w:b/>
          <w:bCs/>
        </w:rPr>
        <w:t xml:space="preserve">sensitive personal data requiring enhanced protection</w:t>
      </w:r>
      <w:r>
        <w:t xml:space="preserve">, NOT special category health data under UK GDPR Article 9.</w:t>
      </w:r>
    </w:p>
    <w:p>
      <w:pPr>
        <w:pStyle w:val="BodyText"/>
      </w:pPr>
      <w:r>
        <w:rPr>
          <w:b/>
          <w:bCs/>
        </w:rPr>
        <w:t xml:space="preserve">Rationale:</w:t>
      </w:r>
      <w:r>
        <w:t xml:space="preserve"> </w:t>
      </w:r>
      <w:r>
        <w:t xml:space="preserve">- Following industry precedent (Headspace, Calm, Insight Timer, Spotify wellness content)</w:t>
      </w:r>
      <w:r>
        <w:t xml:space="preserve"> </w:t>
      </w:r>
      <w:r>
        <w:t xml:space="preserve">- Passive audio consumption without user-reported health information does not</w:t>
      </w:r>
      <w:r>
        <w:t xml:space="preserve"> </w:t>
      </w:r>
      <w:r>
        <w:t xml:space="preserve">“reveal health status”</w:t>
      </w:r>
      <w:r>
        <w:t xml:space="preserve"> </w:t>
      </w:r>
      <w:r>
        <w:t xml:space="preserve">under the legal definition</w:t>
      </w:r>
      <w:r>
        <w:t xml:space="preserve"> </w:t>
      </w:r>
      <w:r>
        <w:t xml:space="preserve">- Multiple non-health reasons exist for listening (curiosity, general wellness, testing for others)</w:t>
      </w:r>
    </w:p>
    <w:p>
      <w:pPr>
        <w:pStyle w:val="BodyText"/>
      </w:pPr>
      <w:r>
        <w:rPr>
          <w:b/>
          <w:bCs/>
        </w:rPr>
        <w:t xml:space="preserve">Approach:</w:t>
      </w:r>
      <w:r>
        <w:t xml:space="preserve"> </w:t>
      </w:r>
      <w:r>
        <w:t xml:space="preserve">Implement strong data protection</w:t>
      </w:r>
      <w:r>
        <w:t xml:space="preserve"> </w:t>
      </w:r>
      <w:r>
        <w:rPr>
          <w:b/>
          <w:bCs/>
        </w:rPr>
        <w:t xml:space="preserve">as if it were health data</w:t>
      </w:r>
      <w:r>
        <w:t xml:space="preserve">, without the overhead of special category requirements.</w:t>
      </w:r>
    </w:p>
    <w:p>
      <w:pPr>
        <w:pStyle w:val="BodyText"/>
      </w:pPr>
      <w:r>
        <w:rPr>
          <w:b/>
          <w:bCs/>
        </w:rPr>
        <w:t xml:space="preserve">Legal Basis:</w:t>
      </w:r>
      <w:r>
        <w:t xml:space="preserve"> </w:t>
      </w:r>
      <w:r>
        <w:t xml:space="preserve">-</w:t>
      </w:r>
      <w:r>
        <w:t xml:space="preserve"> </w:t>
      </w:r>
      <w:r>
        <w:rPr>
          <w:b/>
          <w:bCs/>
        </w:rPr>
        <w:t xml:space="preserve">Article 6(1)(b) - Contract:</w:t>
      </w:r>
      <w:r>
        <w:t xml:space="preserve"> </w:t>
      </w:r>
      <w:r>
        <w:t xml:space="preserve">Service delivery to users</w:t>
      </w:r>
      <w:r>
        <w:t xml:space="preserve"> </w:t>
      </w:r>
      <w:r>
        <w:t xml:space="preserve">-</w:t>
      </w:r>
      <w:r>
        <w:t xml:space="preserve"> </w:t>
      </w:r>
      <w:r>
        <w:rPr>
          <w:b/>
          <w:bCs/>
        </w:rPr>
        <w:t xml:space="preserve">Article 6(1)(f) - Legitimate Interests:</w:t>
      </w:r>
      <w:r>
        <w:t xml:space="preserve"> </w:t>
      </w:r>
      <w:r>
        <w:t xml:space="preserve">Service improvement, analytics</w:t>
      </w:r>
    </w:p>
    <w:p>
      <w:pPr>
        <w:pStyle w:val="BodyText"/>
      </w:pPr>
      <w:r>
        <w:rPr>
          <w:b/>
          <w:bCs/>
        </w:rPr>
        <w:t xml:space="preserve">Documentation:</w:t>
      </w:r>
      <w:r>
        <w:t xml:space="preserve"> </w:t>
      </w:r>
      <w:r>
        <w:t xml:space="preserve">See CDO Position Document (cdo_data_governance_position.md) for full reasoning and ICO accountability demonstration.</w:t>
      </w:r>
    </w:p>
    <w:p>
      <w:r>
        <w:pict>
          <v:rect style="width:0;height:1.5pt" o:hralign="center" o:hrstd="t" o:hr="t"/>
        </w:pict>
      </w:r>
    </w:p>
    <w:bookmarkEnd w:id="16"/>
    <w:bookmarkEnd w:id="17"/>
    <w:bookmarkStart w:id="25" w:name="data-protection-principles"/>
    <w:p>
      <w:pPr>
        <w:pStyle w:val="Heading2"/>
      </w:pPr>
      <w:r>
        <w:t xml:space="preserve">5. Data Protection Principles</w:t>
      </w:r>
    </w:p>
    <w:p>
      <w:pPr>
        <w:pStyle w:val="FirstParagraph"/>
      </w:pPr>
      <w:r>
        <w:t xml:space="preserve">We adhere to the seven key principles of UK GDPR:</w:t>
      </w:r>
    </w:p>
    <w:bookmarkStart w:id="18" w:name="lawfulness-fairness-and-transparency"/>
    <w:p>
      <w:pPr>
        <w:pStyle w:val="Heading3"/>
      </w:pPr>
      <w:r>
        <w:t xml:space="preserve">5.1 Lawfulness, Fairness, and Transparency</w:t>
      </w:r>
    </w:p>
    <w:p>
      <w:pPr>
        <w:pStyle w:val="Compact"/>
        <w:numPr>
          <w:ilvl w:val="0"/>
          <w:numId w:val="1002"/>
        </w:numPr>
      </w:pPr>
      <w:r>
        <w:t xml:space="preserve">We process personal data lawfully, fairly, and transparently</w:t>
      </w:r>
    </w:p>
    <w:p>
      <w:pPr>
        <w:pStyle w:val="Compact"/>
        <w:numPr>
          <w:ilvl w:val="0"/>
          <w:numId w:val="1002"/>
        </w:numPr>
      </w:pPr>
      <w:r>
        <w:t xml:space="preserve">Clear privacy notices explain what we collect and why</w:t>
      </w:r>
    </w:p>
    <w:p>
      <w:pPr>
        <w:pStyle w:val="Compact"/>
        <w:numPr>
          <w:ilvl w:val="0"/>
          <w:numId w:val="1002"/>
        </w:numPr>
      </w:pPr>
      <w:r>
        <w:t xml:space="preserve">Users understand their data usage before signing up</w:t>
      </w:r>
    </w:p>
    <w:bookmarkEnd w:id="18"/>
    <w:bookmarkStart w:id="19" w:name="purpose-limitation"/>
    <w:p>
      <w:pPr>
        <w:pStyle w:val="Heading3"/>
      </w:pPr>
      <w:r>
        <w:t xml:space="preserve">5.2 Purpose Limitation</w:t>
      </w:r>
    </w:p>
    <w:p>
      <w:pPr>
        <w:pStyle w:val="Compact"/>
        <w:numPr>
          <w:ilvl w:val="0"/>
          <w:numId w:val="1003"/>
        </w:numPr>
      </w:pPr>
      <w:r>
        <w:t xml:space="preserve">Data collected for specified, explicit, legitimate purposes only</w:t>
      </w:r>
    </w:p>
    <w:p>
      <w:pPr>
        <w:pStyle w:val="Compact"/>
        <w:numPr>
          <w:ilvl w:val="0"/>
          <w:numId w:val="1003"/>
        </w:numPr>
      </w:pPr>
      <w:r>
        <w:t xml:space="preserve">No processing incompatible with those purposes</w:t>
      </w:r>
    </w:p>
    <w:p>
      <w:pPr>
        <w:pStyle w:val="Compact"/>
        <w:numPr>
          <w:ilvl w:val="0"/>
          <w:numId w:val="1003"/>
        </w:numPr>
      </w:pPr>
      <w:r>
        <w:t xml:space="preserve">No</w:t>
      </w:r>
      <w:r>
        <w:t xml:space="preserve"> </w:t>
      </w:r>
      <w:r>
        <w:t xml:space="preserve">“mission creep”</w:t>
      </w:r>
      <w:r>
        <w:t xml:space="preserve"> </w:t>
      </w:r>
      <w:r>
        <w:t xml:space="preserve">- we stick to what we said</w:t>
      </w:r>
    </w:p>
    <w:bookmarkEnd w:id="19"/>
    <w:bookmarkStart w:id="20" w:name="data-minimisation"/>
    <w:p>
      <w:pPr>
        <w:pStyle w:val="Heading3"/>
      </w:pPr>
      <w:r>
        <w:t xml:space="preserve">5.3 Data Minimisation</w:t>
      </w:r>
    </w:p>
    <w:p>
      <w:pPr>
        <w:pStyle w:val="Compact"/>
        <w:numPr>
          <w:ilvl w:val="0"/>
          <w:numId w:val="1004"/>
        </w:numPr>
      </w:pPr>
      <w:r>
        <w:rPr>
          <w:b/>
          <w:bCs/>
        </w:rPr>
        <w:t xml:space="preserve">Name + email ONLY</w:t>
      </w:r>
      <w:r>
        <w:t xml:space="preserve"> </w:t>
      </w:r>
      <w:r>
        <w:t xml:space="preserve">for personal data</w:t>
      </w:r>
    </w:p>
    <w:p>
      <w:pPr>
        <w:pStyle w:val="Compact"/>
        <w:numPr>
          <w:ilvl w:val="0"/>
          <w:numId w:val="1004"/>
        </w:numPr>
      </w:pPr>
      <w:r>
        <w:t xml:space="preserve">Listening history for service delivery</w:t>
      </w:r>
    </w:p>
    <w:p>
      <w:pPr>
        <w:pStyle w:val="Compact"/>
        <w:numPr>
          <w:ilvl w:val="0"/>
          <w:numId w:val="1004"/>
        </w:numPr>
      </w:pPr>
      <w:r>
        <w:t xml:space="preserve">No unnecessary data collection</w:t>
      </w:r>
    </w:p>
    <w:bookmarkEnd w:id="20"/>
    <w:bookmarkStart w:id="21" w:name="accuracy"/>
    <w:p>
      <w:pPr>
        <w:pStyle w:val="Heading3"/>
      </w:pPr>
      <w:r>
        <w:t xml:space="preserve">5.4 Accuracy</w:t>
      </w:r>
    </w:p>
    <w:p>
      <w:pPr>
        <w:pStyle w:val="Compact"/>
        <w:numPr>
          <w:ilvl w:val="0"/>
          <w:numId w:val="1005"/>
        </w:numPr>
      </w:pPr>
      <w:r>
        <w:t xml:space="preserve">Users can update their name and email anytime</w:t>
      </w:r>
    </w:p>
    <w:p>
      <w:pPr>
        <w:pStyle w:val="Compact"/>
        <w:numPr>
          <w:ilvl w:val="0"/>
          <w:numId w:val="1005"/>
        </w:numPr>
      </w:pPr>
      <w:r>
        <w:t xml:space="preserve">Listening history automatically accurate (system-generated)</w:t>
      </w:r>
    </w:p>
    <w:p>
      <w:pPr>
        <w:pStyle w:val="Compact"/>
        <w:numPr>
          <w:ilvl w:val="0"/>
          <w:numId w:val="1005"/>
        </w:numPr>
      </w:pPr>
      <w:r>
        <w:t xml:space="preserve">Incorrect data rectified within 7 days of notification</w:t>
      </w:r>
    </w:p>
    <w:bookmarkEnd w:id="21"/>
    <w:bookmarkStart w:id="22" w:name="storage-limitation"/>
    <w:p>
      <w:pPr>
        <w:pStyle w:val="Heading3"/>
      </w:pPr>
      <w:r>
        <w:t xml:space="preserve">5.5 Storage Limitation</w:t>
      </w:r>
    </w:p>
    <w:p>
      <w:pPr>
        <w:pStyle w:val="Compact"/>
        <w:numPr>
          <w:ilvl w:val="0"/>
          <w:numId w:val="1006"/>
        </w:numPr>
      </w:pPr>
      <w:r>
        <w:t xml:space="preserve">Active account + 12 months post-inactivity</w:t>
      </w:r>
    </w:p>
    <w:p>
      <w:pPr>
        <w:pStyle w:val="Compact"/>
        <w:numPr>
          <w:ilvl w:val="0"/>
          <w:numId w:val="1006"/>
        </w:numPr>
      </w:pPr>
      <w:r>
        <w:t xml:space="preserve">Automated deletion with 30-day warning</w:t>
      </w:r>
    </w:p>
    <w:p>
      <w:pPr>
        <w:pStyle w:val="Compact"/>
        <w:numPr>
          <w:ilvl w:val="0"/>
          <w:numId w:val="1006"/>
        </w:numPr>
      </w:pPr>
      <w:r>
        <w:t xml:space="preserve">User-requested deletion within 7 days</w:t>
      </w:r>
    </w:p>
    <w:bookmarkEnd w:id="22"/>
    <w:bookmarkStart w:id="23" w:name="integrity-and-confidentiality-security"/>
    <w:p>
      <w:pPr>
        <w:pStyle w:val="Heading3"/>
      </w:pPr>
      <w:r>
        <w:t xml:space="preserve">5.6 Integrity and Confidentiality (Security)</w:t>
      </w:r>
    </w:p>
    <w:p>
      <w:pPr>
        <w:pStyle w:val="Compact"/>
        <w:numPr>
          <w:ilvl w:val="0"/>
          <w:numId w:val="1007"/>
        </w:numPr>
      </w:pPr>
      <w:r>
        <w:t xml:space="preserve">Encryption in transit (TLS 1.3) and at rest (AES-256)</w:t>
      </w:r>
    </w:p>
    <w:p>
      <w:pPr>
        <w:pStyle w:val="Compact"/>
        <w:numPr>
          <w:ilvl w:val="0"/>
          <w:numId w:val="1007"/>
        </w:numPr>
      </w:pPr>
      <w:r>
        <w:t xml:space="preserve">Access controls, MFA, Cyber Essentials Plus certified</w:t>
      </w:r>
    </w:p>
    <w:p>
      <w:pPr>
        <w:pStyle w:val="Compact"/>
        <w:numPr>
          <w:ilvl w:val="0"/>
          <w:numId w:val="1007"/>
        </w:numPr>
      </w:pPr>
      <w:r>
        <w:t xml:space="preserve">Annual penetration testing</w:t>
      </w:r>
    </w:p>
    <w:p>
      <w:pPr>
        <w:pStyle w:val="Compact"/>
        <w:numPr>
          <w:ilvl w:val="0"/>
          <w:numId w:val="1007"/>
        </w:numPr>
      </w:pPr>
      <w:r>
        <w:t xml:space="preserve">Security-first design</w:t>
      </w:r>
    </w:p>
    <w:bookmarkEnd w:id="23"/>
    <w:bookmarkStart w:id="24" w:name="accountability"/>
    <w:p>
      <w:pPr>
        <w:pStyle w:val="Heading3"/>
      </w:pPr>
      <w:r>
        <w:t xml:space="preserve">5.7 Accountability</w:t>
      </w:r>
    </w:p>
    <w:p>
      <w:pPr>
        <w:pStyle w:val="Compact"/>
        <w:numPr>
          <w:ilvl w:val="0"/>
          <w:numId w:val="1008"/>
        </w:numPr>
      </w:pPr>
      <w:r>
        <w:t xml:space="preserve">This policy, DPIA, ROPA documented</w:t>
      </w:r>
    </w:p>
    <w:p>
      <w:pPr>
        <w:pStyle w:val="Compact"/>
        <w:numPr>
          <w:ilvl w:val="0"/>
          <w:numId w:val="1008"/>
        </w:numPr>
      </w:pPr>
      <w:r>
        <w:t xml:space="preserve">Annual reviews and audits</w:t>
      </w:r>
    </w:p>
    <w:p>
      <w:pPr>
        <w:pStyle w:val="Compact"/>
        <w:numPr>
          <w:ilvl w:val="0"/>
          <w:numId w:val="1008"/>
        </w:numPr>
      </w:pPr>
      <w:r>
        <w:t xml:space="preserve">Staff training records maintained</w:t>
      </w:r>
    </w:p>
    <w:p>
      <w:pPr>
        <w:pStyle w:val="Compact"/>
        <w:numPr>
          <w:ilvl w:val="0"/>
          <w:numId w:val="1008"/>
        </w:numPr>
      </w:pPr>
      <w:r>
        <w:t xml:space="preserve">Breach log (even if not reportable)</w:t>
      </w:r>
    </w:p>
    <w:p>
      <w:r>
        <w:pict>
          <v:rect style="width:0;height:1.5pt" o:hralign="center" o:hrstd="t" o:hr="t"/>
        </w:pict>
      </w:r>
    </w:p>
    <w:bookmarkEnd w:id="24"/>
    <w:bookmarkEnd w:id="25"/>
    <w:bookmarkStart w:id="28" w:name="lawful-basis-for-processing"/>
    <w:p>
      <w:pPr>
        <w:pStyle w:val="Heading2"/>
      </w:pPr>
      <w:r>
        <w:t xml:space="preserve">6. Lawful Basis for Processing</w:t>
      </w:r>
    </w:p>
    <w:bookmarkStart w:id="26" w:name="X7ea75394ce2469e377afbef4fcd9f5f4ca4ad83"/>
    <w:p>
      <w:pPr>
        <w:pStyle w:val="Heading3"/>
      </w:pPr>
      <w:r>
        <w:t xml:space="preserve">6.1 Standard Personal Data (Name, Email, Listening History)</w:t>
      </w:r>
    </w:p>
    <w:p>
      <w:pPr>
        <w:pStyle w:val="FirstParagraph"/>
      </w:pPr>
      <w:r>
        <w:rPr>
          <w:b/>
          <w:bCs/>
        </w:rPr>
        <w:t xml:space="preserve">Primary Basis: Contract (Article 6(1)(b))</w:t>
      </w:r>
      <w:r>
        <w:t xml:space="preserve"> </w:t>
      </w:r>
      <w:r>
        <w:t xml:space="preserve">- Processing necessary for performance of the service contract</w:t>
      </w:r>
      <w:r>
        <w:t xml:space="preserve"> </w:t>
      </w:r>
      <w:r>
        <w:t xml:space="preserve">- Users subscribe to receive hypnotherapy audio content</w:t>
      </w:r>
      <w:r>
        <w:t xml:space="preserve"> </w:t>
      </w:r>
      <w:r>
        <w:t xml:space="preserve">- We need name/email to deliver the service</w:t>
      </w:r>
    </w:p>
    <w:p>
      <w:pPr>
        <w:pStyle w:val="BodyText"/>
      </w:pPr>
      <w:r>
        <w:rPr>
          <w:b/>
          <w:bCs/>
        </w:rPr>
        <w:t xml:space="preserve">Secondary Basis: Legitimate Interests (Article 6(1)(f))</w:t>
      </w:r>
      <w:r>
        <w:t xml:space="preserve"> </w:t>
      </w:r>
      <w:r>
        <w:t xml:space="preserve">- Service improvement and analytics</w:t>
      </w:r>
      <w:r>
        <w:t xml:space="preserve"> </w:t>
      </w:r>
      <w:r>
        <w:t xml:space="preserve">- Understanding which content is popular</w:t>
      </w:r>
      <w:r>
        <w:t xml:space="preserve"> </w:t>
      </w:r>
      <w:r>
        <w:t xml:space="preserve">- Not overridden by individuals’ rights (low-risk data)</w:t>
      </w:r>
    </w:p>
    <w:bookmarkEnd w:id="26"/>
    <w:bookmarkStart w:id="27" w:name="not-processing-special-category-data"/>
    <w:p>
      <w:pPr>
        <w:pStyle w:val="Heading3"/>
      </w:pPr>
      <w:r>
        <w:t xml:space="preserve">6.2 NOT Processing Special Category Data</w:t>
      </w:r>
    </w:p>
    <w:p>
      <w:pPr>
        <w:pStyle w:val="FirstParagraph"/>
      </w:pPr>
      <w:r>
        <w:t xml:space="preserve">Clear Minds does NOT process special category data (Article 9), therefore we do NOT require:</w:t>
      </w:r>
      <w:r>
        <w:t xml:space="preserve"> </w:t>
      </w:r>
      <w:r>
        <w:t xml:space="preserve">- Explicit consent for health data processing</w:t>
      </w:r>
      <w:r>
        <w:t xml:space="preserve"> </w:t>
      </w:r>
      <w:r>
        <w:t xml:space="preserve">- Article 9 conditions (health/social care, etc.)</w:t>
      </w:r>
      <w:r>
        <w:t xml:space="preserve"> </w:t>
      </w:r>
      <w:r>
        <w:t xml:space="preserve">- Appropriate Policy Document (APD)</w:t>
      </w:r>
    </w:p>
    <w:p>
      <w:pPr>
        <w:pStyle w:val="BodyText"/>
      </w:pPr>
      <w:r>
        <w:rPr>
          <w:b/>
          <w:bCs/>
        </w:rPr>
        <w:t xml:space="preserve">However:</w:t>
      </w:r>
      <w:r>
        <w:t xml:space="preserve"> </w:t>
      </w:r>
      <w:r>
        <w:t xml:space="preserve">We implement health-data-level security as best practice and competitive advantage.</w:t>
      </w:r>
    </w:p>
    <w:p>
      <w:r>
        <w:pict>
          <v:rect style="width:0;height:1.5pt" o:hralign="center" o:hrstd="t" o:hr="t"/>
        </w:pict>
      </w:r>
    </w:p>
    <w:bookmarkEnd w:id="27"/>
    <w:bookmarkEnd w:id="28"/>
    <w:bookmarkStart w:id="37" w:name="data-subject-rights"/>
    <w:p>
      <w:pPr>
        <w:pStyle w:val="Heading2"/>
      </w:pPr>
      <w:r>
        <w:t xml:space="preserve">7. Data Subject Rights</w:t>
      </w:r>
    </w:p>
    <w:p>
      <w:pPr>
        <w:pStyle w:val="FirstParagraph"/>
      </w:pPr>
      <w:r>
        <w:t xml:space="preserve">Individuals have the following rights under UK GDPR:</w:t>
      </w:r>
    </w:p>
    <w:bookmarkStart w:id="29" w:name="right-to-be-informed"/>
    <w:p>
      <w:pPr>
        <w:pStyle w:val="Heading3"/>
      </w:pPr>
      <w:r>
        <w:t xml:space="preserve">7.1 Right to be Informed</w:t>
      </w:r>
    </w:p>
    <w:p>
      <w:pPr>
        <w:pStyle w:val="FirstParagraph"/>
      </w:pPr>
      <w:r>
        <w:rPr>
          <w:b/>
          <w:bCs/>
        </w:rPr>
        <w:t xml:space="preserve">How we comply:</w:t>
      </w:r>
      <w:r>
        <w:t xml:space="preserve"> </w:t>
      </w:r>
      <w:r>
        <w:t xml:space="preserve">Privacy Policy, in-app privacy notices, clear communications</w:t>
      </w:r>
    </w:p>
    <w:bookmarkEnd w:id="29"/>
    <w:bookmarkStart w:id="30" w:name="right-of-access-subject-access-request"/>
    <w:p>
      <w:pPr>
        <w:pStyle w:val="Heading3"/>
      </w:pPr>
      <w:r>
        <w:t xml:space="preserve">7.2 Right of Access (Subject Access Request)</w:t>
      </w:r>
    </w:p>
    <w:p>
      <w:pPr>
        <w:pStyle w:val="FirstParagraph"/>
      </w:pPr>
      <w:r>
        <w:rPr>
          <w:b/>
          <w:bCs/>
        </w:rPr>
        <w:t xml:space="preserve">How we comply:</w:t>
      </w:r>
      <w:r>
        <w:t xml:space="preserve"> </w:t>
      </w:r>
      <w:r>
        <w:t xml:space="preserve">- Respond within 1 month (free of charge)</w:t>
      </w:r>
      <w:r>
        <w:t xml:space="preserve"> </w:t>
      </w:r>
      <w:r>
        <w:t xml:space="preserve">- Provide: Name, email, listening history, account creation date</w:t>
      </w:r>
      <w:r>
        <w:t xml:space="preserve"> </w:t>
      </w:r>
      <w:r>
        <w:t xml:space="preserve">- Format: PDF or CSV (user’s choice)</w:t>
      </w:r>
    </w:p>
    <w:p>
      <w:pPr>
        <w:pStyle w:val="BodyText"/>
      </w:pPr>
      <w:r>
        <w:rPr>
          <w:b/>
          <w:bCs/>
        </w:rPr>
        <w:t xml:space="preserve">Process:</w:t>
      </w:r>
      <w:r>
        <w:t xml:space="preserve"> </w:t>
      </w:r>
      <w:r>
        <w:t xml:space="preserve">Email privacy@clearminds.com → Identity verification → Data export → Response</w:t>
      </w:r>
    </w:p>
    <w:bookmarkEnd w:id="30"/>
    <w:bookmarkStart w:id="31" w:name="right-to-rectification"/>
    <w:p>
      <w:pPr>
        <w:pStyle w:val="Heading3"/>
      </w:pPr>
      <w:r>
        <w:t xml:space="preserve">7.3 Right to Rectification</w:t>
      </w:r>
    </w:p>
    <w:p>
      <w:pPr>
        <w:pStyle w:val="FirstParagraph"/>
      </w:pPr>
      <w:r>
        <w:rPr>
          <w:b/>
          <w:bCs/>
        </w:rPr>
        <w:t xml:space="preserve">How we comply:</w:t>
      </w:r>
      <w:r>
        <w:t xml:space="preserve"> </w:t>
      </w:r>
      <w:r>
        <w:t xml:space="preserve">- Users can update name/email in account settings</w:t>
      </w:r>
      <w:r>
        <w:t xml:space="preserve"> </w:t>
      </w:r>
      <w:r>
        <w:t xml:space="preserve">- Or email privacy@clearminds.com</w:t>
      </w:r>
      <w:r>
        <w:t xml:space="preserve"> </w:t>
      </w:r>
      <w:r>
        <w:t xml:space="preserve">- Updates within 7 days</w:t>
      </w:r>
    </w:p>
    <w:bookmarkEnd w:id="31"/>
    <w:bookmarkStart w:id="32" w:name="right-to-erasure-right-to-be-forgotten"/>
    <w:p>
      <w:pPr>
        <w:pStyle w:val="Heading3"/>
      </w:pPr>
      <w:r>
        <w:t xml:space="preserve">7.4 Right to Erasure (</w:t>
      </w:r>
      <w:r>
        <w:t xml:space="preserve">‘Right to be Forgotten’</w:t>
      </w:r>
      <w:r>
        <w:t xml:space="preserve">)</w:t>
      </w:r>
    </w:p>
    <w:p>
      <w:pPr>
        <w:pStyle w:val="FirstParagraph"/>
      </w:pPr>
      <w:r>
        <w:rPr>
          <w:b/>
          <w:bCs/>
        </w:rPr>
        <w:t xml:space="preserve">How we comply:</w:t>
      </w:r>
      <w:r>
        <w:t xml:space="preserve"> </w:t>
      </w:r>
      <w:r>
        <w:t xml:space="preserve">- Users can delete account in app settings</w:t>
      </w:r>
      <w:r>
        <w:t xml:space="preserve"> </w:t>
      </w:r>
      <w:r>
        <w:t xml:space="preserve">- Or email privacy@clearminds.com</w:t>
      </w:r>
      <w:r>
        <w:t xml:space="preserve"> </w:t>
      </w:r>
      <w:r>
        <w:t xml:space="preserve">- Full deletion within 7 days (live systems) + backups naturally expire (90 days)</w:t>
      </w:r>
    </w:p>
    <w:p>
      <w:pPr>
        <w:pStyle w:val="BodyText"/>
      </w:pPr>
      <w:r>
        <w:rPr>
          <w:b/>
          <w:bCs/>
        </w:rPr>
        <w:t xml:space="preserve">No retention exceptions:</w:t>
      </w:r>
      <w:r>
        <w:t xml:space="preserve"> </w:t>
      </w:r>
      <w:r>
        <w:t xml:space="preserve">We don’t need to retain data for legal/regulatory reasons (no clinical records, no legal obligations)</w:t>
      </w:r>
    </w:p>
    <w:bookmarkEnd w:id="32"/>
    <w:bookmarkStart w:id="33" w:name="right-to-restrict-processing"/>
    <w:p>
      <w:pPr>
        <w:pStyle w:val="Heading3"/>
      </w:pPr>
      <w:r>
        <w:t xml:space="preserve">7.5 Right to Restrict Processing</w:t>
      </w:r>
    </w:p>
    <w:p>
      <w:pPr>
        <w:pStyle w:val="FirstParagraph"/>
      </w:pPr>
      <w:r>
        <w:rPr>
          <w:b/>
          <w:bCs/>
        </w:rPr>
        <w:t xml:space="preserve">How we comply:</w:t>
      </w:r>
      <w:r>
        <w:t xml:space="preserve"> </w:t>
      </w:r>
      <w:r>
        <w:t xml:space="preserve">- Mark account as</w:t>
      </w:r>
      <w:r>
        <w:t xml:space="preserve"> </w:t>
      </w:r>
      <w:r>
        <w:t xml:space="preserve">“restricted”</w:t>
      </w:r>
      <w:r>
        <w:t xml:space="preserve"> </w:t>
      </w:r>
      <w:r>
        <w:t xml:space="preserve">while processing dispute</w:t>
      </w:r>
      <w:r>
        <w:t xml:space="preserve"> </w:t>
      </w:r>
      <w:r>
        <w:t xml:space="preserve">- No marketing communications</w:t>
      </w:r>
      <w:r>
        <w:t xml:space="preserve"> </w:t>
      </w:r>
      <w:r>
        <w:t xml:space="preserve">- Data retained but not used</w:t>
      </w:r>
    </w:p>
    <w:bookmarkEnd w:id="33"/>
    <w:bookmarkStart w:id="34" w:name="right-to-data-portability"/>
    <w:p>
      <w:pPr>
        <w:pStyle w:val="Heading3"/>
      </w:pPr>
      <w:r>
        <w:t xml:space="preserve">7.6 Right to Data Portability</w:t>
      </w:r>
    </w:p>
    <w:p>
      <w:pPr>
        <w:pStyle w:val="FirstParagraph"/>
      </w:pPr>
      <w:r>
        <w:rPr>
          <w:b/>
          <w:bCs/>
        </w:rPr>
        <w:t xml:space="preserve">How we comply:</w:t>
      </w:r>
      <w:r>
        <w:t xml:space="preserve"> </w:t>
      </w:r>
      <w:r>
        <w:t xml:space="preserve">- Provide data in CSV or JSON format</w:t>
      </w:r>
      <w:r>
        <w:t xml:space="preserve"> </w:t>
      </w:r>
      <w:r>
        <w:t xml:space="preserve">- Within 1 month of request</w:t>
      </w:r>
      <w:r>
        <w:t xml:space="preserve"> </w:t>
      </w:r>
      <w:r>
        <w:t xml:space="preserve">- Includes: Name, email, listening history with timestamps</w:t>
      </w:r>
    </w:p>
    <w:bookmarkEnd w:id="34"/>
    <w:bookmarkStart w:id="35" w:name="right-to-object"/>
    <w:p>
      <w:pPr>
        <w:pStyle w:val="Heading3"/>
      </w:pPr>
      <w:r>
        <w:t xml:space="preserve">7.7 Right to Object</w:t>
      </w:r>
    </w:p>
    <w:p>
      <w:pPr>
        <w:pStyle w:val="FirstParagraph"/>
      </w:pPr>
      <w:r>
        <w:rPr>
          <w:b/>
          <w:bCs/>
        </w:rPr>
        <w:t xml:space="preserve">How we comply:</w:t>
      </w:r>
      <w:r>
        <w:t xml:space="preserve"> </w:t>
      </w:r>
      <w:r>
        <w:t xml:space="preserve">- Users can object to legitimate interests processing</w:t>
      </w:r>
      <w:r>
        <w:t xml:space="preserve"> </w:t>
      </w:r>
      <w:r>
        <w:t xml:space="preserve">- Stop marketing emails (unsubscribe)</w:t>
      </w:r>
      <w:r>
        <w:t xml:space="preserve"> </w:t>
      </w:r>
      <w:r>
        <w:t xml:space="preserve">- Delete account if they object to service delivery processing</w:t>
      </w:r>
    </w:p>
    <w:bookmarkEnd w:id="35"/>
    <w:bookmarkStart w:id="36" w:name="Xa39c500a4cd0be6a69dad1a398d124f70bbddef"/>
    <w:p>
      <w:pPr>
        <w:pStyle w:val="Heading3"/>
      </w:pPr>
      <w:r>
        <w:t xml:space="preserve">7.8 Rights Related to Automated Decision-Making</w:t>
      </w:r>
    </w:p>
    <w:p>
      <w:pPr>
        <w:pStyle w:val="FirstParagraph"/>
      </w:pPr>
      <w:r>
        <w:rPr>
          <w:b/>
          <w:bCs/>
        </w:rPr>
        <w:t xml:space="preserve">Not applicable:</w:t>
      </w:r>
      <w:r>
        <w:t xml:space="preserve"> </w:t>
      </w:r>
      <w:r>
        <w:t xml:space="preserve">We do not use fully automated decision-making or profiling</w:t>
      </w:r>
    </w:p>
    <w:p>
      <w:pPr>
        <w:pStyle w:val="BodyText"/>
      </w:pPr>
      <w:r>
        <w:rPr>
          <w:b/>
          <w:bCs/>
        </w:rPr>
        <w:t xml:space="preserve">Exercising Rights:</w:t>
      </w:r>
      <w:r>
        <w:t xml:space="preserve"> </w:t>
      </w:r>
      <w:r>
        <w:t xml:space="preserve">Contact privacy@clearminds.com or dpo@clearminds.com</w:t>
      </w:r>
    </w:p>
    <w:p>
      <w:r>
        <w:pict>
          <v:rect style="width:0;height:1.5pt" o:hralign="center" o:hrstd="t" o:hr="t"/>
        </w:pict>
      </w:r>
    </w:p>
    <w:bookmarkEnd w:id="36"/>
    <w:bookmarkEnd w:id="37"/>
    <w:bookmarkStart w:id="40" w:name="consent-where-applicable"/>
    <w:p>
      <w:pPr>
        <w:pStyle w:val="Heading2"/>
      </w:pPr>
      <w:r>
        <w:t xml:space="preserve">8. Consent (Where Applicable)</w:t>
      </w:r>
    </w:p>
    <w:p>
      <w:pPr>
        <w:pStyle w:val="FirstParagraph"/>
      </w:pPr>
      <w:r>
        <w:t xml:space="preserve">Clear Minds primarily relies on</w:t>
      </w:r>
      <w:r>
        <w:t xml:space="preserve"> </w:t>
      </w:r>
      <w:r>
        <w:rPr>
          <w:b/>
          <w:bCs/>
        </w:rPr>
        <w:t xml:space="preserve">Contract</w:t>
      </w:r>
      <w:r>
        <w:t xml:space="preserve"> </w:t>
      </w:r>
      <w:r>
        <w:t xml:space="preserve">as legal basis, not consent. However:</w:t>
      </w:r>
    </w:p>
    <w:bookmarkStart w:id="38" w:name="where-we-use-consent"/>
    <w:p>
      <w:pPr>
        <w:pStyle w:val="Heading3"/>
      </w:pPr>
      <w:r>
        <w:t xml:space="preserve">8.1 Where We Use Consent</w:t>
      </w:r>
    </w:p>
    <w:p>
      <w:pPr>
        <w:pStyle w:val="Compact"/>
        <w:numPr>
          <w:ilvl w:val="0"/>
          <w:numId w:val="1009"/>
        </w:numPr>
      </w:pPr>
      <w:r>
        <w:t xml:space="preserve">Marketing emails (opt-in at registration, can unsubscribe)</w:t>
      </w:r>
    </w:p>
    <w:p>
      <w:pPr>
        <w:pStyle w:val="Compact"/>
        <w:numPr>
          <w:ilvl w:val="0"/>
          <w:numId w:val="1009"/>
        </w:numPr>
      </w:pPr>
      <w:r>
        <w:t xml:space="preserve">Cookies (cookie consent banner)</w:t>
      </w:r>
    </w:p>
    <w:p>
      <w:pPr>
        <w:pStyle w:val="Compact"/>
        <w:numPr>
          <w:ilvl w:val="0"/>
          <w:numId w:val="1009"/>
        </w:numPr>
      </w:pPr>
      <w:r>
        <w:t xml:space="preserve">Facebook community participation (separate consent via Facebook Terms)</w:t>
      </w:r>
    </w:p>
    <w:p>
      <w:pPr>
        <w:pStyle w:val="Compact"/>
        <w:numPr>
          <w:ilvl w:val="0"/>
          <w:numId w:val="1009"/>
        </w:numPr>
      </w:pPr>
      <w:r>
        <w:t xml:space="preserve">Referral to Concierge Health (explicit, separate consent)</w:t>
      </w:r>
    </w:p>
    <w:bookmarkEnd w:id="38"/>
    <w:bookmarkStart w:id="39" w:name="consent-standards"/>
    <w:p>
      <w:pPr>
        <w:pStyle w:val="Heading3"/>
      </w:pPr>
      <w:r>
        <w:t xml:space="preserve">8.2 Consent Standards</w:t>
      </w:r>
    </w:p>
    <w:p>
      <w:pPr>
        <w:pStyle w:val="FirstParagraph"/>
      </w:pPr>
      <w:r>
        <w:t xml:space="preserve">When we do use consent:</w:t>
      </w:r>
      <w:r>
        <w:t xml:space="preserve"> </w:t>
      </w:r>
      <w:r>
        <w:t xml:space="preserve">-</w:t>
      </w:r>
      <w:r>
        <w:t xml:space="preserve"> </w:t>
      </w:r>
      <w:r>
        <w:rPr>
          <w:b/>
          <w:bCs/>
        </w:rPr>
        <w:t xml:space="preserve">Freely given:</w:t>
      </w:r>
      <w:r>
        <w:t xml:space="preserve"> </w:t>
      </w:r>
      <w:r>
        <w:t xml:space="preserve">Not conditional on service access</w:t>
      </w:r>
      <w:r>
        <w:t xml:space="preserve"> </w:t>
      </w:r>
      <w:r>
        <w:t xml:space="preserve">-</w:t>
      </w:r>
      <w:r>
        <w:t xml:space="preserve"> </w:t>
      </w:r>
      <w:r>
        <w:rPr>
          <w:b/>
          <w:bCs/>
        </w:rPr>
        <w:t xml:space="preserve">Specific:</w:t>
      </w:r>
      <w:r>
        <w:t xml:space="preserve"> </w:t>
      </w:r>
      <w:r>
        <w:t xml:space="preserve">Separate consent for different purposes</w:t>
      </w:r>
      <w:r>
        <w:t xml:space="preserve"> </w:t>
      </w:r>
      <w:r>
        <w:t xml:space="preserve">-</w:t>
      </w:r>
      <w:r>
        <w:t xml:space="preserve"> </w:t>
      </w:r>
      <w:r>
        <w:rPr>
          <w:b/>
          <w:bCs/>
        </w:rPr>
        <w:t xml:space="preserve">Informed:</w:t>
      </w:r>
      <w:r>
        <w:t xml:space="preserve"> </w:t>
      </w:r>
      <w:r>
        <w:t xml:space="preserve">Clear explanation provided</w:t>
      </w:r>
      <w:r>
        <w:t xml:space="preserve"> </w:t>
      </w:r>
      <w:r>
        <w:t xml:space="preserve">-</w:t>
      </w:r>
      <w:r>
        <w:t xml:space="preserve"> </w:t>
      </w:r>
      <w:r>
        <w:rPr>
          <w:b/>
          <w:bCs/>
        </w:rPr>
        <w:t xml:space="preserve">Unambiguous:</w:t>
      </w:r>
      <w:r>
        <w:t xml:space="preserve"> </w:t>
      </w:r>
      <w:r>
        <w:t xml:space="preserve">Clear affirmative action (not pre-ticked boxes)</w:t>
      </w:r>
      <w:r>
        <w:t xml:space="preserve"> </w:t>
      </w:r>
      <w:r>
        <w:t xml:space="preserve">-</w:t>
      </w:r>
      <w:r>
        <w:t xml:space="preserve"> </w:t>
      </w:r>
      <w:r>
        <w:rPr>
          <w:b/>
          <w:bCs/>
        </w:rPr>
        <w:t xml:space="preserve">Withdrawable:</w:t>
      </w:r>
      <w:r>
        <w:t xml:space="preserve"> </w:t>
      </w:r>
      <w:r>
        <w:t xml:space="preserve">Easy to withdraw at any time</w:t>
      </w:r>
    </w:p>
    <w:p>
      <w:r>
        <w:pict>
          <v:rect style="width:0;height:1.5pt" o:hralign="center" o:hrstd="t" o:hr="t"/>
        </w:pict>
      </w:r>
    </w:p>
    <w:bookmarkEnd w:id="39"/>
    <w:bookmarkEnd w:id="40"/>
    <w:bookmarkStart w:id="44" w:name="data-security"/>
    <w:p>
      <w:pPr>
        <w:pStyle w:val="Heading2"/>
      </w:pPr>
      <w:r>
        <w:t xml:space="preserve">9. Data Security</w:t>
      </w:r>
    </w:p>
    <w:p>
      <w:pPr>
        <w:pStyle w:val="FirstParagraph"/>
      </w:pPr>
      <w:r>
        <w:t xml:space="preserve">Clear Minds implements</w:t>
      </w:r>
      <w:r>
        <w:t xml:space="preserve"> </w:t>
      </w:r>
      <w:r>
        <w:rPr>
          <w:b/>
          <w:bCs/>
        </w:rPr>
        <w:t xml:space="preserve">health-data-level security</w:t>
      </w:r>
      <w:r>
        <w:t xml:space="preserve"> </w:t>
      </w:r>
      <w:r>
        <w:t xml:space="preserve">even though we don’t process health data:</w:t>
      </w:r>
    </w:p>
    <w:bookmarkStart w:id="41" w:name="technical-measures"/>
    <w:p>
      <w:pPr>
        <w:pStyle w:val="Heading3"/>
      </w:pPr>
      <w:r>
        <w:t xml:space="preserve">9.1 Technical Measures</w:t>
      </w:r>
    </w:p>
    <w:p>
      <w:pPr>
        <w:pStyle w:val="Compact"/>
        <w:numPr>
          <w:ilvl w:val="0"/>
          <w:numId w:val="1010"/>
        </w:numPr>
      </w:pPr>
      <w:r>
        <w:rPr>
          <w:b/>
          <w:bCs/>
        </w:rPr>
        <w:t xml:space="preserve">Encryption in transit:</w:t>
      </w:r>
      <w:r>
        <w:t xml:space="preserve"> </w:t>
      </w:r>
      <w:r>
        <w:t xml:space="preserve">TLS 1.3</w:t>
      </w:r>
    </w:p>
    <w:p>
      <w:pPr>
        <w:pStyle w:val="Compact"/>
        <w:numPr>
          <w:ilvl w:val="0"/>
          <w:numId w:val="1010"/>
        </w:numPr>
      </w:pPr>
      <w:r>
        <w:rPr>
          <w:b/>
          <w:bCs/>
        </w:rPr>
        <w:t xml:space="preserve">Encryption at rest:</w:t>
      </w:r>
      <w:r>
        <w:t xml:space="preserve"> </w:t>
      </w:r>
      <w:r>
        <w:t xml:space="preserve">AES-256</w:t>
      </w:r>
    </w:p>
    <w:p>
      <w:pPr>
        <w:pStyle w:val="Compact"/>
        <w:numPr>
          <w:ilvl w:val="0"/>
          <w:numId w:val="1010"/>
        </w:numPr>
      </w:pPr>
      <w:r>
        <w:rPr>
          <w:b/>
          <w:bCs/>
        </w:rPr>
        <w:t xml:space="preserve">Multi-factor authentication:</w:t>
      </w:r>
      <w:r>
        <w:t xml:space="preserve"> </w:t>
      </w:r>
      <w:r>
        <w:t xml:space="preserve">All admin accounts</w:t>
      </w:r>
    </w:p>
    <w:p>
      <w:pPr>
        <w:pStyle w:val="Compact"/>
        <w:numPr>
          <w:ilvl w:val="0"/>
          <w:numId w:val="1010"/>
        </w:numPr>
      </w:pPr>
      <w:r>
        <w:rPr>
          <w:b/>
          <w:bCs/>
        </w:rPr>
        <w:t xml:space="preserve">Regular security updates:</w:t>
      </w:r>
      <w:r>
        <w:t xml:space="preserve"> </w:t>
      </w:r>
      <w:r>
        <w:t xml:space="preserve">Monthly patching schedule</w:t>
      </w:r>
    </w:p>
    <w:p>
      <w:pPr>
        <w:pStyle w:val="Compact"/>
        <w:numPr>
          <w:ilvl w:val="0"/>
          <w:numId w:val="1010"/>
        </w:numPr>
      </w:pPr>
      <w:r>
        <w:rPr>
          <w:b/>
          <w:bCs/>
        </w:rPr>
        <w:t xml:space="preserve">Firewalls and intrusion detection:</w:t>
      </w:r>
      <w:r>
        <w:t xml:space="preserve"> </w:t>
      </w:r>
      <w:r>
        <w:t xml:space="preserve">24/7 monitoring</w:t>
      </w:r>
    </w:p>
    <w:p>
      <w:pPr>
        <w:pStyle w:val="Compact"/>
        <w:numPr>
          <w:ilvl w:val="0"/>
          <w:numId w:val="1010"/>
        </w:numPr>
      </w:pPr>
      <w:r>
        <w:rPr>
          <w:b/>
          <w:bCs/>
        </w:rPr>
        <w:t xml:space="preserve">Secure backups:</w:t>
      </w:r>
      <w:r>
        <w:t xml:space="preserve"> </w:t>
      </w:r>
      <w:r>
        <w:t xml:space="preserve">Encrypted, tested monthly, 90-day retention</w:t>
      </w:r>
    </w:p>
    <w:p>
      <w:pPr>
        <w:pStyle w:val="Compact"/>
        <w:numPr>
          <w:ilvl w:val="0"/>
          <w:numId w:val="1010"/>
        </w:numPr>
      </w:pPr>
      <w:r>
        <w:rPr>
          <w:b/>
          <w:bCs/>
        </w:rPr>
        <w:t xml:space="preserve">Anti-virus and anti-malware:</w:t>
      </w:r>
      <w:r>
        <w:t xml:space="preserve"> </w:t>
      </w:r>
      <w:r>
        <w:t xml:space="preserve">Enterprise-grade protection</w:t>
      </w:r>
    </w:p>
    <w:bookmarkEnd w:id="41"/>
    <w:bookmarkStart w:id="42" w:name="organisational-measures"/>
    <w:p>
      <w:pPr>
        <w:pStyle w:val="Heading3"/>
      </w:pPr>
      <w:r>
        <w:t xml:space="preserve">9.2 Organisational Measures</w:t>
      </w:r>
    </w:p>
    <w:p>
      <w:pPr>
        <w:pStyle w:val="Compact"/>
        <w:numPr>
          <w:ilvl w:val="0"/>
          <w:numId w:val="1011"/>
        </w:numPr>
      </w:pPr>
      <w:r>
        <w:rPr>
          <w:b/>
          <w:bCs/>
        </w:rPr>
        <w:t xml:space="preserve">Role-based access controls:</w:t>
      </w:r>
      <w:r>
        <w:t xml:space="preserve"> </w:t>
      </w:r>
      <w:r>
        <w:t xml:space="preserve">Least privilege principle</w:t>
      </w:r>
    </w:p>
    <w:p>
      <w:pPr>
        <w:pStyle w:val="Compact"/>
        <w:numPr>
          <w:ilvl w:val="0"/>
          <w:numId w:val="1011"/>
        </w:numPr>
      </w:pPr>
      <w:r>
        <w:rPr>
          <w:b/>
          <w:bCs/>
        </w:rPr>
        <w:t xml:space="preserve">Staff confidentiality training:</w:t>
      </w:r>
      <w:r>
        <w:t xml:space="preserve"> </w:t>
      </w:r>
      <w:r>
        <w:t xml:space="preserve">Mandatory annual training</w:t>
      </w:r>
    </w:p>
    <w:p>
      <w:pPr>
        <w:pStyle w:val="Compact"/>
        <w:numPr>
          <w:ilvl w:val="0"/>
          <w:numId w:val="1011"/>
        </w:numPr>
      </w:pPr>
      <w:r>
        <w:rPr>
          <w:b/>
          <w:bCs/>
        </w:rPr>
        <w:t xml:space="preserve">Clear desk and clear screen policies</w:t>
      </w:r>
    </w:p>
    <w:p>
      <w:pPr>
        <w:pStyle w:val="Compact"/>
        <w:numPr>
          <w:ilvl w:val="0"/>
          <w:numId w:val="1011"/>
        </w:numPr>
      </w:pPr>
      <w:r>
        <w:rPr>
          <w:b/>
          <w:bCs/>
        </w:rPr>
        <w:t xml:space="preserve">Secure disposal procedures:</w:t>
      </w:r>
      <w:r>
        <w:t xml:space="preserve"> </w:t>
      </w:r>
      <w:r>
        <w:t xml:space="preserve">Shredding, secure deletion</w:t>
      </w:r>
    </w:p>
    <w:p>
      <w:pPr>
        <w:pStyle w:val="Compact"/>
        <w:numPr>
          <w:ilvl w:val="0"/>
          <w:numId w:val="1011"/>
        </w:numPr>
      </w:pPr>
      <w:r>
        <w:rPr>
          <w:b/>
          <w:bCs/>
        </w:rPr>
        <w:t xml:space="preserve">Annual penetration testing:</w:t>
      </w:r>
      <w:r>
        <w:t xml:space="preserve"> </w:t>
      </w:r>
      <w:r>
        <w:t xml:space="preserve">Third-party security audit</w:t>
      </w:r>
    </w:p>
    <w:p>
      <w:pPr>
        <w:pStyle w:val="Compact"/>
        <w:numPr>
          <w:ilvl w:val="0"/>
          <w:numId w:val="1011"/>
        </w:numPr>
      </w:pPr>
      <w:r>
        <w:rPr>
          <w:b/>
          <w:bCs/>
        </w:rPr>
        <w:t xml:space="preserve">Incident response plan:</w:t>
      </w:r>
      <w:r>
        <w:t xml:space="preserve"> </w:t>
      </w:r>
      <w:r>
        <w:t xml:space="preserve">Documented, tested annually</w:t>
      </w:r>
    </w:p>
    <w:bookmarkEnd w:id="42"/>
    <w:bookmarkStart w:id="43" w:name="cyber-essentials-plus-certification"/>
    <w:p>
      <w:pPr>
        <w:pStyle w:val="Heading3"/>
      </w:pPr>
      <w:r>
        <w:t xml:space="preserve">9.3 Cyber Essentials Plus Certification</w:t>
      </w:r>
    </w:p>
    <w:p>
      <w:pPr>
        <w:pStyle w:val="FirstParagraph"/>
      </w:pPr>
      <w:r>
        <w:t xml:space="preserve">Clear Minds is</w:t>
      </w:r>
      <w:r>
        <w:t xml:space="preserve"> </w:t>
      </w:r>
      <w:r>
        <w:rPr>
          <w:b/>
          <w:bCs/>
        </w:rPr>
        <w:t xml:space="preserve">Cyber Essentials Plus certified</w:t>
      </w:r>
      <w:r>
        <w:t xml:space="preserve"> </w:t>
      </w:r>
      <w:r>
        <w:t xml:space="preserve">(Government-backed security standard):</w:t>
      </w:r>
      <w:r>
        <w:t xml:space="preserve"> </w:t>
      </w:r>
      <w:r>
        <w:t xml:space="preserve">- External technical verification</w:t>
      </w:r>
      <w:r>
        <w:t xml:space="preserve"> </w:t>
      </w:r>
      <w:r>
        <w:t xml:space="preserve">- Annual renewal required</w:t>
      </w:r>
      <w:r>
        <w:t xml:space="preserve"> </w:t>
      </w:r>
      <w:r>
        <w:t xml:space="preserve">- Demonstrates security to enterprise clients</w:t>
      </w:r>
    </w:p>
    <w:p>
      <w:r>
        <w:pict>
          <v:rect style="width:0;height:1.5pt" o:hralign="center" o:hrstd="t" o:hr="t"/>
        </w:pict>
      </w:r>
    </w:p>
    <w:bookmarkEnd w:id="43"/>
    <w:bookmarkEnd w:id="44"/>
    <w:bookmarkStart w:id="48" w:name="data-sharing-and-third-parties"/>
    <w:p>
      <w:pPr>
        <w:pStyle w:val="Heading2"/>
      </w:pPr>
      <w:r>
        <w:t xml:space="preserve">10. Data Sharing and Third Parties</w:t>
      </w:r>
    </w:p>
    <w:bookmarkStart w:id="45" w:name="when-we-share-data"/>
    <w:p>
      <w:pPr>
        <w:pStyle w:val="Heading3"/>
      </w:pPr>
      <w:r>
        <w:t xml:space="preserve">10.1 When We Share Data</w:t>
      </w:r>
    </w:p>
    <w:p>
      <w:pPr>
        <w:pStyle w:val="FirstParagraph"/>
      </w:pPr>
      <w:r>
        <w:t xml:space="preserve">We only share personal data when:</w:t>
      </w:r>
      <w:r>
        <w:t xml:space="preserve"> </w:t>
      </w:r>
      <w:r>
        <w:t xml:space="preserve">- We have a lawful basis (Contract or Legitimate Interests)</w:t>
      </w:r>
      <w:r>
        <w:t xml:space="preserve"> </w:t>
      </w:r>
      <w:r>
        <w:t xml:space="preserve">- It’s necessary for service provision</w:t>
      </w:r>
      <w:r>
        <w:t xml:space="preserve"> </w:t>
      </w:r>
      <w:r>
        <w:t xml:space="preserve">- We have appropriate safeguards in place (DPAs)</w:t>
      </w:r>
    </w:p>
    <w:bookmarkEnd w:id="45"/>
    <w:bookmarkStart w:id="46" w:name="categories-of-recipients"/>
    <w:p>
      <w:pPr>
        <w:pStyle w:val="Heading3"/>
      </w:pPr>
      <w:r>
        <w:t xml:space="preserve">10.2 Categories of Recipients</w:t>
      </w:r>
    </w:p>
    <w:tbl>
      <w:tblPr>
        <w:tblStyle w:val="Table"/>
        <w:tblW w:type="pct" w:w="5000"/>
        <w:tblLayout w:type="fixed"/>
        <w:tblLook w:firstRow="1" w:lastRow="0" w:firstColumn="0" w:lastColumn="0" w:noHBand="0" w:noVBand="0" w:val="0020"/>
      </w:tblPr>
      <w:tblGrid>
        <w:gridCol w:w="2489"/>
        <w:gridCol w:w="2941"/>
        <w:gridCol w:w="2489"/>
      </w:tblGrid>
      <w:tr>
        <w:trPr>
          <w:tblHeader w:val="on"/>
        </w:trPr>
        <w:tc>
          <w:tcPr/>
          <w:p>
            <w:pPr>
              <w:pStyle w:val="Compact"/>
            </w:pPr>
            <w:r>
              <w:t xml:space="preserve">Recipient</w:t>
            </w:r>
          </w:p>
        </w:tc>
        <w:tc>
          <w:tcPr/>
          <w:p>
            <w:pPr>
              <w:pStyle w:val="Compact"/>
            </w:pPr>
            <w:r>
              <w:t xml:space="preserve">Data Shared</w:t>
            </w:r>
          </w:p>
        </w:tc>
        <w:tc>
          <w:tcPr/>
          <w:p>
            <w:pPr>
              <w:pStyle w:val="Compact"/>
            </w:pPr>
            <w:r>
              <w:t xml:space="preserve">Safeguard</w:t>
            </w:r>
          </w:p>
        </w:tc>
      </w:tr>
      <w:tr>
        <w:tc>
          <w:tcPr/>
          <w:p>
            <w:pPr>
              <w:pStyle w:val="Compact"/>
            </w:pPr>
            <w:r>
              <w:rPr>
                <w:b/>
                <w:bCs/>
              </w:rPr>
              <w:t xml:space="preserve">Cloud Hosting (e.g., AWS UK)</w:t>
            </w:r>
          </w:p>
        </w:tc>
        <w:tc>
          <w:tcPr/>
          <w:p>
            <w:pPr>
              <w:pStyle w:val="Compact"/>
            </w:pPr>
            <w:r>
              <w:t xml:space="preserve">All platform data</w:t>
            </w:r>
          </w:p>
        </w:tc>
        <w:tc>
          <w:tcPr/>
          <w:p>
            <w:pPr>
              <w:pStyle w:val="Compact"/>
            </w:pPr>
            <w:r>
              <w:t xml:space="preserve">DPA, UK servers, encryption</w:t>
            </w:r>
          </w:p>
        </w:tc>
      </w:tr>
      <w:tr>
        <w:tc>
          <w:tcPr/>
          <w:p>
            <w:pPr>
              <w:pStyle w:val="Compact"/>
            </w:pPr>
            <w:r>
              <w:rPr>
                <w:b/>
                <w:bCs/>
              </w:rPr>
              <w:t xml:space="preserve">Email Service (e.g., SendGrid)</w:t>
            </w:r>
          </w:p>
        </w:tc>
        <w:tc>
          <w:tcPr/>
          <w:p>
            <w:pPr>
              <w:pStyle w:val="Compact"/>
            </w:pPr>
            <w:r>
              <w:t xml:space="preserve">Name, email</w:t>
            </w:r>
          </w:p>
        </w:tc>
        <w:tc>
          <w:tcPr/>
          <w:p>
            <w:pPr>
              <w:pStyle w:val="Compact"/>
            </w:pPr>
            <w:r>
              <w:t xml:space="preserve">DPA, encryption</w:t>
            </w:r>
          </w:p>
        </w:tc>
      </w:tr>
      <w:tr>
        <w:tc>
          <w:tcPr/>
          <w:p>
            <w:pPr>
              <w:pStyle w:val="Compact"/>
            </w:pPr>
            <w:r>
              <w:rPr>
                <w:b/>
                <w:bCs/>
              </w:rPr>
              <w:t xml:space="preserve">Analytics (Google Analytics)</w:t>
            </w:r>
          </w:p>
        </w:tc>
        <w:tc>
          <w:tcPr/>
          <w:p>
            <w:pPr>
              <w:pStyle w:val="Compact"/>
            </w:pPr>
            <w:r>
              <w:t xml:space="preserve">Anonymized usage data</w:t>
            </w:r>
          </w:p>
        </w:tc>
        <w:tc>
          <w:tcPr/>
          <w:p>
            <w:pPr>
              <w:pStyle w:val="Compact"/>
            </w:pPr>
            <w:r>
              <w:t xml:space="preserve">IP anonymization, DPA</w:t>
            </w:r>
          </w:p>
        </w:tc>
      </w:tr>
      <w:tr>
        <w:tc>
          <w:tcPr/>
          <w:p>
            <w:pPr>
              <w:pStyle w:val="Compact"/>
            </w:pPr>
            <w:r>
              <w:rPr>
                <w:b/>
                <w:bCs/>
              </w:rPr>
              <w:t xml:space="preserve">Payment (Shopify, Apple, Google)</w:t>
            </w:r>
          </w:p>
        </w:tc>
        <w:tc>
          <w:tcPr/>
          <w:p>
            <w:pPr>
              <w:pStyle w:val="Compact"/>
            </w:pPr>
            <w:r>
              <w:t xml:space="preserve">Order details (no card data)</w:t>
            </w:r>
          </w:p>
        </w:tc>
        <w:tc>
          <w:tcPr/>
          <w:p>
            <w:pPr>
              <w:pStyle w:val="Compact"/>
            </w:pPr>
            <w:r>
              <w:t xml:space="preserve">PCI-DSS compliant, DPA</w:t>
            </w:r>
          </w:p>
        </w:tc>
      </w:tr>
      <w:tr>
        <w:tc>
          <w:tcPr/>
          <w:p>
            <w:pPr>
              <w:pStyle w:val="Compact"/>
            </w:pPr>
            <w:r>
              <w:rPr>
                <w:b/>
                <w:bCs/>
              </w:rPr>
              <w:t xml:space="preserve">Employers (B2B)</w:t>
            </w:r>
          </w:p>
        </w:tc>
        <w:tc>
          <w:tcPr/>
          <w:p>
            <w:pPr>
              <w:pStyle w:val="Compact"/>
            </w:pPr>
            <w:r>
              <w:t xml:space="preserve">Aggregated stats ONLY (k≥10)</w:t>
            </w:r>
          </w:p>
        </w:tc>
        <w:tc>
          <w:tcPr/>
          <w:p>
            <w:pPr>
              <w:pStyle w:val="Compact"/>
            </w:pPr>
            <w:r>
              <w:t xml:space="preserve">Contract prohibition on ID attempts</w:t>
            </w:r>
          </w:p>
        </w:tc>
      </w:tr>
      <w:tr>
        <w:tc>
          <w:tcPr/>
          <w:p>
            <w:pPr>
              <w:pStyle w:val="Compact"/>
            </w:pPr>
            <w:r>
              <w:rPr>
                <w:b/>
                <w:bCs/>
              </w:rPr>
              <w:t xml:space="preserve">Concierge Health (if referred)</w:t>
            </w:r>
          </w:p>
        </w:tc>
        <w:tc>
          <w:tcPr/>
          <w:p>
            <w:pPr>
              <w:pStyle w:val="Compact"/>
            </w:pPr>
            <w:r>
              <w:t xml:space="preserve">Name, email (with consent)</w:t>
            </w:r>
          </w:p>
        </w:tc>
        <w:tc>
          <w:tcPr/>
          <w:p>
            <w:pPr>
              <w:pStyle w:val="Compact"/>
            </w:pPr>
            <w:r>
              <w:t xml:space="preserve">Separate controller, own privacy policy</w:t>
            </w:r>
          </w:p>
        </w:tc>
      </w:tr>
    </w:tbl>
    <w:bookmarkEnd w:id="46"/>
    <w:bookmarkStart w:id="47" w:name="data-processing-agreements-dpas"/>
    <w:p>
      <w:pPr>
        <w:pStyle w:val="Heading3"/>
      </w:pPr>
      <w:r>
        <w:t xml:space="preserve">10.3 Data Processing Agreements (DPAs)</w:t>
      </w:r>
    </w:p>
    <w:p>
      <w:pPr>
        <w:pStyle w:val="FirstParagraph"/>
      </w:pPr>
      <w:r>
        <w:t xml:space="preserve">All third-party processors must sign a DPA including:</w:t>
      </w:r>
      <w:r>
        <w:t xml:space="preserve"> </w:t>
      </w:r>
      <w:r>
        <w:t xml:space="preserve">- Scope and purpose of processing</w:t>
      </w:r>
      <w:r>
        <w:t xml:space="preserve"> </w:t>
      </w:r>
      <w:r>
        <w:t xml:space="preserve">- Security obligations (encryption, access controls)</w:t>
      </w:r>
      <w:r>
        <w:t xml:space="preserve"> </w:t>
      </w:r>
      <w:r>
        <w:t xml:space="preserve">- Sub-processor notification requirements</w:t>
      </w:r>
      <w:r>
        <w:t xml:space="preserve"> </w:t>
      </w:r>
      <w:r>
        <w:t xml:space="preserve">- Data breach notification (within 24 hours to Clear Minds)</w:t>
      </w:r>
      <w:r>
        <w:t xml:space="preserve"> </w:t>
      </w:r>
      <w:r>
        <w:t xml:space="preserve">- Assistance with DPIAs and data subject rights</w:t>
      </w:r>
      <w:r>
        <w:t xml:space="preserve"> </w:t>
      </w:r>
      <w:r>
        <w:t xml:space="preserve">- Audit rights</w:t>
      </w:r>
      <w:r>
        <w:t xml:space="preserve"> </w:t>
      </w:r>
      <w:r>
        <w:t xml:space="preserve">- Data return or deletion on termination</w:t>
      </w:r>
    </w:p>
    <w:p>
      <w:pPr>
        <w:pStyle w:val="BodyText"/>
      </w:pPr>
      <w:r>
        <w:rPr>
          <w:b/>
          <w:bCs/>
        </w:rPr>
        <w:t xml:space="preserve">DPA Status:</w:t>
      </w:r>
      <w:r>
        <w:t xml:space="preserve"> </w:t>
      </w:r>
      <w:r>
        <w:t xml:space="preserve">Maintained in shared folder, reviewed annually</w:t>
      </w:r>
    </w:p>
    <w:p>
      <w:r>
        <w:pict>
          <v:rect style="width:0;height:1.5pt" o:hralign="center" o:hrstd="t" o:hr="t"/>
        </w:pict>
      </w:r>
    </w:p>
    <w:bookmarkEnd w:id="47"/>
    <w:bookmarkEnd w:id="48"/>
    <w:bookmarkStart w:id="52" w:name="international-data-transfers"/>
    <w:p>
      <w:pPr>
        <w:pStyle w:val="Heading2"/>
      </w:pPr>
      <w:r>
        <w:t xml:space="preserve">11. International Data Transfers</w:t>
      </w:r>
    </w:p>
    <w:bookmarkStart w:id="49" w:name="uk-first-approach"/>
    <w:p>
      <w:pPr>
        <w:pStyle w:val="Heading3"/>
      </w:pPr>
      <w:r>
        <w:t xml:space="preserve">11.1 UK-First Approach</w:t>
      </w:r>
    </w:p>
    <w:p>
      <w:pPr>
        <w:pStyle w:val="FirstParagraph"/>
      </w:pPr>
      <w:r>
        <w:t xml:space="preserve">Clear Minds prioritizes UK-based data processing and storage:</w:t>
      </w:r>
      <w:r>
        <w:t xml:space="preserve"> </w:t>
      </w:r>
      <w:r>
        <w:t xml:space="preserve">- Primary cloud hosting: UK region</w:t>
      </w:r>
      <w:r>
        <w:t xml:space="preserve"> </w:t>
      </w:r>
      <w:r>
        <w:t xml:space="preserve">- Email services: UK/EU providers preferred</w:t>
      </w:r>
    </w:p>
    <w:bookmarkEnd w:id="49"/>
    <w:bookmarkStart w:id="50" w:name="when-transfers-occur"/>
    <w:p>
      <w:pPr>
        <w:pStyle w:val="Heading3"/>
      </w:pPr>
      <w:r>
        <w:t xml:space="preserve">11.2 When Transfers Occur</w:t>
      </w:r>
    </w:p>
    <w:p>
      <w:pPr>
        <w:pStyle w:val="FirstParagraph"/>
      </w:pPr>
      <w:r>
        <w:t xml:space="preserve">In limited cases (e.g., Google Analytics, Shopify), data may be transferred outside UK:</w:t>
      </w:r>
    </w:p>
    <w:p>
      <w:pPr>
        <w:pStyle w:val="BodyText"/>
      </w:pPr>
      <w:r>
        <w:rPr>
          <w:b/>
          <w:bCs/>
        </w:rPr>
        <w:t xml:space="preserve">Safeguards:</w:t>
      </w:r>
      <w:r>
        <w:t xml:space="preserve"> </w:t>
      </w:r>
      <w:r>
        <w:t xml:space="preserve">-</w:t>
      </w:r>
      <w:r>
        <w:t xml:space="preserve"> </w:t>
      </w:r>
      <w:r>
        <w:rPr>
          <w:b/>
          <w:bCs/>
        </w:rPr>
        <w:t xml:space="preserve">Adequacy decisions</w:t>
      </w:r>
      <w:r>
        <w:t xml:space="preserve"> </w:t>
      </w:r>
      <w:r>
        <w:t xml:space="preserve">(e.g., EU), OR</w:t>
      </w:r>
      <w:r>
        <w:t xml:space="preserve"> </w:t>
      </w:r>
      <w:r>
        <w:t xml:space="preserve">-</w:t>
      </w:r>
      <w:r>
        <w:t xml:space="preserve"> </w:t>
      </w:r>
      <w:r>
        <w:rPr>
          <w:b/>
          <w:bCs/>
        </w:rPr>
        <w:t xml:space="preserve">International Data Transfer Agreement (IDTA)</w:t>
      </w:r>
      <w:r>
        <w:t xml:space="preserve">, AND</w:t>
      </w:r>
      <w:r>
        <w:t xml:space="preserve"> </w:t>
      </w:r>
      <w:r>
        <w:t xml:space="preserve">- Data subjects’ rights remain enforceable</w:t>
      </w:r>
    </w:p>
    <w:bookmarkEnd w:id="50"/>
    <w:bookmarkStart w:id="51" w:name="documentation"/>
    <w:p>
      <w:pPr>
        <w:pStyle w:val="Heading3"/>
      </w:pPr>
      <w:r>
        <w:t xml:space="preserve">11.3 Documentation</w:t>
      </w:r>
    </w:p>
    <w:p>
      <w:pPr>
        <w:pStyle w:val="FirstParagraph"/>
      </w:pPr>
      <w:r>
        <w:t xml:space="preserve">All international transfers documented in Record of Processing Activities (ROPA).</w:t>
      </w:r>
    </w:p>
    <w:p>
      <w:r>
        <w:pict>
          <v:rect style="width:0;height:1.5pt" o:hralign="center" o:hrstd="t" o:hr="t"/>
        </w:pict>
      </w:r>
    </w:p>
    <w:bookmarkEnd w:id="51"/>
    <w:bookmarkEnd w:id="52"/>
    <w:bookmarkStart w:id="55" w:name="data-retention"/>
    <w:p>
      <w:pPr>
        <w:pStyle w:val="Heading2"/>
      </w:pPr>
      <w:r>
        <w:t xml:space="preserve">12. Data Retention</w:t>
      </w:r>
    </w:p>
    <w:p>
      <w:pPr>
        <w:pStyle w:val="FirstParagraph"/>
      </w:pPr>
      <w:r>
        <w:t xml:space="preserve">We retain personal data only for as long as necessary:</w:t>
      </w:r>
    </w:p>
    <w:tbl>
      <w:tblPr>
        <w:tblStyle w:val="Table"/>
        <w:tblW w:type="pct" w:w="5000"/>
        <w:tblLayout w:type="fixed"/>
        <w:tblLook w:firstRow="1" w:lastRow="0" w:firstColumn="0" w:lastColumn="0" w:noHBand="0" w:noVBand="0" w:val="0020"/>
      </w:tblPr>
      <w:tblGrid>
        <w:gridCol w:w="2354"/>
        <w:gridCol w:w="3852"/>
        <w:gridCol w:w="1712"/>
      </w:tblGrid>
      <w:tr>
        <w:trPr>
          <w:tblHeader w:val="on"/>
        </w:trPr>
        <w:tc>
          <w:tcPr/>
          <w:p>
            <w:pPr>
              <w:pStyle w:val="Compact"/>
            </w:pPr>
            <w:r>
              <w:t xml:space="preserve">Data Type</w:t>
            </w:r>
          </w:p>
        </w:tc>
        <w:tc>
          <w:tcPr/>
          <w:p>
            <w:pPr>
              <w:pStyle w:val="Compact"/>
            </w:pPr>
            <w:r>
              <w:t xml:space="preserve">Retention Period</w:t>
            </w:r>
          </w:p>
        </w:tc>
        <w:tc>
          <w:tcPr/>
          <w:p>
            <w:pPr>
              <w:pStyle w:val="Compact"/>
            </w:pPr>
            <w:r>
              <w:t xml:space="preserve">Reason</w:t>
            </w:r>
          </w:p>
        </w:tc>
      </w:tr>
      <w:tr>
        <w:tc>
          <w:tcPr/>
          <w:p>
            <w:pPr>
              <w:pStyle w:val="Compact"/>
            </w:pPr>
            <w:r>
              <w:t xml:space="preserve">Account data (name, email)</w:t>
            </w:r>
          </w:p>
        </w:tc>
        <w:tc>
          <w:tcPr/>
          <w:p>
            <w:pPr>
              <w:pStyle w:val="Compact"/>
            </w:pPr>
            <w:r>
              <w:t xml:space="preserve">Active + 12 months inactivity</w:t>
            </w:r>
          </w:p>
        </w:tc>
        <w:tc>
          <w:tcPr/>
          <w:p>
            <w:pPr>
              <w:pStyle w:val="Compact"/>
            </w:pPr>
            <w:r>
              <w:t xml:space="preserve">Service delivery + reasonable grace period</w:t>
            </w:r>
          </w:p>
        </w:tc>
      </w:tr>
      <w:tr>
        <w:tc>
          <w:tcPr/>
          <w:p>
            <w:pPr>
              <w:pStyle w:val="Compact"/>
            </w:pPr>
            <w:r>
              <w:t xml:space="preserve">Listening history</w:t>
            </w:r>
          </w:p>
        </w:tc>
        <w:tc>
          <w:tcPr/>
          <w:p>
            <w:pPr>
              <w:pStyle w:val="Compact"/>
            </w:pPr>
            <w:r>
              <w:t xml:space="preserve">Active + 12 months inactivity</w:t>
            </w:r>
          </w:p>
        </w:tc>
        <w:tc>
          <w:tcPr/>
          <w:p>
            <w:pPr>
              <w:pStyle w:val="Compact"/>
            </w:pPr>
            <w:r>
              <w:t xml:space="preserve">Service delivery, recommendations</w:t>
            </w:r>
          </w:p>
        </w:tc>
      </w:tr>
      <w:tr>
        <w:tc>
          <w:tcPr/>
          <w:p>
            <w:pPr>
              <w:pStyle w:val="Compact"/>
            </w:pPr>
            <w:r>
              <w:t xml:space="preserve">Communication records (emails)</w:t>
            </w:r>
          </w:p>
        </w:tc>
        <w:tc>
          <w:tcPr/>
          <w:p>
            <w:pPr>
              <w:pStyle w:val="Compact"/>
            </w:pPr>
            <w:r>
              <w:t xml:space="preserve">Duration + 2 years</w:t>
            </w:r>
          </w:p>
        </w:tc>
        <w:tc>
          <w:tcPr/>
          <w:p>
            <w:pPr>
              <w:pStyle w:val="Compact"/>
            </w:pPr>
            <w:r>
              <w:t xml:space="preserve">Customer service, complaints handling</w:t>
            </w:r>
          </w:p>
        </w:tc>
      </w:tr>
      <w:tr>
        <w:tc>
          <w:tcPr/>
          <w:p>
            <w:pPr>
              <w:pStyle w:val="Compact"/>
            </w:pPr>
            <w:r>
              <w:t xml:space="preserve">Analytics data (aggregated)</w:t>
            </w:r>
          </w:p>
        </w:tc>
        <w:tc>
          <w:tcPr/>
          <w:p>
            <w:pPr>
              <w:pStyle w:val="Compact"/>
            </w:pPr>
            <w:r>
              <w:t xml:space="preserve">26 months</w:t>
            </w:r>
          </w:p>
        </w:tc>
        <w:tc>
          <w:tcPr/>
          <w:p>
            <w:pPr>
              <w:pStyle w:val="Compact"/>
            </w:pPr>
            <w:r>
              <w:t xml:space="preserve">Service improvement, trends</w:t>
            </w:r>
          </w:p>
        </w:tc>
      </w:tr>
      <w:tr>
        <w:tc>
          <w:tcPr/>
          <w:p>
            <w:pPr>
              <w:pStyle w:val="Compact"/>
            </w:pPr>
            <w:r>
              <w:t xml:space="preserve">Marketing consent records</w:t>
            </w:r>
          </w:p>
        </w:tc>
        <w:tc>
          <w:tcPr/>
          <w:p>
            <w:pPr>
              <w:pStyle w:val="Compact"/>
            </w:pPr>
            <w:r>
              <w:t xml:space="preserve">Consent + 2 years after withdrawal</w:t>
            </w:r>
          </w:p>
        </w:tc>
        <w:tc>
          <w:tcPr/>
          <w:p>
            <w:pPr>
              <w:pStyle w:val="Compact"/>
            </w:pPr>
            <w:r>
              <w:t xml:space="preserve">Demonstrating compliance</w:t>
            </w:r>
          </w:p>
        </w:tc>
      </w:tr>
    </w:tbl>
    <w:bookmarkStart w:id="53" w:name="automated-deletion-process"/>
    <w:p>
      <w:pPr>
        <w:pStyle w:val="Heading3"/>
      </w:pPr>
      <w:r>
        <w:t xml:space="preserve">12.1 Automated Deletion Process</w:t>
      </w:r>
    </w:p>
    <w:p>
      <w:pPr>
        <w:pStyle w:val="Compact"/>
        <w:numPr>
          <w:ilvl w:val="0"/>
          <w:numId w:val="1012"/>
        </w:numPr>
      </w:pPr>
      <w:r>
        <w:t xml:space="preserve">User inactive for 12 months → Warning email sent</w:t>
      </w:r>
    </w:p>
    <w:p>
      <w:pPr>
        <w:pStyle w:val="Compact"/>
        <w:numPr>
          <w:ilvl w:val="0"/>
          <w:numId w:val="1012"/>
        </w:numPr>
      </w:pPr>
      <w:r>
        <w:t xml:space="preserve">No response within 30 days → Account and data deleted</w:t>
      </w:r>
    </w:p>
    <w:p>
      <w:pPr>
        <w:pStyle w:val="Compact"/>
        <w:numPr>
          <w:ilvl w:val="0"/>
          <w:numId w:val="1012"/>
        </w:numPr>
      </w:pPr>
      <w:r>
        <w:t xml:space="preserve">Deletion from live systems within 7 days</w:t>
      </w:r>
    </w:p>
    <w:p>
      <w:pPr>
        <w:pStyle w:val="Compact"/>
        <w:numPr>
          <w:ilvl w:val="0"/>
          <w:numId w:val="1012"/>
        </w:numPr>
      </w:pPr>
      <w:r>
        <w:t xml:space="preserve">Backups naturally expire within 90 days</w:t>
      </w:r>
    </w:p>
    <w:bookmarkEnd w:id="53"/>
    <w:bookmarkStart w:id="54" w:name="user-requested-deletion"/>
    <w:p>
      <w:pPr>
        <w:pStyle w:val="Heading3"/>
      </w:pPr>
      <w:r>
        <w:t xml:space="preserve">12.2 User-Requested Deletion</w:t>
      </w:r>
    </w:p>
    <w:p>
      <w:pPr>
        <w:pStyle w:val="Compact"/>
        <w:numPr>
          <w:ilvl w:val="0"/>
          <w:numId w:val="1013"/>
        </w:numPr>
      </w:pPr>
      <w:r>
        <w:t xml:space="preserve">User requests deletion (in-app or email)</w:t>
      </w:r>
    </w:p>
    <w:p>
      <w:pPr>
        <w:pStyle w:val="Compact"/>
        <w:numPr>
          <w:ilvl w:val="0"/>
          <w:numId w:val="1013"/>
        </w:numPr>
      </w:pPr>
      <w:r>
        <w:t xml:space="preserve">Identity verification</w:t>
      </w:r>
    </w:p>
    <w:p>
      <w:pPr>
        <w:pStyle w:val="Compact"/>
        <w:numPr>
          <w:ilvl w:val="0"/>
          <w:numId w:val="1013"/>
        </w:numPr>
      </w:pPr>
      <w:r>
        <w:t xml:space="preserve">Deletion within 7 days (live systems)</w:t>
      </w:r>
    </w:p>
    <w:p>
      <w:pPr>
        <w:pStyle w:val="Compact"/>
        <w:numPr>
          <w:ilvl w:val="0"/>
          <w:numId w:val="1013"/>
        </w:numPr>
      </w:pPr>
      <w:r>
        <w:t xml:space="preserve">Confirmation email sent</w:t>
      </w:r>
    </w:p>
    <w:p>
      <w:pPr>
        <w:pStyle w:val="Compact"/>
        <w:numPr>
          <w:ilvl w:val="0"/>
          <w:numId w:val="1013"/>
        </w:numPr>
      </w:pPr>
      <w:r>
        <w:t xml:space="preserve">Backups naturally expire (90 days)</w:t>
      </w:r>
    </w:p>
    <w:p>
      <w:r>
        <w:pict>
          <v:rect style="width:0;height:1.5pt" o:hralign="center" o:hrstd="t" o:hr="t"/>
        </w:pict>
      </w:r>
    </w:p>
    <w:bookmarkEnd w:id="54"/>
    <w:bookmarkEnd w:id="55"/>
    <w:bookmarkStart w:id="59" w:name="data-breaches"/>
    <w:p>
      <w:pPr>
        <w:pStyle w:val="Heading2"/>
      </w:pPr>
      <w:r>
        <w:t xml:space="preserve">13. Data Breaches</w:t>
      </w:r>
    </w:p>
    <w:p>
      <w:pPr>
        <w:pStyle w:val="FirstParagraph"/>
      </w:pPr>
      <w:r>
        <w:t xml:space="preserve">A personal data breach is any incident resulting in unauthorised access, loss, destruction, or disclosure of personal data.</w:t>
      </w:r>
    </w:p>
    <w:bookmarkStart w:id="56" w:name="reporting-breaches"/>
    <w:p>
      <w:pPr>
        <w:pStyle w:val="Heading3"/>
      </w:pPr>
      <w:r>
        <w:t xml:space="preserve">13.1 Reporting Breaches</w:t>
      </w:r>
    </w:p>
    <w:p>
      <w:pPr>
        <w:pStyle w:val="FirstParagraph"/>
      </w:pPr>
      <w:r>
        <w:rPr>
          <w:b/>
          <w:bCs/>
        </w:rPr>
        <w:t xml:space="preserve">All staff MUST report suspected breaches immediately:</w:t>
      </w:r>
    </w:p>
    <w:p>
      <w:pPr>
        <w:pStyle w:val="Compact"/>
        <w:numPr>
          <w:ilvl w:val="0"/>
          <w:numId w:val="1014"/>
        </w:numPr>
      </w:pPr>
      <w:r>
        <w:rPr>
          <w:b/>
          <w:bCs/>
        </w:rPr>
        <w:t xml:space="preserve">Email:</w:t>
      </w:r>
      <w:r>
        <w:t xml:space="preserve"> </w:t>
      </w:r>
      <w:r>
        <w:t xml:space="preserve">dpo@clearminds.com</w:t>
      </w:r>
    </w:p>
    <w:p>
      <w:pPr>
        <w:pStyle w:val="Compact"/>
        <w:numPr>
          <w:ilvl w:val="0"/>
          <w:numId w:val="1014"/>
        </w:numPr>
      </w:pPr>
      <w:r>
        <w:rPr>
          <w:b/>
          <w:bCs/>
        </w:rPr>
        <w:t xml:space="preserve">Phone:</w:t>
      </w:r>
      <w:r>
        <w:t xml:space="preserve"> </w:t>
      </w:r>
      <w:r>
        <w:t xml:space="preserve">[DPO PHONE NUMBER]</w:t>
      </w:r>
    </w:p>
    <w:p>
      <w:pPr>
        <w:pStyle w:val="Compact"/>
        <w:numPr>
          <w:ilvl w:val="0"/>
          <w:numId w:val="1014"/>
        </w:numPr>
      </w:pPr>
      <w:r>
        <w:rPr>
          <w:b/>
          <w:bCs/>
        </w:rPr>
        <w:t xml:space="preserve">Emergency:</w:t>
      </w:r>
      <w:r>
        <w:t xml:space="preserve"> </w:t>
      </w:r>
      <w:r>
        <w:t xml:space="preserve">[24/7 EMERGENCY NUMBER]</w:t>
      </w:r>
    </w:p>
    <w:p>
      <w:pPr>
        <w:pStyle w:val="FirstParagraph"/>
      </w:pPr>
      <w:r>
        <w:rPr>
          <w:b/>
          <w:bCs/>
        </w:rPr>
        <w:t xml:space="preserve">Never delay reporting.</w:t>
      </w:r>
      <w:r>
        <w:t xml:space="preserve"> </w:t>
      </w:r>
      <w:r>
        <w:t xml:space="preserve">Even if unsure whether it qualifies as a breach, report immediately. The DPO will assess severity.</w:t>
      </w:r>
    </w:p>
    <w:bookmarkEnd w:id="56"/>
    <w:bookmarkStart w:id="57" w:name="breach-response-72-hour-rule"/>
    <w:p>
      <w:pPr>
        <w:pStyle w:val="Heading3"/>
      </w:pPr>
      <w:r>
        <w:t xml:space="preserve">13.2 Breach Response (72-Hour Rule)</w:t>
      </w:r>
    </w:p>
    <w:p>
      <w:pPr>
        <w:pStyle w:val="FirstParagraph"/>
      </w:pPr>
      <w:r>
        <w:rPr>
          <w:b/>
          <w:bCs/>
        </w:rPr>
        <w:t xml:space="preserve">Timeline:</w:t>
      </w:r>
      <w:r>
        <w:t xml:space="preserve"> </w:t>
      </w:r>
      <w:r>
        <w:t xml:space="preserve">-</w:t>
      </w:r>
      <w:r>
        <w:t xml:space="preserve"> </w:t>
      </w:r>
      <w:r>
        <w:rPr>
          <w:b/>
          <w:bCs/>
        </w:rPr>
        <w:t xml:space="preserve">T+0 hours:</w:t>
      </w:r>
      <w:r>
        <w:t xml:space="preserve"> </w:t>
      </w:r>
      <w:r>
        <w:t xml:space="preserve">Breach detected and reported to DPO</w:t>
      </w:r>
      <w:r>
        <w:t xml:space="preserve"> </w:t>
      </w:r>
      <w:r>
        <w:t xml:space="preserve">-</w:t>
      </w:r>
      <w:r>
        <w:t xml:space="preserve"> </w:t>
      </w:r>
      <w:r>
        <w:rPr>
          <w:b/>
          <w:bCs/>
        </w:rPr>
        <w:t xml:space="preserve">T+24 hours:</w:t>
      </w:r>
      <w:r>
        <w:t xml:space="preserve"> </w:t>
      </w:r>
      <w:r>
        <w:t xml:space="preserve">Risk assessment complete, containment measures in place</w:t>
      </w:r>
      <w:r>
        <w:t xml:space="preserve"> </w:t>
      </w:r>
      <w:r>
        <w:t xml:space="preserve">-</w:t>
      </w:r>
      <w:r>
        <w:t xml:space="preserve"> </w:t>
      </w:r>
      <w:r>
        <w:rPr>
          <w:b/>
          <w:bCs/>
        </w:rPr>
        <w:t xml:space="preserve">T+72 hours:</w:t>
      </w:r>
      <w:r>
        <w:t xml:space="preserve"> </w:t>
      </w:r>
      <w:r>
        <w:t xml:space="preserve">ICO notification (if required - high risk to individuals)</w:t>
      </w:r>
      <w:r>
        <w:t xml:space="preserve"> </w:t>
      </w:r>
      <w:r>
        <w:t xml:space="preserve">-</w:t>
      </w:r>
      <w:r>
        <w:t xml:space="preserve"> </w:t>
      </w:r>
      <w:r>
        <w:rPr>
          <w:b/>
          <w:bCs/>
        </w:rPr>
        <w:t xml:space="preserve">T+7 days:</w:t>
      </w:r>
      <w:r>
        <w:t xml:space="preserve"> </w:t>
      </w:r>
      <w:r>
        <w:t xml:space="preserve">User notification (if high risk)</w:t>
      </w:r>
      <w:r>
        <w:t xml:space="preserve"> </w:t>
      </w:r>
      <w:r>
        <w:t xml:space="preserve">-</w:t>
      </w:r>
      <w:r>
        <w:t xml:space="preserve"> </w:t>
      </w:r>
      <w:r>
        <w:rPr>
          <w:b/>
          <w:bCs/>
        </w:rPr>
        <w:t xml:space="preserve">T+30 days:</w:t>
      </w:r>
      <w:r>
        <w:t xml:space="preserve"> </w:t>
      </w:r>
      <w:r>
        <w:t xml:space="preserve">Post-incident review, lessons learned</w:t>
      </w:r>
    </w:p>
    <w:p>
      <w:pPr>
        <w:pStyle w:val="BodyText"/>
      </w:pPr>
      <w:r>
        <w:rPr>
          <w:b/>
          <w:bCs/>
        </w:rPr>
        <w:t xml:space="preserve">ICO Notification Required When:</w:t>
      </w:r>
      <w:r>
        <w:t xml:space="preserve"> </w:t>
      </w:r>
      <w:r>
        <w:t xml:space="preserve">- High risk to individuals’ rights and freedoms</w:t>
      </w:r>
      <w:r>
        <w:t xml:space="preserve"> </w:t>
      </w:r>
      <w:r>
        <w:t xml:space="preserve">- Large number of individuals affected</w:t>
      </w:r>
      <w:r>
        <w:t xml:space="preserve"> </w:t>
      </w:r>
      <w:r>
        <w:t xml:space="preserve">- Sensitive data involved (even though not special category, listening history is sensitive)</w:t>
      </w:r>
      <w:r>
        <w:t xml:space="preserve"> </w:t>
      </w:r>
      <w:r>
        <w:t xml:space="preserve">- Breach not contained quickly</w:t>
      </w:r>
    </w:p>
    <w:p>
      <w:pPr>
        <w:pStyle w:val="BodyText"/>
      </w:pPr>
      <w:r>
        <w:rPr>
          <w:b/>
          <w:bCs/>
        </w:rPr>
        <w:t xml:space="preserve">User Notification Required When:</w:t>
      </w:r>
      <w:r>
        <w:t xml:space="preserve"> </w:t>
      </w:r>
      <w:r>
        <w:t xml:space="preserve">- High risk to individuals (e.g., credentials exposed)</w:t>
      </w:r>
      <w:r>
        <w:t xml:space="preserve"> </w:t>
      </w:r>
      <w:r>
        <w:t xml:space="preserve">- Clear, plain language explanation</w:t>
      </w:r>
      <w:r>
        <w:t xml:space="preserve"> </w:t>
      </w:r>
      <w:r>
        <w:t xml:space="preserve">- What happened, what data, what we’re doing, what they should do</w:t>
      </w:r>
    </w:p>
    <w:bookmarkEnd w:id="57"/>
    <w:bookmarkStart w:id="58" w:name="breach-log"/>
    <w:p>
      <w:pPr>
        <w:pStyle w:val="Heading3"/>
      </w:pPr>
      <w:r>
        <w:t xml:space="preserve">13.3 Breach Log</w:t>
      </w:r>
    </w:p>
    <w:p>
      <w:pPr>
        <w:pStyle w:val="FirstParagraph"/>
      </w:pPr>
      <w:r>
        <w:t xml:space="preserve">All breaches (even minor, non-reportable) logged including:</w:t>
      </w:r>
      <w:r>
        <w:t xml:space="preserve"> </w:t>
      </w:r>
      <w:r>
        <w:t xml:space="preserve">- Date and time</w:t>
      </w:r>
      <w:r>
        <w:t xml:space="preserve"> </w:t>
      </w:r>
      <w:r>
        <w:t xml:space="preserve">- Nature of breach</w:t>
      </w:r>
      <w:r>
        <w:t xml:space="preserve"> </w:t>
      </w:r>
      <w:r>
        <w:t xml:space="preserve">- Data affected</w:t>
      </w:r>
      <w:r>
        <w:t xml:space="preserve"> </w:t>
      </w:r>
      <w:r>
        <w:t xml:space="preserve">- Number of individuals</w:t>
      </w:r>
      <w:r>
        <w:t xml:space="preserve"> </w:t>
      </w:r>
      <w:r>
        <w:t xml:space="preserve">- Actions taken</w:t>
      </w:r>
      <w:r>
        <w:t xml:space="preserve"> </w:t>
      </w:r>
      <w:r>
        <w:t xml:space="preserve">- ICO notification status</w:t>
      </w:r>
      <w:r>
        <w:t xml:space="preserve"> </w:t>
      </w:r>
      <w:r>
        <w:t xml:space="preserve">- Lessons learned</w:t>
      </w:r>
    </w:p>
    <w:p>
      <w:r>
        <w:pict>
          <v:rect style="width:0;height:1.5pt" o:hralign="center" o:hrstd="t" o:hr="t"/>
        </w:pict>
      </w:r>
    </w:p>
    <w:bookmarkEnd w:id="58"/>
    <w:bookmarkEnd w:id="59"/>
    <w:bookmarkStart w:id="62" w:name="privacy-by-design-and-default"/>
    <w:p>
      <w:pPr>
        <w:pStyle w:val="Heading2"/>
      </w:pPr>
      <w:r>
        <w:t xml:space="preserve">14. Privacy by Design and Default</w:t>
      </w:r>
    </w:p>
    <w:p>
      <w:pPr>
        <w:pStyle w:val="FirstParagraph"/>
      </w:pPr>
      <w:r>
        <w:t xml:space="preserve">We implement data protection from the outset:</w:t>
      </w:r>
    </w:p>
    <w:bookmarkStart w:id="60" w:name="privacy-by-design"/>
    <w:p>
      <w:pPr>
        <w:pStyle w:val="Heading3"/>
      </w:pPr>
      <w:r>
        <w:t xml:space="preserve">14.1 Privacy by Design</w:t>
      </w:r>
    </w:p>
    <w:p>
      <w:pPr>
        <w:pStyle w:val="Compact"/>
        <w:numPr>
          <w:ilvl w:val="0"/>
          <w:numId w:val="1015"/>
        </w:numPr>
      </w:pPr>
      <w:r>
        <w:rPr>
          <w:b/>
          <w:bCs/>
        </w:rPr>
        <w:t xml:space="preserve">DPIA before launch:</w:t>
      </w:r>
      <w:r>
        <w:t xml:space="preserve"> </w:t>
      </w:r>
      <w:r>
        <w:t xml:space="preserve">High-risk processing assessed upfront</w:t>
      </w:r>
    </w:p>
    <w:p>
      <w:pPr>
        <w:pStyle w:val="Compact"/>
        <w:numPr>
          <w:ilvl w:val="0"/>
          <w:numId w:val="1015"/>
        </w:numPr>
      </w:pPr>
      <w:r>
        <w:rPr>
          <w:b/>
          <w:bCs/>
        </w:rPr>
        <w:t xml:space="preserve">Data minimization:</w:t>
      </w:r>
      <w:r>
        <w:t xml:space="preserve"> </w:t>
      </w:r>
      <w:r>
        <w:t xml:space="preserve">Name + email ONLY</w:t>
      </w:r>
    </w:p>
    <w:p>
      <w:pPr>
        <w:pStyle w:val="Compact"/>
        <w:numPr>
          <w:ilvl w:val="0"/>
          <w:numId w:val="1015"/>
        </w:numPr>
      </w:pPr>
      <w:r>
        <w:rPr>
          <w:b/>
          <w:bCs/>
        </w:rPr>
        <w:t xml:space="preserve">Security built in:</w:t>
      </w:r>
      <w:r>
        <w:t xml:space="preserve"> </w:t>
      </w:r>
      <w:r>
        <w:t xml:space="preserve">Encryption, access controls from day one</w:t>
      </w:r>
    </w:p>
    <w:p>
      <w:pPr>
        <w:pStyle w:val="Compact"/>
        <w:numPr>
          <w:ilvl w:val="0"/>
          <w:numId w:val="1015"/>
        </w:numPr>
      </w:pPr>
      <w:r>
        <w:rPr>
          <w:b/>
          <w:bCs/>
        </w:rPr>
        <w:t xml:space="preserve">Default privacy settings:</w:t>
      </w:r>
      <w:r>
        <w:t xml:space="preserve"> </w:t>
      </w:r>
      <w:r>
        <w:t xml:space="preserve">Users opt-in to marketing (not opt-out)</w:t>
      </w:r>
    </w:p>
    <w:bookmarkEnd w:id="60"/>
    <w:bookmarkStart w:id="61" w:name="data-protection-impact-assessment-dpia"/>
    <w:p>
      <w:pPr>
        <w:pStyle w:val="Heading3"/>
      </w:pPr>
      <w:r>
        <w:t xml:space="preserve">14.2 Data Protection Impact Assessment (DPIA)</w:t>
      </w:r>
    </w:p>
    <w:p>
      <w:pPr>
        <w:pStyle w:val="Compact"/>
        <w:numPr>
          <w:ilvl w:val="0"/>
          <w:numId w:val="1016"/>
        </w:numPr>
      </w:pPr>
      <w:r>
        <w:rPr>
          <w:b/>
          <w:bCs/>
        </w:rPr>
        <w:t xml:space="preserve">Required?</w:t>
      </w:r>
      <w:r>
        <w:t xml:space="preserve"> </w:t>
      </w:r>
      <w:r>
        <w:t xml:space="preserve">Not legally mandatory (not special category, not large-scale systematic monitoring)</w:t>
      </w:r>
    </w:p>
    <w:p>
      <w:pPr>
        <w:pStyle w:val="Compact"/>
        <w:numPr>
          <w:ilvl w:val="0"/>
          <w:numId w:val="1016"/>
        </w:numPr>
      </w:pPr>
      <w:r>
        <w:rPr>
          <w:b/>
          <w:bCs/>
        </w:rPr>
        <w:t xml:space="preserve">Recommended?</w:t>
      </w:r>
      <w:r>
        <w:t xml:space="preserve"> </w:t>
      </w:r>
      <w:r>
        <w:rPr>
          <w:b/>
          <w:bCs/>
        </w:rPr>
        <w:t xml:space="preserve">YES</w:t>
      </w:r>
      <w:r>
        <w:t xml:space="preserve"> </w:t>
      </w:r>
      <w:r>
        <w:t xml:space="preserve">- Best practice for 70k+ users + sensitive content + B2B confidentiality requirements</w:t>
      </w:r>
    </w:p>
    <w:p>
      <w:pPr>
        <w:pStyle w:val="Compact"/>
        <w:numPr>
          <w:ilvl w:val="0"/>
          <w:numId w:val="1016"/>
        </w:numPr>
      </w:pPr>
      <w:r>
        <w:rPr>
          <w:b/>
          <w:bCs/>
        </w:rPr>
        <w:t xml:space="preserve">Status:</w:t>
      </w:r>
      <w:r>
        <w:t xml:space="preserve"> </w:t>
      </w:r>
      <w:r>
        <w:t xml:space="preserve">Completed [INSERT DATE], reviewed annually</w:t>
      </w:r>
    </w:p>
    <w:p>
      <w:r>
        <w:pict>
          <v:rect style="width:0;height:1.5pt" o:hralign="center" o:hrstd="t" o:hr="t"/>
        </w:pict>
      </w:r>
    </w:p>
    <w:bookmarkEnd w:id="61"/>
    <w:bookmarkEnd w:id="62"/>
    <w:bookmarkStart w:id="65" w:name="b2beap-specific-data-protection"/>
    <w:p>
      <w:pPr>
        <w:pStyle w:val="Heading2"/>
      </w:pPr>
      <w:r>
        <w:t xml:space="preserve">15. B2B/EAP-Specific Data Protection</w:t>
      </w:r>
    </w:p>
    <w:bookmarkStart w:id="63" w:name="employee-confidentiality-architecture"/>
    <w:p>
      <w:pPr>
        <w:pStyle w:val="Heading3"/>
      </w:pPr>
      <w:r>
        <w:t xml:space="preserve">15.1 Employee Confidentiality Architecture</w:t>
      </w:r>
    </w:p>
    <w:p>
      <w:pPr>
        <w:pStyle w:val="FirstParagraph"/>
      </w:pPr>
      <w:r>
        <w:rPr>
          <w:b/>
          <w:bCs/>
        </w:rPr>
        <w:t xml:space="preserve">Core Principle:</w:t>
      </w:r>
      <w:r>
        <w:t xml:space="preserve"> </w:t>
      </w:r>
      <w:r>
        <w:rPr>
          <w:b/>
          <w:bCs/>
        </w:rPr>
        <w:t xml:space="preserve">Zero Individual Visibility</w:t>
      </w:r>
      <w:r>
        <w:t xml:space="preserve"> </w:t>
      </w:r>
      <w:r>
        <w:t xml:space="preserve">to employers</w:t>
      </w:r>
    </w:p>
    <w:p>
      <w:pPr>
        <w:pStyle w:val="BodyText"/>
      </w:pPr>
      <w:r>
        <w:rPr>
          <w:b/>
          <w:bCs/>
        </w:rPr>
        <w:t xml:space="preserve">Technical Controls:</w:t>
      </w:r>
      <w:r>
        <w:t xml:space="preserve"> </w:t>
      </w:r>
      <w:r>
        <w:t xml:space="preserve">- Employees sign up with personal email (not corporate)</w:t>
      </w:r>
      <w:r>
        <w:t xml:space="preserve"> </w:t>
      </w:r>
      <w:r>
        <w:t xml:space="preserve">- Optional employer access code for payment validation only</w:t>
      </w:r>
      <w:r>
        <w:t xml:space="preserve"> </w:t>
      </w:r>
      <w:r>
        <w:t xml:space="preserve">- Reporting dashboard enforces k≥10 anonymity threshold</w:t>
      </w:r>
      <w:r>
        <w:t xml:space="preserve"> </w:t>
      </w:r>
      <w:r>
        <w:t xml:space="preserve">- No individual-level data exports possible</w:t>
      </w:r>
    </w:p>
    <w:p>
      <w:pPr>
        <w:pStyle w:val="BodyText"/>
      </w:pPr>
      <w:r>
        <w:rPr>
          <w:b/>
          <w:bCs/>
        </w:rPr>
        <w:t xml:space="preserve">Contractual Controls:</w:t>
      </w:r>
      <w:r>
        <w:t xml:space="preserve"> </w:t>
      </w:r>
      <w:r>
        <w:t xml:space="preserve">- Employer Non-Snooping Agreement (enforceable breach penalties)</w:t>
      </w:r>
      <w:r>
        <w:t xml:space="preserve"> </w:t>
      </w:r>
      <w:r>
        <w:t xml:space="preserve">- Prohibition on attempts to identify individuals</w:t>
      </w:r>
      <w:r>
        <w:t xml:space="preserve"> </w:t>
      </w:r>
      <w:r>
        <w:t xml:space="preserve">- Regular compliance audits</w:t>
      </w:r>
    </w:p>
    <w:p>
      <w:pPr>
        <w:pStyle w:val="BodyText"/>
      </w:pPr>
      <w:r>
        <w:rPr>
          <w:b/>
          <w:bCs/>
        </w:rPr>
        <w:t xml:space="preserve">Employers Receive:</w:t>
      </w:r>
      <w:r>
        <w:t xml:space="preserve"> </w:t>
      </w:r>
      <w:r>
        <w:t xml:space="preserve">- Total registered users (count only)</w:t>
      </w:r>
      <w:r>
        <w:t xml:space="preserve"> </w:t>
      </w:r>
      <w:r>
        <w:t xml:space="preserve">- Overall utilization rate (%)</w:t>
      </w:r>
      <w:r>
        <w:t xml:space="preserve"> </w:t>
      </w:r>
      <w:r>
        <w:t xml:space="preserve">- Aggregated category breakdown (% using sleep, stress, confidence content)</w:t>
      </w:r>
      <w:r>
        <w:t xml:space="preserve"> </w:t>
      </w:r>
      <w:r>
        <w:t xml:space="preserve">- Demographics ONLY if ≥10 users in subgroup</w:t>
      </w:r>
    </w:p>
    <w:p>
      <w:pPr>
        <w:pStyle w:val="BodyText"/>
      </w:pPr>
      <w:r>
        <w:rPr>
          <w:b/>
          <w:bCs/>
        </w:rPr>
        <w:t xml:space="preserve">Employers NEVER Receive:</w:t>
      </w:r>
      <w:r>
        <w:t xml:space="preserve"> </w:t>
      </w:r>
      <w:r>
        <w:t xml:space="preserve">- Individual names or identifiers</w:t>
      </w:r>
      <w:r>
        <w:t xml:space="preserve"> </w:t>
      </w:r>
      <w:r>
        <w:t xml:space="preserve">- Which employees registered</w:t>
      </w:r>
      <w:r>
        <w:t xml:space="preserve"> </w:t>
      </w:r>
      <w:r>
        <w:t xml:space="preserve">- Individual listening patterns</w:t>
      </w:r>
      <w:r>
        <w:t xml:space="preserve"> </w:t>
      </w:r>
      <w:r>
        <w:t xml:space="preserve">- Small group data (&lt;10 users)</w:t>
      </w:r>
    </w:p>
    <w:bookmarkEnd w:id="63"/>
    <w:bookmarkStart w:id="64" w:name="X9c117cb4ef5b72a21ade05e9b11a77233ca6969"/>
    <w:p>
      <w:pPr>
        <w:pStyle w:val="Heading3"/>
      </w:pPr>
      <w:r>
        <w:t xml:space="preserve">15.2 Data Sharing Agreement (Employer Contracts)</w:t>
      </w:r>
    </w:p>
    <w:p>
      <w:pPr>
        <w:pStyle w:val="FirstParagraph"/>
      </w:pPr>
      <w:r>
        <w:t xml:space="preserve">Standard clause:</w:t>
      </w:r>
    </w:p>
    <w:p>
      <w:pPr>
        <w:pStyle w:val="BlockText"/>
      </w:pPr>
      <w:r>
        <w:t xml:space="preserve">“Clear Minds Ltd processes employee data as an independent data controller. [Employer] has no access to individual employee data. Clear Minds provides [Employer] with aggregated, anonymised statistics only, subject to minimum reporting thresholds (≥10 users per subgroup) to prevent identification.”</w:t>
      </w:r>
    </w:p>
    <w:p>
      <w:r>
        <w:pict>
          <v:rect style="width:0;height:1.5pt" o:hralign="center" o:hrstd="t" o:hr="t"/>
        </w:pict>
      </w:r>
    </w:p>
    <w:bookmarkEnd w:id="64"/>
    <w:bookmarkEnd w:id="65"/>
    <w:bookmarkStart w:id="70" w:name="roles-and-responsibilities"/>
    <w:p>
      <w:pPr>
        <w:pStyle w:val="Heading2"/>
      </w:pPr>
      <w:r>
        <w:t xml:space="preserve">16. Roles and Responsibilities</w:t>
      </w:r>
    </w:p>
    <w:bookmarkStart w:id="66" w:name="board-of-directors"/>
    <w:p>
      <w:pPr>
        <w:pStyle w:val="Heading3"/>
      </w:pPr>
      <w:r>
        <w:t xml:space="preserve">16.1 Board of Directors</w:t>
      </w:r>
    </w:p>
    <w:p>
      <w:pPr>
        <w:pStyle w:val="Compact"/>
        <w:numPr>
          <w:ilvl w:val="0"/>
          <w:numId w:val="1017"/>
        </w:numPr>
      </w:pPr>
      <w:r>
        <w:t xml:space="preserve">Ultimate accountability for data protection</w:t>
      </w:r>
    </w:p>
    <w:p>
      <w:pPr>
        <w:pStyle w:val="Compact"/>
        <w:numPr>
          <w:ilvl w:val="0"/>
          <w:numId w:val="1017"/>
        </w:numPr>
      </w:pPr>
      <w:r>
        <w:t xml:space="preserve">Approve data protection policies</w:t>
      </w:r>
    </w:p>
    <w:p>
      <w:pPr>
        <w:pStyle w:val="Compact"/>
        <w:numPr>
          <w:ilvl w:val="0"/>
          <w:numId w:val="1017"/>
        </w:numPr>
      </w:pPr>
      <w:r>
        <w:t xml:space="preserve">Ensure adequate resources for compliance</w:t>
      </w:r>
    </w:p>
    <w:p>
      <w:pPr>
        <w:pStyle w:val="Compact"/>
        <w:numPr>
          <w:ilvl w:val="0"/>
          <w:numId w:val="1017"/>
        </w:numPr>
      </w:pPr>
      <w:r>
        <w:t xml:space="preserve">Receive quarterly compliance reports</w:t>
      </w:r>
    </w:p>
    <w:bookmarkEnd w:id="66"/>
    <w:bookmarkStart w:id="67" w:name="X5506c63ec6a34203f4a4d230b5cb9bf0c089fe3"/>
    <w:p>
      <w:pPr>
        <w:pStyle w:val="Heading3"/>
      </w:pPr>
      <w:r>
        <w:t xml:space="preserve">16.2 Data Protection Officer (DPO) / Designated Contact</w:t>
      </w:r>
    </w:p>
    <w:p>
      <w:pPr>
        <w:pStyle w:val="Compact"/>
        <w:numPr>
          <w:ilvl w:val="0"/>
          <w:numId w:val="1018"/>
        </w:numPr>
      </w:pPr>
      <w:r>
        <w:t xml:space="preserve">Monitor compliance with UK GDPR</w:t>
      </w:r>
    </w:p>
    <w:p>
      <w:pPr>
        <w:pStyle w:val="Compact"/>
        <w:numPr>
          <w:ilvl w:val="0"/>
          <w:numId w:val="1018"/>
        </w:numPr>
      </w:pPr>
      <w:r>
        <w:t xml:space="preserve">Advise on data protection obligations</w:t>
      </w:r>
    </w:p>
    <w:p>
      <w:pPr>
        <w:pStyle w:val="Compact"/>
        <w:numPr>
          <w:ilvl w:val="0"/>
          <w:numId w:val="1018"/>
        </w:numPr>
      </w:pPr>
      <w:r>
        <w:t xml:space="preserve">Act as contact point for ICO and data subjects</w:t>
      </w:r>
    </w:p>
    <w:p>
      <w:pPr>
        <w:pStyle w:val="Compact"/>
        <w:numPr>
          <w:ilvl w:val="0"/>
          <w:numId w:val="1018"/>
        </w:numPr>
      </w:pPr>
      <w:r>
        <w:t xml:space="preserve">Conduct DPIAs and audits</w:t>
      </w:r>
    </w:p>
    <w:p>
      <w:pPr>
        <w:pStyle w:val="Compact"/>
        <w:numPr>
          <w:ilvl w:val="0"/>
          <w:numId w:val="1018"/>
        </w:numPr>
      </w:pPr>
      <w:r>
        <w:t xml:space="preserve">Manage data breach response</w:t>
      </w:r>
    </w:p>
    <w:p>
      <w:pPr>
        <w:pStyle w:val="Compact"/>
        <w:numPr>
          <w:ilvl w:val="0"/>
          <w:numId w:val="1018"/>
        </w:numPr>
      </w:pPr>
      <w:r>
        <w:t xml:space="preserve">Handle data subject rights requests</w:t>
      </w:r>
    </w:p>
    <w:p>
      <w:pPr>
        <w:pStyle w:val="FirstParagraph"/>
      </w:pPr>
      <w:r>
        <w:rPr>
          <w:b/>
          <w:bCs/>
        </w:rPr>
        <w:t xml:space="preserve">Contact:</w:t>
      </w:r>
      <w:r>
        <w:t xml:space="preserve"> </w:t>
      </w:r>
      <w:r>
        <w:t xml:space="preserve">dpo@clearminds.com</w:t>
      </w:r>
    </w:p>
    <w:bookmarkEnd w:id="67"/>
    <w:bookmarkStart w:id="68" w:name="all-staff"/>
    <w:p>
      <w:pPr>
        <w:pStyle w:val="Heading3"/>
      </w:pPr>
      <w:r>
        <w:t xml:space="preserve">16.3 All Staff</w:t>
      </w:r>
    </w:p>
    <w:p>
      <w:pPr>
        <w:pStyle w:val="Compact"/>
        <w:numPr>
          <w:ilvl w:val="0"/>
          <w:numId w:val="1019"/>
        </w:numPr>
      </w:pPr>
      <w:r>
        <w:t xml:space="preserve">Comply with this policy and related procedures</w:t>
      </w:r>
    </w:p>
    <w:p>
      <w:pPr>
        <w:pStyle w:val="Compact"/>
        <w:numPr>
          <w:ilvl w:val="0"/>
          <w:numId w:val="1019"/>
        </w:numPr>
      </w:pPr>
      <w:r>
        <w:t xml:space="preserve">Complete mandatory data protection training (annual)</w:t>
      </w:r>
    </w:p>
    <w:p>
      <w:pPr>
        <w:pStyle w:val="Compact"/>
        <w:numPr>
          <w:ilvl w:val="0"/>
          <w:numId w:val="1019"/>
        </w:numPr>
      </w:pPr>
      <w:r>
        <w:t xml:space="preserve">Report suspected breaches immediately</w:t>
      </w:r>
    </w:p>
    <w:p>
      <w:pPr>
        <w:pStyle w:val="Compact"/>
        <w:numPr>
          <w:ilvl w:val="0"/>
          <w:numId w:val="1019"/>
        </w:numPr>
      </w:pPr>
      <w:r>
        <w:t xml:space="preserve">Follow security procedures (MFA, strong passwords, clear desk)</w:t>
      </w:r>
    </w:p>
    <w:p>
      <w:pPr>
        <w:pStyle w:val="Compact"/>
        <w:numPr>
          <w:ilvl w:val="0"/>
          <w:numId w:val="1019"/>
        </w:numPr>
      </w:pPr>
      <w:r>
        <w:t xml:space="preserve">Only access data needed for their role</w:t>
      </w:r>
    </w:p>
    <w:p>
      <w:pPr>
        <w:pStyle w:val="Compact"/>
        <w:numPr>
          <w:ilvl w:val="0"/>
          <w:numId w:val="1019"/>
        </w:numPr>
      </w:pPr>
      <w:r>
        <w:t xml:space="preserve">Respect confidentiality</w:t>
      </w:r>
    </w:p>
    <w:bookmarkEnd w:id="68"/>
    <w:bookmarkStart w:id="69" w:name="managers"/>
    <w:p>
      <w:pPr>
        <w:pStyle w:val="Heading3"/>
      </w:pPr>
      <w:r>
        <w:t xml:space="preserve">16.4 Managers</w:t>
      </w:r>
    </w:p>
    <w:p>
      <w:pPr>
        <w:pStyle w:val="Compact"/>
        <w:numPr>
          <w:ilvl w:val="0"/>
          <w:numId w:val="1020"/>
        </w:numPr>
      </w:pPr>
      <w:r>
        <w:t xml:space="preserve">Ensure team compliance</w:t>
      </w:r>
    </w:p>
    <w:p>
      <w:pPr>
        <w:pStyle w:val="Compact"/>
        <w:numPr>
          <w:ilvl w:val="0"/>
          <w:numId w:val="1020"/>
        </w:numPr>
      </w:pPr>
      <w:r>
        <w:t xml:space="preserve">Facilitate staff training</w:t>
      </w:r>
    </w:p>
    <w:p>
      <w:pPr>
        <w:pStyle w:val="Compact"/>
        <w:numPr>
          <w:ilvl w:val="0"/>
          <w:numId w:val="1020"/>
        </w:numPr>
      </w:pPr>
      <w:r>
        <w:t xml:space="preserve">Manage access rights (least privilege)</w:t>
      </w:r>
    </w:p>
    <w:p>
      <w:pPr>
        <w:pStyle w:val="Compact"/>
        <w:numPr>
          <w:ilvl w:val="0"/>
          <w:numId w:val="1020"/>
        </w:numPr>
      </w:pPr>
      <w:r>
        <w:t xml:space="preserve">Report and escalate issues</w:t>
      </w:r>
    </w:p>
    <w:p>
      <w:r>
        <w:pict>
          <v:rect style="width:0;height:1.5pt" o:hralign="center" o:hrstd="t" o:hr="t"/>
        </w:pict>
      </w:r>
    </w:p>
    <w:bookmarkEnd w:id="69"/>
    <w:bookmarkEnd w:id="70"/>
    <w:bookmarkStart w:id="71" w:name="training-and-awareness"/>
    <w:p>
      <w:pPr>
        <w:pStyle w:val="Heading2"/>
      </w:pPr>
      <w:r>
        <w:t xml:space="preserve">17. Training and Awareness</w:t>
      </w:r>
    </w:p>
    <w:p>
      <w:pPr>
        <w:pStyle w:val="FirstParagraph"/>
      </w:pPr>
      <w:r>
        <w:t xml:space="preserve">All staff must complete:</w:t>
      </w:r>
    </w:p>
    <w:p>
      <w:pPr>
        <w:pStyle w:val="Compact"/>
        <w:numPr>
          <w:ilvl w:val="0"/>
          <w:numId w:val="1021"/>
        </w:numPr>
      </w:pPr>
      <w:r>
        <w:rPr>
          <w:b/>
          <w:bCs/>
        </w:rPr>
        <w:t xml:space="preserve">Induction training:</w:t>
      </w:r>
      <w:r>
        <w:t xml:space="preserve"> </w:t>
      </w:r>
      <w:r>
        <w:t xml:space="preserve">Before accessing personal data</w:t>
      </w:r>
    </w:p>
    <w:p>
      <w:pPr>
        <w:pStyle w:val="Compact"/>
        <w:numPr>
          <w:ilvl w:val="0"/>
          <w:numId w:val="1021"/>
        </w:numPr>
      </w:pPr>
      <w:r>
        <w:rPr>
          <w:b/>
          <w:bCs/>
        </w:rPr>
        <w:t xml:space="preserve">Annual refresher training:</w:t>
      </w:r>
      <w:r>
        <w:t xml:space="preserve"> </w:t>
      </w:r>
      <w:r>
        <w:t xml:space="preserve">Every 12 months</w:t>
      </w:r>
    </w:p>
    <w:p>
      <w:pPr>
        <w:pStyle w:val="Compact"/>
        <w:numPr>
          <w:ilvl w:val="0"/>
          <w:numId w:val="1021"/>
        </w:numPr>
      </w:pPr>
      <w:r>
        <w:rPr>
          <w:b/>
          <w:bCs/>
        </w:rPr>
        <w:t xml:space="preserve">Training on updates:</w:t>
      </w:r>
      <w:r>
        <w:t xml:space="preserve"> </w:t>
      </w:r>
      <w:r>
        <w:t xml:space="preserve">When policies change</w:t>
      </w:r>
    </w:p>
    <w:p>
      <w:pPr>
        <w:pStyle w:val="Compact"/>
        <w:numPr>
          <w:ilvl w:val="0"/>
          <w:numId w:val="1021"/>
        </w:numPr>
      </w:pPr>
      <w:r>
        <w:rPr>
          <w:b/>
          <w:bCs/>
        </w:rPr>
        <w:t xml:space="preserve">B2B-specific training:</w:t>
      </w:r>
      <w:r>
        <w:t xml:space="preserve"> </w:t>
      </w:r>
      <w:r>
        <w:t xml:space="preserve">Understanding employer confidentiality</w:t>
      </w:r>
    </w:p>
    <w:p>
      <w:pPr>
        <w:pStyle w:val="FirstParagraph"/>
      </w:pPr>
      <w:r>
        <w:rPr>
          <w:b/>
          <w:bCs/>
        </w:rPr>
        <w:t xml:space="preserve">Training Topics:</w:t>
      </w:r>
      <w:r>
        <w:t xml:space="preserve"> </w:t>
      </w:r>
      <w:r>
        <w:t xml:space="preserve">- UK GDPR principles and rights</w:t>
      </w:r>
      <w:r>
        <w:t xml:space="preserve"> </w:t>
      </w:r>
      <w:r>
        <w:t xml:space="preserve">- Clear Minds data classification (sensitive, not special category)</w:t>
      </w:r>
      <w:r>
        <w:t xml:space="preserve"> </w:t>
      </w:r>
      <w:r>
        <w:t xml:space="preserve">- Data minimization (name + email ONLY)</w:t>
      </w:r>
      <w:r>
        <w:t xml:space="preserve"> </w:t>
      </w:r>
      <w:r>
        <w:t xml:space="preserve">- Security practices (passwords, MFA, phishing awareness)</w:t>
      </w:r>
      <w:r>
        <w:t xml:space="preserve"> </w:t>
      </w:r>
      <w:r>
        <w:t xml:space="preserve">- Breach reporting</w:t>
      </w:r>
      <w:r>
        <w:t xml:space="preserve"> </w:t>
      </w:r>
      <w:r>
        <w:t xml:space="preserve">- B2B confidentiality requirements</w:t>
      </w:r>
    </w:p>
    <w:p>
      <w:pPr>
        <w:pStyle w:val="BodyText"/>
      </w:pPr>
      <w:r>
        <w:rPr>
          <w:b/>
          <w:bCs/>
        </w:rPr>
        <w:t xml:space="preserve">Tracking:</w:t>
      </w:r>
      <w:r>
        <w:t xml:space="preserve"> </w:t>
      </w:r>
      <w:r>
        <w:t xml:space="preserve">Training completion monitored. Non-completion may result in access restrictions.</w:t>
      </w:r>
    </w:p>
    <w:p>
      <w:r>
        <w:pict>
          <v:rect style="width:0;height:1.5pt" o:hralign="center" o:hrstd="t" o:hr="t"/>
        </w:pict>
      </w:r>
    </w:p>
    <w:bookmarkEnd w:id="71"/>
    <w:bookmarkStart w:id="72" w:name="monitoring-and-audit"/>
    <w:p>
      <w:pPr>
        <w:pStyle w:val="Heading2"/>
      </w:pPr>
      <w:r>
        <w:t xml:space="preserve">18. Monitoring and Audit</w:t>
      </w:r>
    </w:p>
    <w:p>
      <w:pPr>
        <w:pStyle w:val="FirstParagraph"/>
      </w:pPr>
      <w:r>
        <w:t xml:space="preserve">We monitor compliance through:</w:t>
      </w:r>
    </w:p>
    <w:p>
      <w:pPr>
        <w:pStyle w:val="Compact"/>
        <w:numPr>
          <w:ilvl w:val="0"/>
          <w:numId w:val="1022"/>
        </w:numPr>
      </w:pPr>
      <w:r>
        <w:rPr>
          <w:b/>
          <w:bCs/>
        </w:rPr>
        <w:t xml:space="preserve">Quarterly reviews:</w:t>
      </w:r>
      <w:r>
        <w:t xml:space="preserve"> </w:t>
      </w:r>
      <w:r>
        <w:t xml:space="preserve">Processing activities, ROPA updates</w:t>
      </w:r>
    </w:p>
    <w:p>
      <w:pPr>
        <w:pStyle w:val="Compact"/>
        <w:numPr>
          <w:ilvl w:val="0"/>
          <w:numId w:val="1022"/>
        </w:numPr>
      </w:pPr>
      <w:r>
        <w:rPr>
          <w:b/>
          <w:bCs/>
        </w:rPr>
        <w:t xml:space="preserve">Annual internal audits:</w:t>
      </w:r>
      <w:r>
        <w:t xml:space="preserve"> </w:t>
      </w:r>
      <w:r>
        <w:t xml:space="preserve">Policy compliance, security controls</w:t>
      </w:r>
    </w:p>
    <w:p>
      <w:pPr>
        <w:pStyle w:val="Compact"/>
        <w:numPr>
          <w:ilvl w:val="0"/>
          <w:numId w:val="1022"/>
        </w:numPr>
      </w:pPr>
      <w:r>
        <w:rPr>
          <w:b/>
          <w:bCs/>
        </w:rPr>
        <w:t xml:space="preserve">Annual access rights reviews:</w:t>
      </w:r>
      <w:r>
        <w:t xml:space="preserve"> </w:t>
      </w:r>
      <w:r>
        <w:t xml:space="preserve">Who has access to what?</w:t>
      </w:r>
    </w:p>
    <w:p>
      <w:pPr>
        <w:pStyle w:val="Compact"/>
        <w:numPr>
          <w:ilvl w:val="0"/>
          <w:numId w:val="1022"/>
        </w:numPr>
      </w:pPr>
      <w:r>
        <w:rPr>
          <w:b/>
          <w:bCs/>
        </w:rPr>
        <w:t xml:space="preserve">Breach log analysis:</w:t>
      </w:r>
      <w:r>
        <w:t xml:space="preserve"> </w:t>
      </w:r>
      <w:r>
        <w:t xml:space="preserve">Trends, lessons learned</w:t>
      </w:r>
    </w:p>
    <w:p>
      <w:pPr>
        <w:pStyle w:val="Compact"/>
        <w:numPr>
          <w:ilvl w:val="0"/>
          <w:numId w:val="1022"/>
        </w:numPr>
      </w:pPr>
      <w:r>
        <w:rPr>
          <w:b/>
          <w:bCs/>
        </w:rPr>
        <w:t xml:space="preserve">Training completion tracking</w:t>
      </w:r>
    </w:p>
    <w:p>
      <w:pPr>
        <w:pStyle w:val="Compact"/>
        <w:numPr>
          <w:ilvl w:val="0"/>
          <w:numId w:val="1022"/>
        </w:numPr>
      </w:pPr>
      <w:r>
        <w:rPr>
          <w:b/>
          <w:bCs/>
        </w:rPr>
        <w:t xml:space="preserve">Third-party processor reviews:</w:t>
      </w:r>
      <w:r>
        <w:t xml:space="preserve"> </w:t>
      </w:r>
      <w:r>
        <w:t xml:space="preserve">DPA compliance, security audits</w:t>
      </w:r>
    </w:p>
    <w:p>
      <w:pPr>
        <w:pStyle w:val="Compact"/>
        <w:numPr>
          <w:ilvl w:val="0"/>
          <w:numId w:val="1022"/>
        </w:numPr>
      </w:pPr>
      <w:r>
        <w:rPr>
          <w:b/>
          <w:bCs/>
        </w:rPr>
        <w:t xml:space="preserve">Annual penetration testing:</w:t>
      </w:r>
      <w:r>
        <w:t xml:space="preserve"> </w:t>
      </w:r>
      <w:r>
        <w:t xml:space="preserve">External security validation</w:t>
      </w:r>
    </w:p>
    <w:p>
      <w:r>
        <w:pict>
          <v:rect style="width:0;height:1.5pt" o:hralign="center" o:hrstd="t" o:hr="t"/>
        </w:pict>
      </w:r>
    </w:p>
    <w:bookmarkEnd w:id="72"/>
    <w:bookmarkStart w:id="73" w:name="records-and-documentation"/>
    <w:p>
      <w:pPr>
        <w:pStyle w:val="Heading2"/>
      </w:pPr>
      <w:r>
        <w:t xml:space="preserve">19. Records and Documentation</w:t>
      </w:r>
    </w:p>
    <w:p>
      <w:pPr>
        <w:pStyle w:val="FirstParagraph"/>
      </w:pPr>
      <w:r>
        <w:t xml:space="preserve">We maintain comprehensive records:</w:t>
      </w:r>
    </w:p>
    <w:tbl>
      <w:tblPr>
        <w:tblStyle w:val="Table"/>
        <w:tblW w:type="pct" w:w="5000"/>
        <w:tblLayout w:type="fixed"/>
        <w:tblLook w:firstRow="1" w:lastRow="0" w:firstColumn="0" w:lastColumn="0" w:noHBand="0" w:noVBand="0" w:val="0020"/>
      </w:tblPr>
      <w:tblGrid>
        <w:gridCol w:w="2262"/>
        <w:gridCol w:w="4073"/>
        <w:gridCol w:w="1584"/>
      </w:tblGrid>
      <w:tr>
        <w:trPr>
          <w:tblHeader w:val="on"/>
        </w:trPr>
        <w:tc>
          <w:tcPr/>
          <w:p>
            <w:pPr>
              <w:pStyle w:val="Compact"/>
            </w:pPr>
            <w:r>
              <w:t xml:space="preserve">Document</w:t>
            </w:r>
          </w:p>
        </w:tc>
        <w:tc>
          <w:tcPr/>
          <w:p>
            <w:pPr>
              <w:pStyle w:val="Compact"/>
            </w:pPr>
            <w:r>
              <w:t xml:space="preserve">Update Frequency</w:t>
            </w:r>
          </w:p>
        </w:tc>
        <w:tc>
          <w:tcPr/>
          <w:p>
            <w:pPr>
              <w:pStyle w:val="Compact"/>
            </w:pPr>
            <w:r>
              <w:t xml:space="preserve">Owner</w:t>
            </w:r>
          </w:p>
        </w:tc>
      </w:tr>
      <w:tr>
        <w:tc>
          <w:tcPr/>
          <w:p>
            <w:pPr>
              <w:pStyle w:val="Compact"/>
            </w:pPr>
            <w:r>
              <w:t xml:space="preserve">Record of Processing Activities (ROPA)</w:t>
            </w:r>
          </w:p>
        </w:tc>
        <w:tc>
          <w:tcPr/>
          <w:p>
            <w:pPr>
              <w:pStyle w:val="Compact"/>
            </w:pPr>
            <w:r>
              <w:t xml:space="preserve">Quarterly</w:t>
            </w:r>
          </w:p>
        </w:tc>
        <w:tc>
          <w:tcPr/>
          <w:p>
            <w:pPr>
              <w:pStyle w:val="Compact"/>
            </w:pPr>
            <w:r>
              <w:t xml:space="preserve">DPO</w:t>
            </w:r>
          </w:p>
        </w:tc>
      </w:tr>
      <w:tr>
        <w:tc>
          <w:tcPr/>
          <w:p>
            <w:pPr>
              <w:pStyle w:val="Compact"/>
            </w:pPr>
            <w:r>
              <w:t xml:space="preserve">Data breach log</w:t>
            </w:r>
          </w:p>
        </w:tc>
        <w:tc>
          <w:tcPr/>
          <w:p>
            <w:pPr>
              <w:pStyle w:val="Compact"/>
            </w:pPr>
            <w:r>
              <w:t xml:space="preserve">Ongoing</w:t>
            </w:r>
          </w:p>
        </w:tc>
        <w:tc>
          <w:tcPr/>
          <w:p>
            <w:pPr>
              <w:pStyle w:val="Compact"/>
            </w:pPr>
            <w:r>
              <w:t xml:space="preserve">DPO</w:t>
            </w:r>
          </w:p>
        </w:tc>
      </w:tr>
      <w:tr>
        <w:tc>
          <w:tcPr/>
          <w:p>
            <w:pPr>
              <w:pStyle w:val="Compact"/>
            </w:pPr>
            <w:r>
              <w:t xml:space="preserve">Subject Access Request (SAR) log</w:t>
            </w:r>
          </w:p>
        </w:tc>
        <w:tc>
          <w:tcPr/>
          <w:p>
            <w:pPr>
              <w:pStyle w:val="Compact"/>
            </w:pPr>
            <w:r>
              <w:t xml:space="preserve">Ongoing</w:t>
            </w:r>
          </w:p>
        </w:tc>
        <w:tc>
          <w:tcPr/>
          <w:p>
            <w:pPr>
              <w:pStyle w:val="Compact"/>
            </w:pPr>
            <w:r>
              <w:t xml:space="preserve">DPO</w:t>
            </w:r>
          </w:p>
        </w:tc>
      </w:tr>
      <w:tr>
        <w:tc>
          <w:tcPr/>
          <w:p>
            <w:pPr>
              <w:pStyle w:val="Compact"/>
            </w:pPr>
            <w:r>
              <w:t xml:space="preserve">Training records</w:t>
            </w:r>
          </w:p>
        </w:tc>
        <w:tc>
          <w:tcPr/>
          <w:p>
            <w:pPr>
              <w:pStyle w:val="Compact"/>
            </w:pPr>
            <w:r>
              <w:t xml:space="preserve">Ongoing</w:t>
            </w:r>
          </w:p>
        </w:tc>
        <w:tc>
          <w:tcPr/>
          <w:p>
            <w:pPr>
              <w:pStyle w:val="Compact"/>
            </w:pPr>
            <w:r>
              <w:t xml:space="preserve">HR/DPO</w:t>
            </w:r>
          </w:p>
        </w:tc>
      </w:tr>
      <w:tr>
        <w:tc>
          <w:tcPr/>
          <w:p>
            <w:pPr>
              <w:pStyle w:val="Compact"/>
            </w:pPr>
            <w:r>
              <w:t xml:space="preserve">Data Protection Impact Assessment (DPIA)</w:t>
            </w:r>
          </w:p>
        </w:tc>
        <w:tc>
          <w:tcPr/>
          <w:p>
            <w:pPr>
              <w:pStyle w:val="Compact"/>
            </w:pPr>
            <w:r>
              <w:t xml:space="preserve">Annual or when processing changes</w:t>
            </w:r>
          </w:p>
        </w:tc>
        <w:tc>
          <w:tcPr/>
          <w:p>
            <w:pPr>
              <w:pStyle w:val="Compact"/>
            </w:pPr>
            <w:r>
              <w:t xml:space="preserve">DPO</w:t>
            </w:r>
          </w:p>
        </w:tc>
      </w:tr>
      <w:tr>
        <w:tc>
          <w:tcPr/>
          <w:p>
            <w:pPr>
              <w:pStyle w:val="Compact"/>
            </w:pPr>
            <w:r>
              <w:t xml:space="preserve">Data Processing Agreements (DPAs)</w:t>
            </w:r>
          </w:p>
        </w:tc>
        <w:tc>
          <w:tcPr/>
          <w:p>
            <w:pPr>
              <w:pStyle w:val="Compact"/>
            </w:pPr>
            <w:r>
              <w:t xml:space="preserve">Annual review</w:t>
            </w:r>
          </w:p>
        </w:tc>
        <w:tc>
          <w:tcPr/>
          <w:p>
            <w:pPr>
              <w:pStyle w:val="Compact"/>
            </w:pPr>
            <w:r>
              <w:t xml:space="preserve">DPO/Legal</w:t>
            </w:r>
          </w:p>
        </w:tc>
      </w:tr>
      <w:tr>
        <w:tc>
          <w:tcPr/>
          <w:p>
            <w:pPr>
              <w:pStyle w:val="Compact"/>
            </w:pPr>
            <w:r>
              <w:t xml:space="preserve">Consent records (marketing)</w:t>
            </w:r>
          </w:p>
        </w:tc>
        <w:tc>
          <w:tcPr/>
          <w:p>
            <w:pPr>
              <w:pStyle w:val="Compact"/>
            </w:pPr>
            <w:r>
              <w:t xml:space="preserve">Ongoing</w:t>
            </w:r>
          </w:p>
        </w:tc>
        <w:tc>
          <w:tcPr/>
          <w:p>
            <w:pPr>
              <w:pStyle w:val="Compact"/>
            </w:pPr>
            <w:r>
              <w:t xml:space="preserve">Marketing/DPO</w:t>
            </w:r>
          </w:p>
        </w:tc>
      </w:tr>
      <w:tr>
        <w:tc>
          <w:tcPr/>
          <w:p>
            <w:pPr>
              <w:pStyle w:val="Compact"/>
            </w:pPr>
            <w:r>
              <w:t xml:space="preserve">Policy approval and review documentation</w:t>
            </w:r>
          </w:p>
        </w:tc>
        <w:tc>
          <w:tcPr/>
          <w:p>
            <w:pPr>
              <w:pStyle w:val="Compact"/>
            </w:pPr>
            <w:r>
              <w:t xml:space="preserve">Annual</w:t>
            </w:r>
          </w:p>
        </w:tc>
        <w:tc>
          <w:tcPr/>
          <w:p>
            <w:pPr>
              <w:pStyle w:val="Compact"/>
            </w:pPr>
            <w:r>
              <w:t xml:space="preserve">Board/DPO</w:t>
            </w:r>
          </w:p>
        </w:tc>
      </w:tr>
    </w:tbl>
    <w:p>
      <w:r>
        <w:pict>
          <v:rect style="width:0;height:1.5pt" o:hralign="center" o:hrstd="t" o:hr="t"/>
        </w:pict>
      </w:r>
    </w:p>
    <w:bookmarkEnd w:id="73"/>
    <w:bookmarkStart w:id="74" w:name="related-policies-and-procedures"/>
    <w:p>
      <w:pPr>
        <w:pStyle w:val="Heading2"/>
      </w:pPr>
      <w:r>
        <w:t xml:space="preserve">20. Related Policies and Procedures</w:t>
      </w:r>
    </w:p>
    <w:p>
      <w:pPr>
        <w:pStyle w:val="Compact"/>
        <w:numPr>
          <w:ilvl w:val="0"/>
          <w:numId w:val="1023"/>
        </w:numPr>
      </w:pPr>
      <w:r>
        <w:rPr>
          <w:b/>
          <w:bCs/>
        </w:rPr>
        <w:t xml:space="preserve">Privacy Policy</w:t>
      </w:r>
      <w:r>
        <w:t xml:space="preserve"> </w:t>
      </w:r>
      <w:r>
        <w:t xml:space="preserve">(public-facing)</w:t>
      </w:r>
    </w:p>
    <w:p>
      <w:pPr>
        <w:pStyle w:val="Compact"/>
        <w:numPr>
          <w:ilvl w:val="0"/>
          <w:numId w:val="1023"/>
        </w:numPr>
      </w:pPr>
      <w:r>
        <w:rPr>
          <w:b/>
          <w:bCs/>
        </w:rPr>
        <w:t xml:space="preserve">Data Breach Response Plan</w:t>
      </w:r>
    </w:p>
    <w:p>
      <w:pPr>
        <w:pStyle w:val="Compact"/>
        <w:numPr>
          <w:ilvl w:val="0"/>
          <w:numId w:val="1023"/>
        </w:numPr>
      </w:pPr>
      <w:r>
        <w:rPr>
          <w:b/>
          <w:bCs/>
        </w:rPr>
        <w:t xml:space="preserve">Subject Access Request (SAR) Procedure</w:t>
      </w:r>
    </w:p>
    <w:p>
      <w:pPr>
        <w:pStyle w:val="Compact"/>
        <w:numPr>
          <w:ilvl w:val="0"/>
          <w:numId w:val="1023"/>
        </w:numPr>
      </w:pPr>
      <w:r>
        <w:rPr>
          <w:b/>
          <w:bCs/>
        </w:rPr>
        <w:t xml:space="preserve">Information Security Policy</w:t>
      </w:r>
    </w:p>
    <w:p>
      <w:pPr>
        <w:pStyle w:val="Compact"/>
        <w:numPr>
          <w:ilvl w:val="0"/>
          <w:numId w:val="1023"/>
        </w:numPr>
      </w:pPr>
      <w:r>
        <w:rPr>
          <w:b/>
          <w:bCs/>
        </w:rPr>
        <w:t xml:space="preserve">Cookie Policy</w:t>
      </w:r>
    </w:p>
    <w:p>
      <w:pPr>
        <w:pStyle w:val="Compact"/>
        <w:numPr>
          <w:ilvl w:val="0"/>
          <w:numId w:val="1023"/>
        </w:numPr>
      </w:pPr>
      <w:r>
        <w:rPr>
          <w:b/>
          <w:bCs/>
        </w:rPr>
        <w:t xml:space="preserve">Acceptable Use Policy</w:t>
      </w:r>
    </w:p>
    <w:p>
      <w:pPr>
        <w:pStyle w:val="Compact"/>
        <w:numPr>
          <w:ilvl w:val="0"/>
          <w:numId w:val="1023"/>
        </w:numPr>
      </w:pPr>
      <w:r>
        <w:rPr>
          <w:b/>
          <w:bCs/>
        </w:rPr>
        <w:t xml:space="preserve">Employer Non-Snooping Agreement</w:t>
      </w:r>
      <w:r>
        <w:t xml:space="preserve"> </w:t>
      </w:r>
      <w:r>
        <w:t xml:space="preserve">(B2B)</w:t>
      </w:r>
    </w:p>
    <w:p>
      <w:pPr>
        <w:pStyle w:val="Compact"/>
        <w:numPr>
          <w:ilvl w:val="0"/>
          <w:numId w:val="1023"/>
        </w:numPr>
      </w:pPr>
      <w:r>
        <w:rPr>
          <w:b/>
          <w:bCs/>
        </w:rPr>
        <w:t xml:space="preserve">Community Risk Assessment</w:t>
      </w:r>
      <w:r>
        <w:t xml:space="preserve"> </w:t>
      </w:r>
      <w:r>
        <w:t xml:space="preserve">(Facebook moderation)</w:t>
      </w:r>
    </w:p>
    <w:p>
      <w:pPr>
        <w:pStyle w:val="Compact"/>
        <w:numPr>
          <w:ilvl w:val="0"/>
          <w:numId w:val="1023"/>
        </w:numPr>
      </w:pPr>
      <w:r>
        <w:rPr>
          <w:b/>
          <w:bCs/>
        </w:rPr>
        <w:t xml:space="preserve">CDO Data Governance Position Document</w:t>
      </w:r>
    </w:p>
    <w:p>
      <w:r>
        <w:pict>
          <v:rect style="width:0;height:1.5pt" o:hralign="center" o:hrstd="t" o:hr="t"/>
        </w:pict>
      </w:r>
    </w:p>
    <w:bookmarkEnd w:id="74"/>
    <w:bookmarkStart w:id="75" w:name="policy-review-and-updates"/>
    <w:p>
      <w:pPr>
        <w:pStyle w:val="Heading2"/>
      </w:pPr>
      <w:r>
        <w:t xml:space="preserve">21. Policy Review and Updates</w:t>
      </w:r>
    </w:p>
    <w:p>
      <w:pPr>
        <w:pStyle w:val="FirstParagraph"/>
      </w:pPr>
      <w:r>
        <w:t xml:space="preserve">This policy is reviewed:</w:t>
      </w:r>
    </w:p>
    <w:p>
      <w:pPr>
        <w:pStyle w:val="Compact"/>
        <w:numPr>
          <w:ilvl w:val="0"/>
          <w:numId w:val="1024"/>
        </w:numPr>
      </w:pPr>
      <w:r>
        <w:rPr>
          <w:b/>
          <w:bCs/>
        </w:rPr>
        <w:t xml:space="preserve">Annually</w:t>
      </w:r>
      <w:r>
        <w:t xml:space="preserve"> </w:t>
      </w:r>
      <w:r>
        <w:t xml:space="preserve">as a minimum</w:t>
      </w:r>
    </w:p>
    <w:p>
      <w:pPr>
        <w:pStyle w:val="Compact"/>
        <w:numPr>
          <w:ilvl w:val="0"/>
          <w:numId w:val="1024"/>
        </w:numPr>
      </w:pPr>
      <w:r>
        <w:t xml:space="preserve">When legislation changes</w:t>
      </w:r>
    </w:p>
    <w:p>
      <w:pPr>
        <w:pStyle w:val="Compact"/>
        <w:numPr>
          <w:ilvl w:val="0"/>
          <w:numId w:val="1024"/>
        </w:numPr>
      </w:pPr>
      <w:r>
        <w:t xml:space="preserve">Following significant data breaches</w:t>
      </w:r>
    </w:p>
    <w:p>
      <w:pPr>
        <w:pStyle w:val="Compact"/>
        <w:numPr>
          <w:ilvl w:val="0"/>
          <w:numId w:val="1024"/>
        </w:numPr>
      </w:pPr>
      <w:r>
        <w:t xml:space="preserve">When processing activities change materially</w:t>
      </w:r>
    </w:p>
    <w:p>
      <w:pPr>
        <w:pStyle w:val="Compact"/>
        <w:numPr>
          <w:ilvl w:val="0"/>
          <w:numId w:val="1024"/>
        </w:numPr>
      </w:pPr>
      <w:r>
        <w:t xml:space="preserve">Following ICO guidance updates</w:t>
      </w:r>
    </w:p>
    <w:p>
      <w:pPr>
        <w:pStyle w:val="FirstParagraph"/>
      </w:pPr>
      <w:r>
        <w:rPr>
          <w:b/>
          <w:bCs/>
        </w:rPr>
        <w:t xml:space="preserve">Questions or Concerns?</w:t>
      </w:r>
    </w:p>
    <w:p>
      <w:pPr>
        <w:pStyle w:val="BodyText"/>
      </w:pPr>
      <w:r>
        <w:rPr>
          <w:b/>
          <w:bCs/>
        </w:rPr>
        <w:t xml:space="preserve">Data Protection Officer:</w:t>
      </w:r>
      <w:r>
        <w:t xml:space="preserve"> </w:t>
      </w:r>
      <w:r>
        <w:t xml:space="preserve">dpo@clearminds.com | [PHONE]</w:t>
      </w:r>
    </w:p>
    <w:p>
      <w:r>
        <w:pict>
          <v:rect style="width:0;height:1.5pt" o:hralign="center" o:hrstd="t" o:hr="t"/>
        </w:pict>
      </w:r>
    </w:p>
    <w:bookmarkEnd w:id="75"/>
    <w:bookmarkStart w:id="78" w:name="compliance-and-enforcement"/>
    <w:p>
      <w:pPr>
        <w:pStyle w:val="Heading2"/>
      </w:pPr>
      <w:r>
        <w:t xml:space="preserve">22. Compliance and Enforcement</w:t>
      </w:r>
    </w:p>
    <w:bookmarkStart w:id="76" w:name="staff-non-compliance"/>
    <w:p>
      <w:pPr>
        <w:pStyle w:val="Heading3"/>
      </w:pPr>
      <w:r>
        <w:t xml:space="preserve">22.1 Staff Non-Compliance</w:t>
      </w:r>
    </w:p>
    <w:p>
      <w:pPr>
        <w:pStyle w:val="FirstParagraph"/>
      </w:pPr>
      <w:r>
        <w:t xml:space="preserve">Failure to comply with this policy may result in:</w:t>
      </w:r>
      <w:r>
        <w:t xml:space="preserve"> </w:t>
      </w:r>
      <w:r>
        <w:t xml:space="preserve">- Retraining requirements</w:t>
      </w:r>
      <w:r>
        <w:t xml:space="preserve"> </w:t>
      </w:r>
      <w:r>
        <w:t xml:space="preserve">- Restriction or removal of data access</w:t>
      </w:r>
      <w:r>
        <w:t xml:space="preserve"> </w:t>
      </w:r>
      <w:r>
        <w:t xml:space="preserve">- Disciplinary action up to and including dismissal</w:t>
      </w:r>
      <w:r>
        <w:t xml:space="preserve"> </w:t>
      </w:r>
      <w:r>
        <w:t xml:space="preserve">- Legal action in serious cases</w:t>
      </w:r>
    </w:p>
    <w:bookmarkEnd w:id="76"/>
    <w:bookmarkStart w:id="77" w:name="organisational-risk"/>
    <w:p>
      <w:pPr>
        <w:pStyle w:val="Heading3"/>
      </w:pPr>
      <w:r>
        <w:t xml:space="preserve">22.2 Organisational Risk</w:t>
      </w:r>
    </w:p>
    <w:p>
      <w:pPr>
        <w:pStyle w:val="FirstParagraph"/>
      </w:pPr>
      <w:r>
        <w:t xml:space="preserve">Clear Minds may also face:</w:t>
      </w:r>
      <w:r>
        <w:t xml:space="preserve"> </w:t>
      </w:r>
      <w:r>
        <w:t xml:space="preserve">- ICO fines up to £17.5 million or 4% of global turnover</w:t>
      </w:r>
      <w:r>
        <w:t xml:space="preserve"> </w:t>
      </w:r>
      <w:r>
        <w:t xml:space="preserve">- Reputational damage</w:t>
      </w:r>
      <w:r>
        <w:t xml:space="preserve"> </w:t>
      </w:r>
      <w:r>
        <w:t xml:space="preserve">- Loss of corporate partnerships (B2B clients)</w:t>
      </w:r>
    </w:p>
    <w:p>
      <w:r>
        <w:pict>
          <v:rect style="width:0;height:1.5pt" o:hralign="center" o:hrstd="t" o:hr="t"/>
        </w:pict>
      </w:r>
    </w:p>
    <w:p>
      <w:pPr>
        <w:pStyle w:val="FirstParagraph"/>
      </w:pPr>
      <w:r>
        <w:rPr>
          <w:b/>
          <w:bCs/>
        </w:rPr>
        <w:t xml:space="preserve">Document Control</w:t>
      </w:r>
    </w:p>
    <w:p>
      <w:pPr>
        <w:pStyle w:val="BodyText"/>
      </w:pPr>
      <w:r>
        <w:t xml:space="preserve">Policy Reference: CM-DP-002 | Version: 2.0 (Clear Minds Digital Platform)</w:t>
      </w:r>
    </w:p>
    <w:p>
      <w:pPr>
        <w:pStyle w:val="BodyText"/>
      </w:pPr>
      <w:r>
        <w:t xml:space="preserve">Approved by: Board of Directors</w:t>
      </w:r>
    </w:p>
    <w:p>
      <w:pPr>
        <w:pStyle w:val="BodyText"/>
      </w:pPr>
      <w:r>
        <w:t xml:space="preserve">Next Review: [INSERT DATE]</w:t>
      </w:r>
    </w:p>
    <w:p>
      <w:pPr>
        <w:pStyle w:val="BodyText"/>
      </w:pPr>
      <w:r>
        <w:t xml:space="preserve">Contact: dpo@clearminds.com</w:t>
      </w:r>
    </w:p>
    <w:p>
      <w:pPr>
        <w:pStyle w:val="BodyText"/>
      </w:pPr>
      <w:r>
        <w:t xml:space="preserve">© 2025 Clear Minds Ltd. All rights reserved.</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file>