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data-breach-response-plan"/>
    <w:p>
      <w:pPr>
        <w:pStyle w:val="Heading1"/>
      </w:pPr>
      <w:r>
        <w:t xml:space="preserve">Data Breach Response Plan</w:t>
      </w:r>
    </w:p>
    <w:p>
      <w:pPr>
        <w:pStyle w:val="FirstParagraph"/>
      </w:pPr>
      <w:r>
        <w:rPr>
          <w:b/>
          <w:bCs/>
        </w:rPr>
        <w:t xml:space="preserve">Policy Owner</w:t>
      </w:r>
      <w:r>
        <w:t xml:space="preserve">: Data Protection Officer</w:t>
      </w:r>
      <w:r>
        <w:t xml:space="preserve"> </w:t>
      </w:r>
      <w:r>
        <w:rPr>
          <w:b/>
          <w:bCs/>
        </w:rPr>
        <w:t xml:space="preserve">Effective Date</w:t>
      </w:r>
      <w:r>
        <w:t xml:space="preserve">: [INSERT DATE]</w:t>
      </w:r>
      <w:r>
        <w:t xml:space="preserve"> </w:t>
      </w:r>
      <w:r>
        <w:rPr>
          <w:b/>
          <w:bCs/>
        </w:rPr>
        <w:t xml:space="preserve">Review Date</w:t>
      </w:r>
      <w:r>
        <w:t xml:space="preserve">: [ANNUAL REVIEW]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24/7 Emergency Contact</w:t>
      </w:r>
      <w:r>
        <w:t xml:space="preserve">: [DPO EMERGENCY NUMBER]</w:t>
      </w:r>
    </w:p>
    <w:p>
      <w:r>
        <w:pict>
          <v:rect style="width:0;height:1.5pt" o:hralign="center" o:hrstd="t" o:hr="t"/>
        </w:pict>
      </w:r>
    </w:p>
    <w:bookmarkStart w:id="9" w:name="emergency-breach-reporting"/>
    <w:p>
      <w:pPr>
        <w:pStyle w:val="Heading2"/>
      </w:pPr>
      <w:r>
        <w:t xml:space="preserve">EMERGENCY BREACH REPORTING</w:t>
      </w:r>
    </w:p>
    <w:p>
      <w:pPr>
        <w:pStyle w:val="FirstParagraph"/>
      </w:pPr>
      <w:r>
        <w:t xml:space="preserve">If you discover or suspect a data breach:</w:t>
      </w:r>
    </w:p>
    <w:p>
      <w:pPr>
        <w:pStyle w:val="BodyText"/>
      </w:pPr>
      <w:r>
        <w:rPr>
          <w:b/>
          <w:bCs/>
        </w:rPr>
        <w:t xml:space="preserve">IMMEDIATELY contact the Data Protection Officer:</w:t>
      </w:r>
    </w:p>
    <w:p>
      <w:pPr>
        <w:pStyle w:val="Compact"/>
        <w:numPr>
          <w:ilvl w:val="0"/>
          <w:numId w:val="1001"/>
        </w:numPr>
      </w:pPr>
      <w:r>
        <w:t xml:space="preserve">Emergency: [DPO EMERGENCY NUMBER] (24/7)</w:t>
      </w:r>
    </w:p>
    <w:p>
      <w:pPr>
        <w:pStyle w:val="Compact"/>
        <w:numPr>
          <w:ilvl w:val="0"/>
          <w:numId w:val="1001"/>
        </w:numPr>
      </w:pPr>
      <w:r>
        <w:t xml:space="preserve">Email: dpo@clearmindseap.com</w:t>
      </w:r>
    </w:p>
    <w:p>
      <w:pPr>
        <w:pStyle w:val="Compact"/>
        <w:numPr>
          <w:ilvl w:val="0"/>
          <w:numId w:val="1001"/>
        </w:numPr>
      </w:pPr>
      <w:r>
        <w:t xml:space="preserve">Backup: [BACKUP CONTACT EMAIL]</w:t>
      </w:r>
    </w:p>
    <w:p>
      <w:pPr>
        <w:pStyle w:val="FirstParagraph"/>
      </w:pPr>
      <w:r>
        <w:rPr>
          <w:b/>
          <w:bCs/>
        </w:rPr>
        <w:t xml:space="preserve">Do NOT delay reporting</w:t>
      </w:r>
      <w:r>
        <w:t xml:space="preserve"> </w:t>
      </w:r>
      <w:r>
        <w:t xml:space="preserve">- we have strict legal timeframes to report to the ICO (within 72 hours)</w:t>
      </w:r>
    </w:p>
    <w:bookmarkEnd w:id="9"/>
    <w:bookmarkStart w:id="12" w:name="introduction-and-purpose"/>
    <w:p>
      <w:pPr>
        <w:pStyle w:val="Heading2"/>
      </w:pPr>
      <w:r>
        <w:t xml:space="preserve">1. Introduction and Purpose</w:t>
      </w:r>
    </w:p>
    <w:p>
      <w:pPr>
        <w:pStyle w:val="FirstParagraph"/>
      </w:pPr>
      <w:r>
        <w:t xml:space="preserve">This Data Breach Response Plan establishes ClearMinds’ procedures for identifying, assessing, responding to, and recovering from personal data breaches in compliance with UK GDPR and the Data Protection Act 2018.</w:t>
      </w:r>
    </w:p>
    <w:p>
      <w:pPr>
        <w:pStyle w:val="BodyText"/>
      </w:pPr>
      <w:r>
        <w:t xml:space="preserve">A personal data breach can have serious consequences for affected individuals and for ClearMinds. This plan ensures we respond quickly, effectively, and in compliance with legal requirements, particularly the 72-hour notification requirement to the ICO.</w:t>
      </w:r>
    </w:p>
    <w:bookmarkStart w:id="10" w:name="what-is-a-data-breach"/>
    <w:p>
      <w:pPr>
        <w:pStyle w:val="Heading3"/>
      </w:pPr>
      <w:r>
        <w:t xml:space="preserve">1.1 What is a Data Breach?</w:t>
      </w:r>
    </w:p>
    <w:p>
      <w:pPr>
        <w:pStyle w:val="FirstParagraph"/>
      </w:pPr>
      <w:r>
        <w:t xml:space="preserve">Under UK GDPR Article 4(12), a personal data breach means:</w:t>
      </w:r>
    </w:p>
    <w:p>
      <w:pPr>
        <w:pStyle w:val="BlockText"/>
      </w:pPr>
      <w:r>
        <w:t xml:space="preserve">“A breach of security leading to the accidental or unlawful destruction, loss, alteration, unauthorised disclosure of, or access to, personal data transmitted, stored or otherwise processed.”</w:t>
      </w:r>
    </w:p>
    <w:bookmarkEnd w:id="10"/>
    <w:bookmarkStart w:id="11" w:name="types-of-data-breaches"/>
    <w:p>
      <w:pPr>
        <w:pStyle w:val="Heading3"/>
      </w:pPr>
      <w:r>
        <w:t xml:space="preserve">1.2 Types of Data Breaches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Confidentiality Breach:</w:t>
      </w:r>
      <w:r>
        <w:t xml:space="preserve"> </w:t>
      </w:r>
      <w:r>
        <w:t xml:space="preserve">Unauthorised or accidental disclosure of or access to personal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Availability Breach:</w:t>
      </w:r>
      <w:r>
        <w:t xml:space="preserve"> </w:t>
      </w:r>
      <w:r>
        <w:t xml:space="preserve">Accidental or unauthorised loss of access to or destruction of personal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Integrity Breach:</w:t>
      </w:r>
      <w:r>
        <w:t xml:space="preserve"> </w:t>
      </w:r>
      <w:r>
        <w:t xml:space="preserve">Unauthorised or accidental alteration of personal data</w:t>
      </w:r>
    </w:p>
    <w:p>
      <w:pPr>
        <w:pStyle w:val="FirstParagraph"/>
      </w:pPr>
      <w:r>
        <w:rPr>
          <w:b/>
          <w:bCs/>
        </w:rPr>
        <w:t xml:space="preserve">Examples of Data Breaches:</w:t>
      </w:r>
    </w:p>
    <w:p>
      <w:pPr>
        <w:pStyle w:val="Compact"/>
        <w:numPr>
          <w:ilvl w:val="0"/>
          <w:numId w:val="1003"/>
        </w:numPr>
      </w:pPr>
      <w:r>
        <w:t xml:space="preserve">Email sent to wrong recipient containing personal data</w:t>
      </w:r>
    </w:p>
    <w:p>
      <w:pPr>
        <w:pStyle w:val="Compact"/>
        <w:numPr>
          <w:ilvl w:val="0"/>
          <w:numId w:val="1003"/>
        </w:numPr>
      </w:pPr>
      <w:r>
        <w:t xml:space="preserve">Loss or theft of device containing personal data</w:t>
      </w:r>
    </w:p>
    <w:p>
      <w:pPr>
        <w:pStyle w:val="Compact"/>
        <w:numPr>
          <w:ilvl w:val="0"/>
          <w:numId w:val="1003"/>
        </w:numPr>
      </w:pPr>
      <w:r>
        <w:t xml:space="preserve">Ransomware attack encrypting clinical records</w:t>
      </w:r>
    </w:p>
    <w:p>
      <w:pPr>
        <w:pStyle w:val="Compact"/>
        <w:numPr>
          <w:ilvl w:val="0"/>
          <w:numId w:val="1003"/>
        </w:numPr>
      </w:pPr>
      <w:r>
        <w:t xml:space="preserve">Unauthorised access to systems by hacker</w:t>
      </w:r>
    </w:p>
    <w:p>
      <w:pPr>
        <w:pStyle w:val="Compact"/>
        <w:numPr>
          <w:ilvl w:val="0"/>
          <w:numId w:val="1003"/>
        </w:numPr>
      </w:pPr>
      <w:r>
        <w:t xml:space="preserve">Staff member accessing records without authorisation</w:t>
      </w:r>
    </w:p>
    <w:p>
      <w:pPr>
        <w:pStyle w:val="Compact"/>
        <w:numPr>
          <w:ilvl w:val="0"/>
          <w:numId w:val="1003"/>
        </w:numPr>
      </w:pPr>
      <w:r>
        <w:t xml:space="preserve">Accidental publication of personal data on website</w:t>
      </w:r>
    </w:p>
    <w:p>
      <w:pPr>
        <w:pStyle w:val="Compact"/>
        <w:numPr>
          <w:ilvl w:val="0"/>
          <w:numId w:val="1003"/>
        </w:numPr>
      </w:pPr>
      <w:r>
        <w:t xml:space="preserve">Physical records left in insecure location</w:t>
      </w:r>
    </w:p>
    <w:p>
      <w:pPr>
        <w:pStyle w:val="Compact"/>
        <w:numPr>
          <w:ilvl w:val="0"/>
          <w:numId w:val="1003"/>
        </w:numPr>
      </w:pPr>
      <w:r>
        <w:t xml:space="preserve">Backup tapes lost or stolen</w:t>
      </w:r>
    </w:p>
    <w:bookmarkEnd w:id="11"/>
    <w:bookmarkEnd w:id="12"/>
    <w:bookmarkStart w:id="15" w:name="data-breach-response-team"/>
    <w:p>
      <w:pPr>
        <w:pStyle w:val="Heading2"/>
      </w:pPr>
      <w:r>
        <w:t xml:space="preserve">2. Data Breach Response Team</w:t>
      </w:r>
    </w:p>
    <w:bookmarkStart w:id="13" w:name="core-response-team"/>
    <w:p>
      <w:pPr>
        <w:pStyle w:val="Heading3"/>
      </w:pPr>
      <w:r>
        <w:t xml:space="preserve">2.1 Core Response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875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 (Lead)</w:t>
            </w:r>
          </w:p>
        </w:tc>
        <w:tc>
          <w:tcPr/>
          <w:p>
            <w:pPr>
              <w:pStyle w:val="Compact"/>
            </w:pPr>
            <w:r>
              <w:t xml:space="preserve">[DPO NAME]</w:t>
            </w:r>
          </w:p>
        </w:tc>
        <w:tc>
          <w:tcPr/>
          <w:p>
            <w:pPr>
              <w:pStyle w:val="Compact"/>
            </w:pPr>
            <w:r>
              <w:t xml:space="preserve">[DPO CONTACT]</w:t>
            </w:r>
          </w:p>
        </w:tc>
        <w:tc>
          <w:tcPr/>
          <w:p>
            <w:pPr>
              <w:pStyle w:val="Compact"/>
            </w:pPr>
            <w:r>
              <w:t xml:space="preserve">Overall incident management, ICO liaison, regulatory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Security Lead</w:t>
            </w:r>
          </w:p>
        </w:tc>
        <w:tc>
          <w:tcPr/>
          <w:p>
            <w:pPr>
              <w:pStyle w:val="Compact"/>
            </w:pPr>
            <w:r>
              <w:t xml:space="preserve">[IT LEAD NAME]</w:t>
            </w:r>
          </w:p>
        </w:tc>
        <w:tc>
          <w:tcPr/>
          <w:p>
            <w:pPr>
              <w:pStyle w:val="Compact"/>
            </w:pPr>
            <w:r>
              <w:t xml:space="preserve">[IT CONTACT]</w:t>
            </w:r>
          </w:p>
        </w:tc>
        <w:tc>
          <w:tcPr/>
          <w:p>
            <w:pPr>
              <w:pStyle w:val="Compact"/>
            </w:pPr>
            <w:r>
              <w:t xml:space="preserve">Technical investigation, containment, system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 Director</w:t>
            </w:r>
          </w:p>
        </w:tc>
        <w:tc>
          <w:tcPr/>
          <w:p>
            <w:pPr>
              <w:pStyle w:val="Compact"/>
            </w:pPr>
            <w:r>
              <w:t xml:space="preserve">[CLINICAL DIRECTOR NAME]</w:t>
            </w:r>
          </w:p>
        </w:tc>
        <w:tc>
          <w:tcPr/>
          <w:p>
            <w:pPr>
              <w:pStyle w:val="Compact"/>
            </w:pPr>
            <w:r>
              <w:t xml:space="preserve">[CLINICAL CONTACT]</w:t>
            </w:r>
          </w:p>
        </w:tc>
        <w:tc>
          <w:tcPr/>
          <w:p>
            <w:pPr>
              <w:pStyle w:val="Compact"/>
            </w:pPr>
            <w:r>
              <w:t xml:space="preserve">Clinical impact assessment, patient safety, clinical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Counsel</w:t>
            </w:r>
          </w:p>
        </w:tc>
        <w:tc>
          <w:tcPr/>
          <w:p>
            <w:pPr>
              <w:pStyle w:val="Compact"/>
            </w:pPr>
            <w:r>
              <w:t xml:space="preserve">[LEGAL NAME / FIRM]</w:t>
            </w:r>
          </w:p>
        </w:tc>
        <w:tc>
          <w:tcPr/>
          <w:p>
            <w:pPr>
              <w:pStyle w:val="Compact"/>
            </w:pPr>
            <w:r>
              <w:t xml:space="preserve">[LEGAL CONTACT]</w:t>
            </w:r>
          </w:p>
        </w:tc>
        <w:tc>
          <w:tcPr/>
          <w:p>
            <w:pPr>
              <w:pStyle w:val="Compact"/>
            </w:pPr>
            <w:r>
              <w:t xml:space="preserve">Legal advice, liability assessment, regulatory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[COMMS LEAD NAME]</w:t>
            </w:r>
          </w:p>
        </w:tc>
        <w:tc>
          <w:tcPr/>
          <w:p>
            <w:pPr>
              <w:pStyle w:val="Compact"/>
            </w:pPr>
            <w:r>
              <w:t xml:space="preserve">[COMMS CONTACT]</w:t>
            </w:r>
          </w:p>
        </w:tc>
        <w:tc>
          <w:tcPr/>
          <w:p>
            <w:pPr>
              <w:pStyle w:val="Compact"/>
            </w:pPr>
            <w:r>
              <w:t xml:space="preserve">Internal/external communications, media liaison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Management</w:t>
            </w:r>
          </w:p>
        </w:tc>
        <w:tc>
          <w:tcPr/>
          <w:p>
            <w:pPr>
              <w:pStyle w:val="Compact"/>
            </w:pPr>
            <w:r>
              <w:t xml:space="preserve">[CEO/MD NAME]</w:t>
            </w:r>
          </w:p>
        </w:tc>
        <w:tc>
          <w:tcPr/>
          <w:p>
            <w:pPr>
              <w:pStyle w:val="Compact"/>
            </w:pPr>
            <w:r>
              <w:t xml:space="preserve">[MANAGEMENT CONTACT]</w:t>
            </w:r>
          </w:p>
        </w:tc>
        <w:tc>
          <w:tcPr/>
          <w:p>
            <w:pPr>
              <w:pStyle w:val="Compact"/>
            </w:pPr>
            <w:r>
              <w:t xml:space="preserve">Strategic decisions, board liaison, resource approval</w:t>
            </w:r>
          </w:p>
        </w:tc>
      </w:tr>
    </w:tbl>
    <w:bookmarkEnd w:id="13"/>
    <w:bookmarkStart w:id="14" w:name="extended-team-as-needed"/>
    <w:p>
      <w:pPr>
        <w:pStyle w:val="Heading3"/>
      </w:pPr>
      <w:r>
        <w:t xml:space="preserve">2.2 Extended Team (as needed)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HR Director:</w:t>
      </w:r>
      <w:r>
        <w:t xml:space="preserve"> </w:t>
      </w:r>
      <w:r>
        <w:t xml:space="preserve">Staff-related breaches, disciplinary matters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Insurance Broker:</w:t>
      </w:r>
      <w:r>
        <w:t xml:space="preserve"> </w:t>
      </w:r>
      <w:r>
        <w:t xml:space="preserve">Professional indemnity and cyber insurance claims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Forensic Investigators:</w:t>
      </w:r>
      <w:r>
        <w:t xml:space="preserve"> </w:t>
      </w:r>
      <w:r>
        <w:t xml:space="preserve">For serious cyberattacks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 Agency:</w:t>
      </w:r>
      <w:r>
        <w:t xml:space="preserve"> </w:t>
      </w:r>
      <w:r>
        <w:t xml:space="preserve">For major incidents requiring media management</w:t>
      </w:r>
    </w:p>
    <w:bookmarkEnd w:id="14"/>
    <w:bookmarkEnd w:id="15"/>
    <w:bookmarkStart w:id="16" w:name="breach-response-timeline"/>
    <w:p>
      <w:pPr>
        <w:pStyle w:val="Heading2"/>
      </w:pPr>
      <w:r>
        <w:t xml:space="preserve">3. Breach Response Timeline</w:t>
      </w:r>
    </w:p>
    <w:p>
      <w:pPr>
        <w:pStyle w:val="FirstParagraph"/>
      </w:pPr>
      <w:r>
        <w:rPr>
          <w:b/>
          <w:bCs/>
        </w:rPr>
        <w:t xml:space="preserve">Critical Timeframes (UK GDPR Requirements)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0-24 hours:</w:t>
      </w:r>
      <w:r>
        <w:t xml:space="preserve"> </w:t>
      </w:r>
      <w:r>
        <w:t xml:space="preserve">Detection, containment, initial assessment, mobilise response team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Within 72 hours:</w:t>
      </w:r>
      <w:r>
        <w:t xml:space="preserve"> </w:t>
      </w:r>
      <w:r>
        <w:t xml:space="preserve">Report to ICO (if required) - Article 33 UK GDPR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Without undue delay:</w:t>
      </w:r>
      <w:r>
        <w:t xml:space="preserve"> </w:t>
      </w:r>
      <w:r>
        <w:t xml:space="preserve">Notify affected data subjects (if high risk) - Article 34 UK GDPR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Within 30 days:</w:t>
      </w:r>
      <w:r>
        <w:t xml:space="preserve"> </w:t>
      </w:r>
      <w:r>
        <w:t xml:space="preserve">Complete full investigation and implement remedial actions</w:t>
      </w:r>
    </w:p>
    <w:p>
      <w:pPr>
        <w:pStyle w:val="FirstParagraph"/>
      </w:pPr>
      <w:r>
        <w:rPr>
          <w:b/>
          <w:bCs/>
        </w:rPr>
        <w:t xml:space="preserve">Critical Requirement:</w:t>
      </w:r>
      <w:r>
        <w:t xml:space="preserve"> </w:t>
      </w:r>
      <w:r>
        <w:t xml:space="preserve">If we cannot report to the ICO within 72 hours, we must provide reasons for the delay and submit the report as soon as possible thereafter. Delays must be justified and documented.</w:t>
      </w:r>
    </w:p>
    <w:bookmarkEnd w:id="16"/>
    <w:bookmarkStart w:id="20" w:name="X55162d894b74ad5fafe225aeb243b5481bbbd7b"/>
    <w:p>
      <w:pPr>
        <w:pStyle w:val="Heading2"/>
      </w:pPr>
      <w:r>
        <w:t xml:space="preserve">4. Phase 1: Detection and Initial Response (0-2 hours)</w:t>
      </w:r>
    </w:p>
    <w:bookmarkStart w:id="17" w:name="breach-detection"/>
    <w:p>
      <w:pPr>
        <w:pStyle w:val="Heading3"/>
      </w:pPr>
      <w:r>
        <w:t xml:space="preserve">4.1 Breach Detection</w:t>
      </w:r>
    </w:p>
    <w:p>
      <w:pPr>
        <w:pStyle w:val="FirstParagraph"/>
      </w:pPr>
      <w:r>
        <w:t xml:space="preserve">Breaches may be detected through:</w:t>
      </w:r>
    </w:p>
    <w:p>
      <w:pPr>
        <w:pStyle w:val="Compact"/>
        <w:numPr>
          <w:ilvl w:val="0"/>
          <w:numId w:val="1006"/>
        </w:numPr>
      </w:pPr>
      <w:r>
        <w:t xml:space="preserve">Automated security alerts and monitoring systems</w:t>
      </w:r>
    </w:p>
    <w:p>
      <w:pPr>
        <w:pStyle w:val="Compact"/>
        <w:numPr>
          <w:ilvl w:val="0"/>
          <w:numId w:val="1006"/>
        </w:numPr>
      </w:pPr>
      <w:r>
        <w:t xml:space="preserve">Staff reports or concerns</w:t>
      </w:r>
    </w:p>
    <w:p>
      <w:pPr>
        <w:pStyle w:val="Compact"/>
        <w:numPr>
          <w:ilvl w:val="0"/>
          <w:numId w:val="1006"/>
        </w:numPr>
      </w:pPr>
      <w:r>
        <w:t xml:space="preserve">Data subjects reporting issues</w:t>
      </w:r>
    </w:p>
    <w:p>
      <w:pPr>
        <w:pStyle w:val="Compact"/>
        <w:numPr>
          <w:ilvl w:val="0"/>
          <w:numId w:val="1006"/>
        </w:numPr>
      </w:pPr>
      <w:r>
        <w:t xml:space="preserve">Third-party notifications (e.g., processor breach)</w:t>
      </w:r>
    </w:p>
    <w:p>
      <w:pPr>
        <w:pStyle w:val="Compact"/>
        <w:numPr>
          <w:ilvl w:val="0"/>
          <w:numId w:val="1006"/>
        </w:numPr>
      </w:pPr>
      <w:r>
        <w:t xml:space="preserve">Media reports or public disclosure</w:t>
      </w:r>
    </w:p>
    <w:p>
      <w:pPr>
        <w:pStyle w:val="Compact"/>
        <w:numPr>
          <w:ilvl w:val="0"/>
          <w:numId w:val="1006"/>
        </w:numPr>
      </w:pPr>
      <w:r>
        <w:t xml:space="preserve">Regulatory notifications</w:t>
      </w:r>
    </w:p>
    <w:p>
      <w:pPr>
        <w:pStyle w:val="Compact"/>
        <w:numPr>
          <w:ilvl w:val="0"/>
          <w:numId w:val="1006"/>
        </w:numPr>
      </w:pPr>
      <w:r>
        <w:t xml:space="preserve">Audit findings</w:t>
      </w:r>
    </w:p>
    <w:bookmarkEnd w:id="17"/>
    <w:bookmarkStart w:id="18" w:name="X54fdcc05d166f4854afdab593d04d46ef983cfe"/>
    <w:p>
      <w:pPr>
        <w:pStyle w:val="Heading3"/>
      </w:pPr>
      <w:r>
        <w:t xml:space="preserve">4.2 Immediate Actions (First Person Discovering Breach)</w:t>
      </w:r>
    </w:p>
    <w:p>
      <w:pPr>
        <w:pStyle w:val="FirstParagraph"/>
      </w:pPr>
      <w:r>
        <w:rPr>
          <w:b/>
          <w:bCs/>
        </w:rPr>
        <w:t xml:space="preserve">Immediate Actions Checklist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STOP and CONTAIN:</w:t>
      </w:r>
      <w:r>
        <w:t xml:space="preserve"> </w:t>
      </w:r>
      <w:r>
        <w:t xml:space="preserve">Immediately stop any ongoing breach activity if safe to do so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PRESERVE EVIDENCE:</w:t>
      </w:r>
      <w:r>
        <w:t xml:space="preserve"> </w:t>
      </w:r>
      <w:r>
        <w:t xml:space="preserve">Do not delete, alter, or destroy any evidence. Take screenshots if appropriate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 IMMEDIATELY:</w:t>
      </w:r>
      <w:r>
        <w:t xml:space="preserve"> </w:t>
      </w:r>
      <w:r>
        <w:t xml:space="preserve">Contact DPO via emergency number [NUMBER] or email dpo@clearmindseap.com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DISCUSS:</w:t>
      </w:r>
      <w:r>
        <w:t xml:space="preserve"> </w:t>
      </w:r>
      <w:r>
        <w:t xml:space="preserve">Do not discuss the breach with anyone except the DPO or response team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DOCUMENT:</w:t>
      </w:r>
      <w:r>
        <w:t xml:space="preserve"> </w:t>
      </w:r>
      <w:r>
        <w:t xml:space="preserve">Write down exactly what happened, when, and what you observed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SECURE AREA:</w:t>
      </w:r>
      <w:r>
        <w:t xml:space="preserve"> </w:t>
      </w:r>
      <w:r>
        <w:t xml:space="preserve">If physical breach, secure the location and prevent access</w:t>
      </w:r>
    </w:p>
    <w:bookmarkEnd w:id="18"/>
    <w:bookmarkStart w:id="19" w:name="dpo-initial-assessment-within-1-hour"/>
    <w:p>
      <w:pPr>
        <w:pStyle w:val="Heading3"/>
      </w:pPr>
      <w:r>
        <w:t xml:space="preserve">4.3 DPO Initial Assessment (Within 1 hour)</w:t>
      </w:r>
    </w:p>
    <w:p>
      <w:pPr>
        <w:pStyle w:val="FirstParagraph"/>
      </w:pPr>
      <w:r>
        <w:t xml:space="preserve">Upon notification, the DPO will:</w:t>
      </w:r>
    </w:p>
    <w:p>
      <w:pPr>
        <w:pStyle w:val="Compact"/>
        <w:numPr>
          <w:ilvl w:val="0"/>
          <w:numId w:val="1008"/>
        </w:numPr>
      </w:pPr>
      <w:r>
        <w:t xml:space="preserve">Confirm breach details and severity</w:t>
      </w:r>
    </w:p>
    <w:p>
      <w:pPr>
        <w:pStyle w:val="Compact"/>
        <w:numPr>
          <w:ilvl w:val="0"/>
          <w:numId w:val="1008"/>
        </w:numPr>
      </w:pPr>
      <w:r>
        <w:t xml:space="preserve">Activate the Data Breach Response Team</w:t>
      </w:r>
    </w:p>
    <w:p>
      <w:pPr>
        <w:pStyle w:val="Compact"/>
        <w:numPr>
          <w:ilvl w:val="0"/>
          <w:numId w:val="1008"/>
        </w:numPr>
      </w:pPr>
      <w:r>
        <w:t xml:space="preserve">Assign incident reference number</w:t>
      </w:r>
    </w:p>
    <w:p>
      <w:pPr>
        <w:pStyle w:val="Compact"/>
        <w:numPr>
          <w:ilvl w:val="0"/>
          <w:numId w:val="1008"/>
        </w:numPr>
      </w:pPr>
      <w:r>
        <w:t xml:space="preserve">Open incident log and begin documentation</w:t>
      </w:r>
    </w:p>
    <w:p>
      <w:pPr>
        <w:pStyle w:val="Compact"/>
        <w:numPr>
          <w:ilvl w:val="0"/>
          <w:numId w:val="1008"/>
        </w:numPr>
      </w:pPr>
      <w:r>
        <w:t xml:space="preserve">Initiate immediate containment measures</w:t>
      </w:r>
    </w:p>
    <w:p>
      <w:pPr>
        <w:pStyle w:val="Compact"/>
        <w:numPr>
          <w:ilvl w:val="0"/>
          <w:numId w:val="1008"/>
        </w:numPr>
      </w:pPr>
      <w:r>
        <w:t xml:space="preserve">Determine if 72-hour clock has started (when organisation became aware)</w:t>
      </w:r>
    </w:p>
    <w:p>
      <w:pPr>
        <w:pStyle w:val="Compact"/>
        <w:numPr>
          <w:ilvl w:val="0"/>
          <w:numId w:val="1008"/>
        </w:numPr>
      </w:pPr>
      <w:r>
        <w:t xml:space="preserve">Notify senior management</w:t>
      </w:r>
    </w:p>
    <w:bookmarkEnd w:id="19"/>
    <w:bookmarkEnd w:id="20"/>
    <w:bookmarkStart w:id="24" w:name="Xea26b8535a35d28f964f7443ce3b144dddc6902"/>
    <w:p>
      <w:pPr>
        <w:pStyle w:val="Heading2"/>
      </w:pPr>
      <w:r>
        <w:t xml:space="preserve">5. Phase 2: Containment and Assessment (2-24 hours)</w:t>
      </w:r>
    </w:p>
    <w:bookmarkStart w:id="21" w:name="immediate-containment"/>
    <w:p>
      <w:pPr>
        <w:pStyle w:val="Heading3"/>
      </w:pPr>
      <w:r>
        <w:t xml:space="preserve">5.1 Immediate Containment</w:t>
      </w:r>
    </w:p>
    <w:p>
      <w:pPr>
        <w:pStyle w:val="FirstParagraph"/>
      </w:pPr>
      <w:r>
        <w:rPr>
          <w:b/>
          <w:bCs/>
        </w:rPr>
        <w:t xml:space="preserve">IT Security Lead Actions:</w:t>
      </w:r>
    </w:p>
    <w:p>
      <w:pPr>
        <w:pStyle w:val="Compact"/>
        <w:numPr>
          <w:ilvl w:val="0"/>
          <w:numId w:val="1009"/>
        </w:numPr>
      </w:pPr>
      <w:r>
        <w:t xml:space="preserve">Isolate affected systems to prevent further compromise</w:t>
      </w:r>
    </w:p>
    <w:p>
      <w:pPr>
        <w:pStyle w:val="Compact"/>
        <w:numPr>
          <w:ilvl w:val="0"/>
          <w:numId w:val="1009"/>
        </w:numPr>
      </w:pPr>
      <w:r>
        <w:t xml:space="preserve">Change passwords and revoke compromised credentials</w:t>
      </w:r>
    </w:p>
    <w:p>
      <w:pPr>
        <w:pStyle w:val="Compact"/>
        <w:numPr>
          <w:ilvl w:val="0"/>
          <w:numId w:val="1009"/>
        </w:numPr>
      </w:pPr>
      <w:r>
        <w:t xml:space="preserve">Disable compromised user accounts</w:t>
      </w:r>
    </w:p>
    <w:p>
      <w:pPr>
        <w:pStyle w:val="Compact"/>
        <w:numPr>
          <w:ilvl w:val="0"/>
          <w:numId w:val="1009"/>
        </w:numPr>
      </w:pPr>
      <w:r>
        <w:t xml:space="preserve">Implement firewall rules to block malicious traffic</w:t>
      </w:r>
    </w:p>
    <w:p>
      <w:pPr>
        <w:pStyle w:val="Compact"/>
        <w:numPr>
          <w:ilvl w:val="0"/>
          <w:numId w:val="1009"/>
        </w:numPr>
      </w:pPr>
      <w:r>
        <w:t xml:space="preserve">Preserve logs and forensic evidence</w:t>
      </w:r>
    </w:p>
    <w:p>
      <w:pPr>
        <w:pStyle w:val="Compact"/>
        <w:numPr>
          <w:ilvl w:val="0"/>
          <w:numId w:val="1009"/>
        </w:numPr>
      </w:pPr>
      <w:r>
        <w:t xml:space="preserve">Secure physical perimeter if physical breach</w:t>
      </w:r>
    </w:p>
    <w:bookmarkEnd w:id="21"/>
    <w:bookmarkStart w:id="22" w:name="breach-assessment"/>
    <w:p>
      <w:pPr>
        <w:pStyle w:val="Heading3"/>
      </w:pPr>
      <w:r>
        <w:t xml:space="preserve">5.2 Breach Assessment</w:t>
      </w:r>
    </w:p>
    <w:p>
      <w:pPr>
        <w:pStyle w:val="FirstParagraph"/>
      </w:pPr>
      <w:r>
        <w:t xml:space="preserve">The response team must assess:</w:t>
      </w:r>
    </w:p>
    <w:p>
      <w:pPr>
        <w:pStyle w:val="BodyText"/>
      </w:pPr>
      <w:r>
        <w:rPr>
          <w:b/>
          <w:bCs/>
        </w:rPr>
        <w:t xml:space="preserve">Nature of the Breach</w:t>
      </w:r>
    </w:p>
    <w:p>
      <w:pPr>
        <w:pStyle w:val="Compact"/>
        <w:numPr>
          <w:ilvl w:val="0"/>
          <w:numId w:val="1010"/>
        </w:numPr>
      </w:pPr>
      <w:r>
        <w:t xml:space="preserve">What type of breach occurred? (confidentiality, integrity, availability)</w:t>
      </w:r>
    </w:p>
    <w:p>
      <w:pPr>
        <w:pStyle w:val="Compact"/>
        <w:numPr>
          <w:ilvl w:val="0"/>
          <w:numId w:val="1010"/>
        </w:numPr>
      </w:pPr>
      <w:r>
        <w:t xml:space="preserve">Was it accidental or malicious?</w:t>
      </w:r>
    </w:p>
    <w:p>
      <w:pPr>
        <w:pStyle w:val="Compact"/>
        <w:numPr>
          <w:ilvl w:val="0"/>
          <w:numId w:val="1010"/>
        </w:numPr>
      </w:pPr>
      <w:r>
        <w:t xml:space="preserve">Is it a cyber incident, human error, or system failure?</w:t>
      </w:r>
    </w:p>
    <w:p>
      <w:pPr>
        <w:pStyle w:val="FirstParagraph"/>
      </w:pPr>
      <w:r>
        <w:rPr>
          <w:b/>
          <w:bCs/>
        </w:rPr>
        <w:t xml:space="preserve">Scope and Impact</w:t>
      </w:r>
    </w:p>
    <w:p>
      <w:pPr>
        <w:pStyle w:val="Compact"/>
        <w:numPr>
          <w:ilvl w:val="0"/>
          <w:numId w:val="1011"/>
        </w:numPr>
      </w:pPr>
      <w:r>
        <w:t xml:space="preserve">What personal data was affected?</w:t>
      </w:r>
    </w:p>
    <w:p>
      <w:pPr>
        <w:pStyle w:val="Compact"/>
        <w:numPr>
          <w:ilvl w:val="0"/>
          <w:numId w:val="1011"/>
        </w:numPr>
      </w:pPr>
      <w:r>
        <w:t xml:space="preserve">How many individuals are affected?</w:t>
      </w:r>
    </w:p>
    <w:p>
      <w:pPr>
        <w:pStyle w:val="Compact"/>
        <w:numPr>
          <w:ilvl w:val="0"/>
          <w:numId w:val="1011"/>
        </w:numPr>
      </w:pPr>
      <w:r>
        <w:t xml:space="preserve">Does it include special category data (health data)?</w:t>
      </w:r>
    </w:p>
    <w:p>
      <w:pPr>
        <w:pStyle w:val="Compact"/>
        <w:numPr>
          <w:ilvl w:val="0"/>
          <w:numId w:val="1011"/>
        </w:numPr>
      </w:pPr>
      <w:r>
        <w:t xml:space="preserve">Was the data encrypted or otherwise protected?</w:t>
      </w:r>
    </w:p>
    <w:p>
      <w:pPr>
        <w:pStyle w:val="Compact"/>
        <w:numPr>
          <w:ilvl w:val="0"/>
          <w:numId w:val="1011"/>
        </w:numPr>
      </w:pPr>
      <w:r>
        <w:t xml:space="preserve">Was the breach internal or external?</w:t>
      </w:r>
    </w:p>
    <w:p>
      <w:pPr>
        <w:pStyle w:val="Compact"/>
        <w:numPr>
          <w:ilvl w:val="0"/>
          <w:numId w:val="1011"/>
        </w:numPr>
      </w:pPr>
      <w:r>
        <w:t xml:space="preserve">Has the data been recovered or is it still at risk?</w:t>
      </w:r>
    </w:p>
    <w:p>
      <w:pPr>
        <w:pStyle w:val="FirstParagraph"/>
      </w:pPr>
      <w:r>
        <w:rPr>
          <w:b/>
          <w:bCs/>
        </w:rPr>
        <w:t xml:space="preserve">Risks to Individuals</w:t>
      </w:r>
    </w:p>
    <w:p>
      <w:pPr>
        <w:pStyle w:val="Compact"/>
        <w:numPr>
          <w:ilvl w:val="0"/>
          <w:numId w:val="1012"/>
        </w:numPr>
      </w:pPr>
      <w:r>
        <w:t xml:space="preserve">What are the potential consequences for affected individuals?</w:t>
      </w:r>
    </w:p>
    <w:p>
      <w:pPr>
        <w:pStyle w:val="Compact"/>
        <w:numPr>
          <w:ilvl w:val="0"/>
          <w:numId w:val="1012"/>
        </w:numPr>
      </w:pPr>
      <w:r>
        <w:t xml:space="preserve">Could it cause physical, material, or non-material damage?</w:t>
      </w:r>
    </w:p>
    <w:p>
      <w:pPr>
        <w:pStyle w:val="Compact"/>
        <w:numPr>
          <w:ilvl w:val="0"/>
          <w:numId w:val="1012"/>
        </w:numPr>
      </w:pPr>
      <w:r>
        <w:t xml:space="preserve">Could it lead to discrimination, identity theft, or fraud?</w:t>
      </w:r>
    </w:p>
    <w:p>
      <w:pPr>
        <w:pStyle w:val="Compact"/>
        <w:numPr>
          <w:ilvl w:val="0"/>
          <w:numId w:val="1012"/>
        </w:numPr>
      </w:pPr>
      <w:r>
        <w:t xml:space="preserve">Could it cause psychological distress or damage to reputation?</w:t>
      </w:r>
    </w:p>
    <w:p>
      <w:pPr>
        <w:pStyle w:val="Compact"/>
        <w:numPr>
          <w:ilvl w:val="0"/>
          <w:numId w:val="1012"/>
        </w:numPr>
      </w:pPr>
      <w:r>
        <w:t xml:space="preserve">Could it affect vulnerable individuals (children, mental health patients)?</w:t>
      </w:r>
    </w:p>
    <w:bookmarkEnd w:id="22"/>
    <w:bookmarkStart w:id="23" w:name="risk-severity-assessment"/>
    <w:p>
      <w:pPr>
        <w:pStyle w:val="Heading3"/>
      </w:pPr>
      <w:r>
        <w:t xml:space="preserve">5.3 Risk Severity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514"/>
        <w:gridCol w:w="31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ICO Report?</w:t>
            </w:r>
          </w:p>
        </w:tc>
        <w:tc>
          <w:tcPr/>
          <w:p>
            <w:pPr>
              <w:pStyle w:val="Compact"/>
            </w:pPr>
            <w:r>
              <w:t xml:space="preserve">Data Subject Notification?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Minimal or no risk to individuals. Quick containment. No sensitive data. Internal breach with recovery.</w:t>
            </w:r>
          </w:p>
        </w:tc>
        <w:tc>
          <w:tcPr/>
          <w:p>
            <w:pPr>
              <w:pStyle w:val="Compact"/>
            </w:pPr>
            <w:r>
              <w:t xml:space="preserve">NO (but log internally)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Some risk to individuals. Limited scope. Non-sensitive data or encrypted. Unlikely to cause significant harm.</w:t>
            </w:r>
          </w:p>
        </w:tc>
        <w:tc>
          <w:tcPr/>
          <w:p>
            <w:pPr>
              <w:pStyle w:val="Compact"/>
            </w:pPr>
            <w:r>
              <w:t xml:space="preserve">YES (within 72 hours)</w:t>
            </w:r>
          </w:p>
        </w:tc>
        <w:tc>
          <w:tcPr/>
          <w:p>
            <w:pPr>
              <w:pStyle w:val="Compact"/>
            </w:pPr>
            <w:r>
              <w:t xml:space="preserve">ASSESS (if risk mitigated, may not be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Significant risk. Large-scale breach. Sensitive/special category data. Potential for serious harm (identity theft, discrimination, psychological harm).</w:t>
            </w:r>
          </w:p>
        </w:tc>
        <w:tc>
          <w:tcPr/>
          <w:p>
            <w:pPr>
              <w:pStyle w:val="Compact"/>
            </w:pPr>
            <w:r>
              <w:t xml:space="preserve">YES (within 72 hours)</w:t>
            </w:r>
          </w:p>
        </w:tc>
        <w:tc>
          <w:tcPr/>
          <w:p>
            <w:pPr>
              <w:pStyle w:val="Compact"/>
            </w:pPr>
            <w:r>
              <w:t xml:space="preserve">YES (without undue delay)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Severe risk. Mass breach of health data. Children involved. High likelihood of serious harm. Media attention likely.</w:t>
            </w:r>
          </w:p>
        </w:tc>
        <w:tc>
          <w:tcPr/>
          <w:p>
            <w:pPr>
              <w:pStyle w:val="Compact"/>
            </w:pPr>
            <w:r>
              <w:t xml:space="preserve">YES (URGENT - within 72 hours)</w:t>
            </w:r>
          </w:p>
        </w:tc>
        <w:tc>
          <w:tcPr/>
          <w:p>
            <w:pPr>
              <w:pStyle w:val="Compact"/>
            </w:pPr>
            <w:r>
              <w:t xml:space="preserve">YES (URGENT - without undue delay)</w:t>
            </w:r>
          </w:p>
        </w:tc>
      </w:tr>
    </w:tbl>
    <w:bookmarkEnd w:id="23"/>
    <w:bookmarkEnd w:id="24"/>
    <w:bookmarkStart w:id="29" w:name="Xed7b59139017d073ff745cc9f6839d8cb076742"/>
    <w:p>
      <w:pPr>
        <w:pStyle w:val="Heading2"/>
      </w:pPr>
      <w:r>
        <w:t xml:space="preserve">6. Phase 3: Notification and Communication (24-72 hours)</w:t>
      </w:r>
    </w:p>
    <w:bookmarkStart w:id="25" w:name="ico-notification-article-33-uk-gdpr"/>
    <w:p>
      <w:pPr>
        <w:pStyle w:val="Heading3"/>
      </w:pPr>
      <w:r>
        <w:t xml:space="preserve">6.1 ICO Notification (Article 33 UK GDPR)</w:t>
      </w:r>
    </w:p>
    <w:p>
      <w:pPr>
        <w:pStyle w:val="FirstParagraph"/>
      </w:pPr>
      <w:r>
        <w:rPr>
          <w:b/>
          <w:bCs/>
        </w:rPr>
        <w:t xml:space="preserve">When to Notify:</w:t>
      </w:r>
      <w:r>
        <w:t xml:space="preserve"> </w:t>
      </w:r>
      <w:r>
        <w:t xml:space="preserve">Within 72 hours of becoming aware of a breach likely to result in a risk to individuals’ rights and freedoms.</w:t>
      </w:r>
    </w:p>
    <w:p>
      <w:pPr>
        <w:pStyle w:val="BodyText"/>
      </w:pPr>
      <w:r>
        <w:rPr>
          <w:b/>
          <w:bCs/>
        </w:rPr>
        <w:t xml:space="preserve">How to Notify:</w:t>
      </w:r>
      <w:r>
        <w:t xml:space="preserve"> </w:t>
      </w:r>
      <w:r>
        <w:t xml:space="preserve">Via the ICO’s online breach reporting tool at https://ico.org.uk/for-organisations/report-a-breach/</w:t>
      </w:r>
    </w:p>
    <w:p>
      <w:pPr>
        <w:pStyle w:val="BodyText"/>
      </w:pPr>
      <w:r>
        <w:rPr>
          <w:b/>
          <w:bCs/>
        </w:rPr>
        <w:t xml:space="preserve">Information to Include in ICO Report: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Description of the breach:</w:t>
      </w:r>
      <w:r>
        <w:t xml:space="preserve"> </w:t>
      </w:r>
      <w:r>
        <w:t xml:space="preserve">Nature of the breach, categories and approximate numbers of data subjects and records affected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Contact details:</w:t>
      </w:r>
      <w:r>
        <w:t xml:space="preserve"> </w:t>
      </w:r>
      <w:r>
        <w:t xml:space="preserve">Name and contact details of the DPO or other contact point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Likely consequences:</w:t>
      </w:r>
      <w:r>
        <w:t xml:space="preserve"> </w:t>
      </w:r>
      <w:r>
        <w:t xml:space="preserve">Description of the likely consequences of the breach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Measures taken:</w:t>
      </w:r>
      <w:r>
        <w:t xml:space="preserve"> </w:t>
      </w:r>
      <w:r>
        <w:t xml:space="preserve">Description of measures taken or proposed to address the breach, including mitigation of possible adverse effects</w:t>
      </w:r>
    </w:p>
    <w:p>
      <w:pPr>
        <w:pStyle w:val="FirstParagraph"/>
      </w:pPr>
      <w:r>
        <w:rPr>
          <w:b/>
          <w:bCs/>
        </w:rPr>
        <w:t xml:space="preserve">Phased Reporting:</w:t>
      </w:r>
      <w:r>
        <w:t xml:space="preserve"> </w:t>
      </w:r>
      <w:r>
        <w:t xml:space="preserve">If we cannot provide all information within 72 hours, we can submit an initial report and provide additional information in phases, explaining reasons for the delay.</w:t>
      </w:r>
    </w:p>
    <w:bookmarkEnd w:id="25"/>
    <w:bookmarkStart w:id="26" w:name="X3696747104e8d5730b0ead8a471bfb84804d69e"/>
    <w:p>
      <w:pPr>
        <w:pStyle w:val="Heading3"/>
      </w:pPr>
      <w:r>
        <w:t xml:space="preserve">6.2 Data Subject Notification (Article 34 UK GDPR)</w:t>
      </w:r>
    </w:p>
    <w:p>
      <w:pPr>
        <w:pStyle w:val="FirstParagraph"/>
      </w:pPr>
      <w:r>
        <w:rPr>
          <w:b/>
          <w:bCs/>
        </w:rPr>
        <w:t xml:space="preserve">When to Notify:</w:t>
      </w:r>
      <w:r>
        <w:t xml:space="preserve"> </w:t>
      </w:r>
      <w:r>
        <w:t xml:space="preserve">Without undue delay if the breach is likely to result in a HIGH RISK to individuals’ rights and freedoms.</w:t>
      </w:r>
    </w:p>
    <w:p>
      <w:pPr>
        <w:pStyle w:val="BodyText"/>
      </w:pPr>
      <w:r>
        <w:rPr>
          <w:b/>
          <w:bCs/>
        </w:rPr>
        <w:t xml:space="preserve">Exceptions (when notification NOT required):</w:t>
      </w:r>
    </w:p>
    <w:p>
      <w:pPr>
        <w:pStyle w:val="Compact"/>
        <w:numPr>
          <w:ilvl w:val="0"/>
          <w:numId w:val="1014"/>
        </w:numPr>
      </w:pPr>
      <w:r>
        <w:t xml:space="preserve">Appropriate technical and organisational protection measures were applied (e.g., encryption)</w:t>
      </w:r>
    </w:p>
    <w:p>
      <w:pPr>
        <w:pStyle w:val="Compact"/>
        <w:numPr>
          <w:ilvl w:val="0"/>
          <w:numId w:val="1014"/>
        </w:numPr>
      </w:pPr>
      <w:r>
        <w:t xml:space="preserve">Subsequent measures taken ensure high risk is no longer likely to materialise</w:t>
      </w:r>
    </w:p>
    <w:p>
      <w:pPr>
        <w:pStyle w:val="Compact"/>
        <w:numPr>
          <w:ilvl w:val="0"/>
          <w:numId w:val="1014"/>
        </w:numPr>
      </w:pPr>
      <w:r>
        <w:t xml:space="preserve">Notification would involve disproportionate effort (can use public communication instead)</w:t>
      </w:r>
    </w:p>
    <w:p>
      <w:pPr>
        <w:pStyle w:val="FirstParagraph"/>
      </w:pPr>
      <w:r>
        <w:rPr>
          <w:b/>
          <w:bCs/>
        </w:rPr>
        <w:t xml:space="preserve">Content of Data Subject Notifications: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Clear and Plain Language:</w:t>
      </w:r>
      <w:r>
        <w:t xml:space="preserve"> </w:t>
      </w:r>
      <w:r>
        <w:t xml:space="preserve">Easy to understand, avoid technical jargon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Nature of Breach:</w:t>
      </w:r>
      <w:r>
        <w:t xml:space="preserve"> </w:t>
      </w:r>
      <w:r>
        <w:t xml:space="preserve">Describe what happened in simple terms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Contact Point:</w:t>
      </w:r>
      <w:r>
        <w:t xml:space="preserve"> </w:t>
      </w:r>
      <w:r>
        <w:t xml:space="preserve">DPO contact details for questions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Likely Consequences:</w:t>
      </w:r>
      <w:r>
        <w:t xml:space="preserve"> </w:t>
      </w:r>
      <w:r>
        <w:t xml:space="preserve">What could happen as a result of the breach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Measures Taken:</w:t>
      </w:r>
      <w:r>
        <w:t xml:space="preserve"> </w:t>
      </w:r>
      <w:r>
        <w:t xml:space="preserve">What we’ve done to address the breach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What individuals should do to protect themselves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Support Offered:</w:t>
      </w:r>
      <w:r>
        <w:t xml:space="preserve"> </w:t>
      </w:r>
      <w:r>
        <w:t xml:space="preserve">Any support we’re providing (e.g., credit monitoring)</w:t>
      </w:r>
    </w:p>
    <w:p>
      <w:pPr>
        <w:pStyle w:val="FirstParagraph"/>
      </w:pPr>
      <w:r>
        <w:rPr>
          <w:b/>
          <w:bCs/>
        </w:rPr>
        <w:t xml:space="preserve">Notification Methods: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Preferred:</w:t>
      </w:r>
      <w:r>
        <w:t xml:space="preserve"> </w:t>
      </w:r>
      <w:r>
        <w:t xml:space="preserve">Direct communication (email, letter, phone call)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Alternative:</w:t>
      </w:r>
      <w:r>
        <w:t xml:space="preserve"> </w:t>
      </w:r>
      <w:r>
        <w:t xml:space="preserve">Public announcement if direct communication impossible or disproportionate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Channels:</w:t>
      </w:r>
      <w:r>
        <w:t xml:space="preserve"> </w:t>
      </w:r>
      <w:r>
        <w:t xml:space="preserve">Use several methods to ensure affected individuals are reached</w:t>
      </w:r>
    </w:p>
    <w:bookmarkEnd w:id="26"/>
    <w:bookmarkStart w:id="27" w:name="internal-communication"/>
    <w:p>
      <w:pPr>
        <w:pStyle w:val="Heading3"/>
      </w:pPr>
      <w:r>
        <w:t xml:space="preserve">6.3 Internal Communication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Staff:</w:t>
      </w:r>
      <w:r>
        <w:t xml:space="preserve"> </w:t>
      </w:r>
      <w:r>
        <w:t xml:space="preserve">Brief affected staff; provide talking points; emphasise confidentiality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Board/Senior Management:</w:t>
      </w:r>
      <w:r>
        <w:t xml:space="preserve"> </w:t>
      </w:r>
      <w:r>
        <w:t xml:space="preserve">Regular updates on incident status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Department Updates:</w:t>
      </w:r>
      <w:r>
        <w:t xml:space="preserve"> </w:t>
      </w:r>
      <w:r>
        <w:t xml:space="preserve">Keep all relevant departments informed</w:t>
      </w:r>
    </w:p>
    <w:bookmarkEnd w:id="27"/>
    <w:bookmarkStart w:id="28" w:name="external-communication"/>
    <w:p>
      <w:pPr>
        <w:pStyle w:val="Heading3"/>
      </w:pPr>
      <w:r>
        <w:t xml:space="preserve">6.4 External Communication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B2B Partners:</w:t>
      </w:r>
      <w:r>
        <w:t xml:space="preserve"> </w:t>
      </w:r>
      <w:r>
        <w:t xml:space="preserve">Notify affected corporate clients (employers, insurance companies)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Processors:</w:t>
      </w:r>
      <w:r>
        <w:t xml:space="preserve"> </w:t>
      </w:r>
      <w:r>
        <w:t xml:space="preserve">Notify any processors involved or affected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Professional Bodies:</w:t>
      </w:r>
      <w:r>
        <w:t xml:space="preserve"> </w:t>
      </w:r>
      <w:r>
        <w:t xml:space="preserve">Notify relevant professional regulators if required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Insurance Provider:</w:t>
      </w:r>
      <w:r>
        <w:t xml:space="preserve"> </w:t>
      </w:r>
      <w:r>
        <w:t xml:space="preserve">Notify cyber and professional indemnity insurers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Media:</w:t>
      </w:r>
      <w:r>
        <w:t xml:space="preserve"> </w:t>
      </w:r>
      <w:r>
        <w:t xml:space="preserve">Prepared statements if media attention likely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Law Enforcement:</w:t>
      </w:r>
      <w:r>
        <w:t xml:space="preserve"> </w:t>
      </w:r>
      <w:r>
        <w:t xml:space="preserve">Report to police if criminal activity involved</w:t>
      </w:r>
    </w:p>
    <w:bookmarkEnd w:id="28"/>
    <w:bookmarkEnd w:id="29"/>
    <w:bookmarkStart w:id="34" w:name="X27477eb0c679e1bce2d59c58b3f7026374b94c8"/>
    <w:p>
      <w:pPr>
        <w:pStyle w:val="Heading2"/>
      </w:pPr>
      <w:r>
        <w:t xml:space="preserve">7. Phase 4: Investigation and Recovery (3-30 days)</w:t>
      </w:r>
    </w:p>
    <w:bookmarkStart w:id="30" w:name="detailed-investigation"/>
    <w:p>
      <w:pPr>
        <w:pStyle w:val="Heading3"/>
      </w:pPr>
      <w:r>
        <w:t xml:space="preserve">7.1 Detailed Investigation</w:t>
      </w:r>
    </w:p>
    <w:p>
      <w:pPr>
        <w:pStyle w:val="FirstParagraph"/>
      </w:pPr>
      <w:r>
        <w:t xml:space="preserve">Conduct thorough investigation to determine: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What caused the breach? Technical failure? Human error? Malicious attack?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Detailed chronology of events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Entry Points:</w:t>
      </w:r>
      <w:r>
        <w:t xml:space="preserve"> </w:t>
      </w:r>
      <w:r>
        <w:t xml:space="preserve">How did the breach occur? What vulnerabilities were exploited?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Full Scope:</w:t>
      </w:r>
      <w:r>
        <w:t xml:space="preserve"> </w:t>
      </w:r>
      <w:r>
        <w:t xml:space="preserve">Complete extent of data affected and individuals impacted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Contributing Factors:</w:t>
      </w:r>
      <w:r>
        <w:t xml:space="preserve"> </w:t>
      </w:r>
      <w:r>
        <w:t xml:space="preserve">What systemic issues or weaknesses contributed?</w:t>
      </w:r>
    </w:p>
    <w:bookmarkEnd w:id="30"/>
    <w:bookmarkStart w:id="31" w:name="forensic-analysis"/>
    <w:p>
      <w:pPr>
        <w:pStyle w:val="Heading3"/>
      </w:pPr>
      <w:r>
        <w:t xml:space="preserve">7.2 Forensic Analysis</w:t>
      </w:r>
    </w:p>
    <w:p>
      <w:pPr>
        <w:pStyle w:val="FirstParagraph"/>
      </w:pPr>
      <w:r>
        <w:t xml:space="preserve">For serious incidents, consider engaging:</w:t>
      </w:r>
    </w:p>
    <w:p>
      <w:pPr>
        <w:pStyle w:val="Compact"/>
        <w:numPr>
          <w:ilvl w:val="0"/>
          <w:numId w:val="1020"/>
        </w:numPr>
      </w:pPr>
      <w:r>
        <w:t xml:space="preserve">Forensic IT investigators</w:t>
      </w:r>
    </w:p>
    <w:p>
      <w:pPr>
        <w:pStyle w:val="Compact"/>
        <w:numPr>
          <w:ilvl w:val="0"/>
          <w:numId w:val="1020"/>
        </w:numPr>
      </w:pPr>
      <w:r>
        <w:t xml:space="preserve">Cybersecurity experts</w:t>
      </w:r>
    </w:p>
    <w:p>
      <w:pPr>
        <w:pStyle w:val="Compact"/>
        <w:numPr>
          <w:ilvl w:val="0"/>
          <w:numId w:val="1020"/>
        </w:numPr>
      </w:pPr>
      <w:r>
        <w:t xml:space="preserve">Independent auditors</w:t>
      </w:r>
    </w:p>
    <w:bookmarkEnd w:id="31"/>
    <w:bookmarkStart w:id="32" w:name="recovery-actions"/>
    <w:p>
      <w:pPr>
        <w:pStyle w:val="Heading3"/>
      </w:pPr>
      <w:r>
        <w:t xml:space="preserve">7.3 Recovery Actions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Restore Systems:</w:t>
      </w:r>
      <w:r>
        <w:t xml:space="preserve"> </w:t>
      </w:r>
      <w:r>
        <w:t xml:space="preserve">Recover affected systems from clean backups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Patch Vulnerabilities:</w:t>
      </w:r>
      <w:r>
        <w:t xml:space="preserve"> </w:t>
      </w:r>
      <w:r>
        <w:t xml:space="preserve">Fix security weaknesses that allowed the breach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Enhance Security:</w:t>
      </w:r>
      <w:r>
        <w:t xml:space="preserve"> </w:t>
      </w:r>
      <w:r>
        <w:t xml:space="preserve">Implement additional security measures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Enhanced monitoring for further incidents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Support Affected Individuals:</w:t>
      </w:r>
      <w:r>
        <w:t xml:space="preserve"> </w:t>
      </w:r>
      <w:r>
        <w:t xml:space="preserve">Provide ongoing support and information</w:t>
      </w:r>
    </w:p>
    <w:bookmarkEnd w:id="32"/>
    <w:bookmarkStart w:id="33" w:name="disciplinary-action"/>
    <w:p>
      <w:pPr>
        <w:pStyle w:val="Heading3"/>
      </w:pPr>
      <w:r>
        <w:t xml:space="preserve">7.4 Disciplinary Action</w:t>
      </w:r>
    </w:p>
    <w:p>
      <w:pPr>
        <w:pStyle w:val="FirstParagraph"/>
      </w:pPr>
      <w:r>
        <w:t xml:space="preserve">If breach resulted from staff misconduct or negligence:</w:t>
      </w:r>
    </w:p>
    <w:p>
      <w:pPr>
        <w:pStyle w:val="Compact"/>
        <w:numPr>
          <w:ilvl w:val="0"/>
          <w:numId w:val="1022"/>
        </w:numPr>
      </w:pPr>
      <w:r>
        <w:t xml:space="preserve">Conduct disciplinary investigation per Disciplinary Policy</w:t>
      </w:r>
    </w:p>
    <w:p>
      <w:pPr>
        <w:pStyle w:val="Compact"/>
        <w:numPr>
          <w:ilvl w:val="0"/>
          <w:numId w:val="1022"/>
        </w:numPr>
      </w:pPr>
      <w:r>
        <w:t xml:space="preserve">Consider sanctions from training to dismissal based on severity</w:t>
      </w:r>
    </w:p>
    <w:p>
      <w:pPr>
        <w:pStyle w:val="Compact"/>
        <w:numPr>
          <w:ilvl w:val="0"/>
          <w:numId w:val="1022"/>
        </w:numPr>
      </w:pPr>
      <w:r>
        <w:t xml:space="preserve">Consider professional body reporting if required</w:t>
      </w:r>
    </w:p>
    <w:p>
      <w:pPr>
        <w:pStyle w:val="Compact"/>
        <w:numPr>
          <w:ilvl w:val="0"/>
          <w:numId w:val="1022"/>
        </w:numPr>
      </w:pPr>
      <w:r>
        <w:t xml:space="preserve">Document all actions taken</w:t>
      </w:r>
    </w:p>
    <w:bookmarkEnd w:id="33"/>
    <w:bookmarkEnd w:id="34"/>
    <w:bookmarkStart w:id="39" w:name="X13afa782ec3ddb83492d7f0c087bcdc4addb4df"/>
    <w:p>
      <w:pPr>
        <w:pStyle w:val="Heading2"/>
      </w:pPr>
      <w:r>
        <w:t xml:space="preserve">8. Phase 5: Post-Incident Review and Improvement (30+ days)</w:t>
      </w:r>
    </w:p>
    <w:bookmarkStart w:id="35" w:name="comprehensive-review"/>
    <w:p>
      <w:pPr>
        <w:pStyle w:val="Heading3"/>
      </w:pPr>
      <w:r>
        <w:t xml:space="preserve">8.1 Comprehensive Review</w:t>
      </w:r>
    </w:p>
    <w:p>
      <w:pPr>
        <w:pStyle w:val="FirstParagraph"/>
      </w:pPr>
      <w:r>
        <w:t xml:space="preserve">Within 30 days of breach resolution, conduct full post-incident review: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What Happened:</w:t>
      </w:r>
      <w:r>
        <w:t xml:space="preserve"> </w:t>
      </w:r>
      <w:r>
        <w:t xml:space="preserve">Complete factual account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Response Effectiveness:</w:t>
      </w:r>
      <w:r>
        <w:t xml:space="preserve"> </w:t>
      </w:r>
      <w:r>
        <w:t xml:space="preserve">What worked well? What didn’t?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Communication Assessment:</w:t>
      </w:r>
      <w:r>
        <w:t xml:space="preserve"> </w:t>
      </w:r>
      <w:r>
        <w:t xml:space="preserve">Were notifications timely and effective?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Key takeaways and insights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Concrete actions to prevent recurrence</w:t>
      </w:r>
    </w:p>
    <w:bookmarkEnd w:id="35"/>
    <w:bookmarkStart w:id="36" w:name="corrective-and-preventive-actions"/>
    <w:p>
      <w:pPr>
        <w:pStyle w:val="Heading3"/>
      </w:pPr>
      <w:r>
        <w:t xml:space="preserve">8.2 Corrective and Preventive Actions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Policy Updates:</w:t>
      </w:r>
      <w:r>
        <w:t xml:space="preserve"> </w:t>
      </w:r>
      <w:r>
        <w:t xml:space="preserve">Revise policies and procedures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Technical Controls:</w:t>
      </w:r>
      <w:r>
        <w:t xml:space="preserve"> </w:t>
      </w:r>
      <w:r>
        <w:t xml:space="preserve">Implement new security measures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Staff Training:</w:t>
      </w:r>
      <w:r>
        <w:t xml:space="preserve"> </w:t>
      </w:r>
      <w:r>
        <w:t xml:space="preserve">Additional training on identified weaknesses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Process Changes:</w:t>
      </w:r>
      <w:r>
        <w:t xml:space="preserve"> </w:t>
      </w:r>
      <w:r>
        <w:t xml:space="preserve">Improve business processes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Third-Party Review:</w:t>
      </w:r>
      <w:r>
        <w:t xml:space="preserve"> </w:t>
      </w:r>
      <w:r>
        <w:t xml:space="preserve">Review and update processor agreements</w:t>
      </w:r>
    </w:p>
    <w:bookmarkEnd w:id="36"/>
    <w:bookmarkStart w:id="37" w:name="action-plan"/>
    <w:p>
      <w:pPr>
        <w:pStyle w:val="Heading3"/>
      </w:pPr>
      <w:r>
        <w:t xml:space="preserve">8.3 Action Plan</w:t>
      </w:r>
    </w:p>
    <w:p>
      <w:pPr>
        <w:pStyle w:val="FirstParagraph"/>
      </w:pPr>
      <w:r>
        <w:t xml:space="preserve">Create action plan with:</w:t>
      </w:r>
    </w:p>
    <w:p>
      <w:pPr>
        <w:pStyle w:val="Compact"/>
        <w:numPr>
          <w:ilvl w:val="0"/>
          <w:numId w:val="1025"/>
        </w:numPr>
      </w:pPr>
      <w:r>
        <w:t xml:space="preserve">Specific actions required</w:t>
      </w:r>
    </w:p>
    <w:p>
      <w:pPr>
        <w:pStyle w:val="Compact"/>
        <w:numPr>
          <w:ilvl w:val="0"/>
          <w:numId w:val="1025"/>
        </w:numPr>
      </w:pPr>
      <w:r>
        <w:t xml:space="preserve">Responsible person for each action</w:t>
      </w:r>
    </w:p>
    <w:p>
      <w:pPr>
        <w:pStyle w:val="Compact"/>
        <w:numPr>
          <w:ilvl w:val="0"/>
          <w:numId w:val="1025"/>
        </w:numPr>
      </w:pPr>
      <w:r>
        <w:t xml:space="preserve">Deadlines for completion</w:t>
      </w:r>
    </w:p>
    <w:p>
      <w:pPr>
        <w:pStyle w:val="Compact"/>
        <w:numPr>
          <w:ilvl w:val="0"/>
          <w:numId w:val="1025"/>
        </w:numPr>
      </w:pPr>
      <w:r>
        <w:t xml:space="preserve">Success criteria</w:t>
      </w:r>
    </w:p>
    <w:p>
      <w:pPr>
        <w:pStyle w:val="Compact"/>
        <w:numPr>
          <w:ilvl w:val="0"/>
          <w:numId w:val="1025"/>
        </w:numPr>
      </w:pPr>
      <w:r>
        <w:t xml:space="preserve">Review dates to verify implementation</w:t>
      </w:r>
    </w:p>
    <w:bookmarkEnd w:id="37"/>
    <w:bookmarkStart w:id="38" w:name="documentation-and-reporting"/>
    <w:p>
      <w:pPr>
        <w:pStyle w:val="Heading3"/>
      </w:pPr>
      <w:r>
        <w:t xml:space="preserve">8.4 Documentation and Reporting</w:t>
      </w:r>
    </w:p>
    <w:p>
      <w:pPr>
        <w:pStyle w:val="Compact"/>
        <w:numPr>
          <w:ilvl w:val="0"/>
          <w:numId w:val="1026"/>
        </w:numPr>
      </w:pPr>
      <w:r>
        <w:t xml:space="preserve">Complete incident report for breach log</w:t>
      </w:r>
    </w:p>
    <w:p>
      <w:pPr>
        <w:pStyle w:val="Compact"/>
        <w:numPr>
          <w:ilvl w:val="0"/>
          <w:numId w:val="1026"/>
        </w:numPr>
      </w:pPr>
      <w:r>
        <w:t xml:space="preserve">Board report on incident and lessons learned</w:t>
      </w:r>
    </w:p>
    <w:p>
      <w:pPr>
        <w:pStyle w:val="Compact"/>
        <w:numPr>
          <w:ilvl w:val="0"/>
          <w:numId w:val="1026"/>
        </w:numPr>
      </w:pPr>
      <w:r>
        <w:t xml:space="preserve">Update risk register</w:t>
      </w:r>
    </w:p>
    <w:p>
      <w:pPr>
        <w:pStyle w:val="Compact"/>
        <w:numPr>
          <w:ilvl w:val="0"/>
          <w:numId w:val="1026"/>
        </w:numPr>
      </w:pPr>
      <w:r>
        <w:t xml:space="preserve">Share anonymised lessons with staff</w:t>
      </w:r>
    </w:p>
    <w:bookmarkEnd w:id="38"/>
    <w:bookmarkEnd w:id="39"/>
    <w:bookmarkStart w:id="42" w:name="breach-documentation-requirements"/>
    <w:p>
      <w:pPr>
        <w:pStyle w:val="Heading2"/>
      </w:pPr>
      <w:r>
        <w:t xml:space="preserve">9. Breach Documentation Requirements</w:t>
      </w:r>
    </w:p>
    <w:p>
      <w:pPr>
        <w:pStyle w:val="FirstParagraph"/>
      </w:pPr>
      <w:r>
        <w:t xml:space="preserve">ClearMinds maintains a comprehensive breach log documenting all breaches, regardless of whether ICO notification was required.</w:t>
      </w:r>
    </w:p>
    <w:bookmarkStart w:id="40" w:name="breach-log-contents"/>
    <w:p>
      <w:pPr>
        <w:pStyle w:val="Heading3"/>
      </w:pPr>
      <w:r>
        <w:t xml:space="preserve">9.1 Breach Log Contents</w:t>
      </w:r>
    </w:p>
    <w:p>
      <w:pPr>
        <w:pStyle w:val="FirstParagraph"/>
      </w:pPr>
      <w:r>
        <w:t xml:space="preserve">For each breach, document:</w:t>
      </w:r>
    </w:p>
    <w:p>
      <w:pPr>
        <w:pStyle w:val="Compact"/>
        <w:numPr>
          <w:ilvl w:val="0"/>
          <w:numId w:val="1027"/>
        </w:numPr>
      </w:pPr>
      <w:r>
        <w:t xml:space="preserve">Incident reference number and date discovered</w:t>
      </w:r>
    </w:p>
    <w:p>
      <w:pPr>
        <w:pStyle w:val="Compact"/>
        <w:numPr>
          <w:ilvl w:val="0"/>
          <w:numId w:val="1027"/>
        </w:numPr>
      </w:pPr>
      <w:r>
        <w:t xml:space="preserve">Description of breach and data affected</w:t>
      </w:r>
    </w:p>
    <w:p>
      <w:pPr>
        <w:pStyle w:val="Compact"/>
        <w:numPr>
          <w:ilvl w:val="0"/>
          <w:numId w:val="1027"/>
        </w:numPr>
      </w:pPr>
      <w:r>
        <w:t xml:space="preserve">Number of individuals affected</w:t>
      </w:r>
    </w:p>
    <w:p>
      <w:pPr>
        <w:pStyle w:val="Compact"/>
        <w:numPr>
          <w:ilvl w:val="0"/>
          <w:numId w:val="1027"/>
        </w:numPr>
      </w:pPr>
      <w:r>
        <w:t xml:space="preserve">Risk assessment and severity rating</w:t>
      </w:r>
    </w:p>
    <w:p>
      <w:pPr>
        <w:pStyle w:val="Compact"/>
        <w:numPr>
          <w:ilvl w:val="0"/>
          <w:numId w:val="1027"/>
        </w:numPr>
      </w:pPr>
      <w:r>
        <w:t xml:space="preserve">Timeline of key events</w:t>
      </w:r>
    </w:p>
    <w:p>
      <w:pPr>
        <w:pStyle w:val="Compact"/>
        <w:numPr>
          <w:ilvl w:val="0"/>
          <w:numId w:val="1027"/>
        </w:numPr>
      </w:pPr>
      <w:r>
        <w:t xml:space="preserve">Actions taken to contain and mitigate</w:t>
      </w:r>
    </w:p>
    <w:p>
      <w:pPr>
        <w:pStyle w:val="Compact"/>
        <w:numPr>
          <w:ilvl w:val="0"/>
          <w:numId w:val="1027"/>
        </w:numPr>
      </w:pPr>
      <w:r>
        <w:t xml:space="preserve">Whether ICO notification was made (and reasoning)</w:t>
      </w:r>
    </w:p>
    <w:p>
      <w:pPr>
        <w:pStyle w:val="Compact"/>
        <w:numPr>
          <w:ilvl w:val="0"/>
          <w:numId w:val="1027"/>
        </w:numPr>
      </w:pPr>
      <w:r>
        <w:t xml:space="preserve">Whether data subjects were notified (and reasoning)</w:t>
      </w:r>
    </w:p>
    <w:p>
      <w:pPr>
        <w:pStyle w:val="Compact"/>
        <w:numPr>
          <w:ilvl w:val="0"/>
          <w:numId w:val="1027"/>
        </w:numPr>
      </w:pPr>
      <w:r>
        <w:t xml:space="preserve">Lessons learned and corrective actions</w:t>
      </w:r>
    </w:p>
    <w:bookmarkEnd w:id="40"/>
    <w:bookmarkStart w:id="41" w:name="retention"/>
    <w:p>
      <w:pPr>
        <w:pStyle w:val="Heading3"/>
      </w:pPr>
      <w:r>
        <w:t xml:space="preserve">9.2 Retention</w:t>
      </w:r>
    </w:p>
    <w:p>
      <w:pPr>
        <w:pStyle w:val="FirstParagraph"/>
      </w:pPr>
      <w:r>
        <w:t xml:space="preserve">Breach records retained for 7 years from breach date for accountability and ICO audit purposes.</w:t>
      </w:r>
    </w:p>
    <w:bookmarkEnd w:id="41"/>
    <w:bookmarkEnd w:id="42"/>
    <w:bookmarkStart w:id="47" w:name="special-scenarios"/>
    <w:p>
      <w:pPr>
        <w:pStyle w:val="Heading2"/>
      </w:pPr>
      <w:r>
        <w:t xml:space="preserve">10. Special Scenarios</w:t>
      </w:r>
    </w:p>
    <w:bookmarkStart w:id="43" w:name="processor-breaches"/>
    <w:p>
      <w:pPr>
        <w:pStyle w:val="Heading3"/>
      </w:pPr>
      <w:r>
        <w:t xml:space="preserve">10.1 Processor Breaches</w:t>
      </w:r>
    </w:p>
    <w:p>
      <w:pPr>
        <w:pStyle w:val="FirstParagraph"/>
      </w:pPr>
      <w:r>
        <w:t xml:space="preserve">If a processor experiences a breach affecting ClearMinds data:</w:t>
      </w:r>
    </w:p>
    <w:p>
      <w:pPr>
        <w:pStyle w:val="Compact"/>
        <w:numPr>
          <w:ilvl w:val="0"/>
          <w:numId w:val="1028"/>
        </w:numPr>
      </w:pPr>
      <w:r>
        <w:t xml:space="preserve">Processor must notify ClearMinds without undue delay per Data Processing Agreement</w:t>
      </w:r>
    </w:p>
    <w:p>
      <w:pPr>
        <w:pStyle w:val="Compact"/>
        <w:numPr>
          <w:ilvl w:val="0"/>
          <w:numId w:val="1028"/>
        </w:numPr>
      </w:pPr>
      <w:r>
        <w:t xml:space="preserve">ClearMinds (as controller) is responsible for ICO notification</w:t>
      </w:r>
    </w:p>
    <w:p>
      <w:pPr>
        <w:pStyle w:val="Compact"/>
        <w:numPr>
          <w:ilvl w:val="0"/>
          <w:numId w:val="1028"/>
        </w:numPr>
      </w:pPr>
      <w:r>
        <w:t xml:space="preserve">Assess whether we have sufficient information to notify within 72 hours</w:t>
      </w:r>
    </w:p>
    <w:p>
      <w:pPr>
        <w:pStyle w:val="Compact"/>
        <w:numPr>
          <w:ilvl w:val="0"/>
          <w:numId w:val="1028"/>
        </w:numPr>
      </w:pPr>
      <w:r>
        <w:t xml:space="preserve">Work collaboratively with processor on investigation and resolution</w:t>
      </w:r>
    </w:p>
    <w:p>
      <w:pPr>
        <w:pStyle w:val="Compact"/>
        <w:numPr>
          <w:ilvl w:val="0"/>
          <w:numId w:val="1028"/>
        </w:numPr>
      </w:pPr>
      <w:r>
        <w:t xml:space="preserve">Review processor relationship and contract</w:t>
      </w:r>
    </w:p>
    <w:bookmarkEnd w:id="43"/>
    <w:bookmarkStart w:id="44" w:name="ransomware-attacks"/>
    <w:p>
      <w:pPr>
        <w:pStyle w:val="Heading3"/>
      </w:pPr>
      <w:r>
        <w:t xml:space="preserve">10.2 Ransomware Attacks</w:t>
      </w:r>
    </w:p>
    <w:p>
      <w:pPr>
        <w:pStyle w:val="FirstParagraph"/>
      </w:pPr>
      <w:r>
        <w:t xml:space="preserve">Ransomware is both an availability breach and often a confidentiality breach: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DO NOT PAY RANSOM</w:t>
      </w:r>
      <w:r>
        <w:t xml:space="preserve"> </w:t>
      </w:r>
      <w:r>
        <w:t xml:space="preserve">without explicit authorisation from CEO and DPO</w:t>
      </w:r>
    </w:p>
    <w:p>
      <w:pPr>
        <w:pStyle w:val="Compact"/>
        <w:numPr>
          <w:ilvl w:val="0"/>
          <w:numId w:val="1029"/>
        </w:numPr>
      </w:pPr>
      <w:r>
        <w:t xml:space="preserve">Assume data has been exfiltrated unless proven otherwise</w:t>
      </w:r>
    </w:p>
    <w:p>
      <w:pPr>
        <w:pStyle w:val="Compact"/>
        <w:numPr>
          <w:ilvl w:val="0"/>
          <w:numId w:val="1029"/>
        </w:numPr>
      </w:pPr>
      <w:r>
        <w:t xml:space="preserve">Engage cybersecurity forensics immediately</w:t>
      </w:r>
    </w:p>
    <w:p>
      <w:pPr>
        <w:pStyle w:val="Compact"/>
        <w:numPr>
          <w:ilvl w:val="0"/>
          <w:numId w:val="1029"/>
        </w:numPr>
      </w:pPr>
      <w:r>
        <w:t xml:space="preserve">Report to National Cyber Security Centre (NCSC) and Action Fraud</w:t>
      </w:r>
    </w:p>
    <w:p>
      <w:pPr>
        <w:pStyle w:val="Compact"/>
        <w:numPr>
          <w:ilvl w:val="0"/>
          <w:numId w:val="1029"/>
        </w:numPr>
      </w:pPr>
      <w:r>
        <w:t xml:space="preserve">Notify ICO within 72 hours</w:t>
      </w:r>
    </w:p>
    <w:p>
      <w:pPr>
        <w:pStyle w:val="Compact"/>
        <w:numPr>
          <w:ilvl w:val="0"/>
          <w:numId w:val="1029"/>
        </w:numPr>
      </w:pPr>
      <w:r>
        <w:t xml:space="preserve">Consider if data subjects need notification (usually yes for health data)</w:t>
      </w:r>
    </w:p>
    <w:bookmarkEnd w:id="44"/>
    <w:bookmarkStart w:id="45" w:name="insider-threats"/>
    <w:p>
      <w:pPr>
        <w:pStyle w:val="Heading3"/>
      </w:pPr>
      <w:r>
        <w:t xml:space="preserve">10.3 Insider Threats</w:t>
      </w:r>
    </w:p>
    <w:p>
      <w:pPr>
        <w:pStyle w:val="FirstParagraph"/>
      </w:pPr>
      <w:r>
        <w:t xml:space="preserve">Breaches caused by malicious or negligent insiders:</w:t>
      </w:r>
    </w:p>
    <w:p>
      <w:pPr>
        <w:pStyle w:val="Compact"/>
        <w:numPr>
          <w:ilvl w:val="0"/>
          <w:numId w:val="1030"/>
        </w:numPr>
      </w:pPr>
      <w:r>
        <w:t xml:space="preserve">Immediately revoke all system access</w:t>
      </w:r>
    </w:p>
    <w:p>
      <w:pPr>
        <w:pStyle w:val="Compact"/>
        <w:numPr>
          <w:ilvl w:val="0"/>
          <w:numId w:val="1030"/>
        </w:numPr>
      </w:pPr>
      <w:r>
        <w:t xml:space="preserve">Preserve evidence (do not alert the individual initially)</w:t>
      </w:r>
    </w:p>
    <w:p>
      <w:pPr>
        <w:pStyle w:val="Compact"/>
        <w:numPr>
          <w:ilvl w:val="0"/>
          <w:numId w:val="1030"/>
        </w:numPr>
      </w:pPr>
      <w:r>
        <w:t xml:space="preserve">Engage HR and consider police involvement</w:t>
      </w:r>
    </w:p>
    <w:p>
      <w:pPr>
        <w:pStyle w:val="Compact"/>
        <w:numPr>
          <w:ilvl w:val="0"/>
          <w:numId w:val="1030"/>
        </w:numPr>
      </w:pPr>
      <w:r>
        <w:t xml:space="preserve">Review access logs to determine full extent</w:t>
      </w:r>
    </w:p>
    <w:p>
      <w:pPr>
        <w:pStyle w:val="Compact"/>
        <w:numPr>
          <w:ilvl w:val="0"/>
          <w:numId w:val="1030"/>
        </w:numPr>
      </w:pPr>
      <w:r>
        <w:t xml:space="preserve">Consider injunction to prevent further disclosure</w:t>
      </w:r>
    </w:p>
    <w:p>
      <w:pPr>
        <w:pStyle w:val="Compact"/>
        <w:numPr>
          <w:ilvl w:val="0"/>
          <w:numId w:val="1030"/>
        </w:numPr>
      </w:pPr>
      <w:r>
        <w:t xml:space="preserve">Disciplinary and potentially legal action</w:t>
      </w:r>
    </w:p>
    <w:bookmarkEnd w:id="45"/>
    <w:bookmarkStart w:id="46" w:name="physical-breaches"/>
    <w:p>
      <w:pPr>
        <w:pStyle w:val="Heading3"/>
      </w:pPr>
      <w:r>
        <w:t xml:space="preserve">10.4 Physical Breaches</w:t>
      </w:r>
    </w:p>
    <w:p>
      <w:pPr>
        <w:pStyle w:val="FirstParagraph"/>
      </w:pPr>
      <w:r>
        <w:t xml:space="preserve">Loss or theft of devices or physical records:</w:t>
      </w:r>
    </w:p>
    <w:p>
      <w:pPr>
        <w:pStyle w:val="Compact"/>
        <w:numPr>
          <w:ilvl w:val="0"/>
          <w:numId w:val="1031"/>
        </w:numPr>
      </w:pPr>
      <w:r>
        <w:t xml:space="preserve">Report to police immediately (obtain crime reference number)</w:t>
      </w:r>
    </w:p>
    <w:p>
      <w:pPr>
        <w:pStyle w:val="Compact"/>
        <w:numPr>
          <w:ilvl w:val="0"/>
          <w:numId w:val="1031"/>
        </w:numPr>
      </w:pPr>
      <w:r>
        <w:t xml:space="preserve">Remote wipe devices if possible</w:t>
      </w:r>
    </w:p>
    <w:p>
      <w:pPr>
        <w:pStyle w:val="Compact"/>
        <w:numPr>
          <w:ilvl w:val="0"/>
          <w:numId w:val="1031"/>
        </w:numPr>
      </w:pPr>
      <w:r>
        <w:t xml:space="preserve">Assess encryption status of device</w:t>
      </w:r>
    </w:p>
    <w:p>
      <w:pPr>
        <w:pStyle w:val="Compact"/>
        <w:numPr>
          <w:ilvl w:val="0"/>
          <w:numId w:val="1031"/>
        </w:numPr>
      </w:pPr>
      <w:r>
        <w:t xml:space="preserve">Change passwords for any accounts accessible from device</w:t>
      </w:r>
    </w:p>
    <w:p>
      <w:pPr>
        <w:pStyle w:val="Compact"/>
        <w:numPr>
          <w:ilvl w:val="0"/>
          <w:numId w:val="1031"/>
        </w:numPr>
      </w:pPr>
      <w:r>
        <w:t xml:space="preserve">Notify ICO if not encrypted or high-risk data</w:t>
      </w:r>
    </w:p>
    <w:bookmarkEnd w:id="46"/>
    <w:bookmarkEnd w:id="47"/>
    <w:bookmarkStart w:id="48" w:name="training-and-awareness"/>
    <w:p>
      <w:pPr>
        <w:pStyle w:val="Heading2"/>
      </w:pPr>
      <w:r>
        <w:t xml:space="preserve">11. Training and Awareness</w:t>
      </w:r>
    </w:p>
    <w:p>
      <w:pPr>
        <w:pStyle w:val="Compact"/>
        <w:numPr>
          <w:ilvl w:val="0"/>
          <w:numId w:val="1032"/>
        </w:numPr>
      </w:pPr>
      <w:r>
        <w:t xml:space="preserve">All staff receive annual data breach awareness training</w:t>
      </w:r>
    </w:p>
    <w:p>
      <w:pPr>
        <w:pStyle w:val="Compact"/>
        <w:numPr>
          <w:ilvl w:val="0"/>
          <w:numId w:val="1032"/>
        </w:numPr>
      </w:pPr>
      <w:r>
        <w:t xml:space="preserve">Response team receives specialist incident response training</w:t>
      </w:r>
    </w:p>
    <w:p>
      <w:pPr>
        <w:pStyle w:val="Compact"/>
        <w:numPr>
          <w:ilvl w:val="0"/>
          <w:numId w:val="1032"/>
        </w:numPr>
      </w:pPr>
      <w:r>
        <w:t xml:space="preserve">Annual breach simulation exercises (</w:t>
      </w:r>
      <w:r>
        <w:t xml:space="preserve">“tabletop exercises”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Regular updates on lessons learned from incidents</w:t>
      </w:r>
    </w:p>
    <w:bookmarkEnd w:id="48"/>
    <w:bookmarkStart w:id="49" w:name="testing-and-review"/>
    <w:p>
      <w:pPr>
        <w:pStyle w:val="Heading2"/>
      </w:pPr>
      <w:r>
        <w:t xml:space="preserve">12. Testing and Review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Annual Testing:</w:t>
      </w:r>
      <w:r>
        <w:t xml:space="preserve"> </w:t>
      </w:r>
      <w:r>
        <w:t xml:space="preserve">Simulated breach scenarios to test plan effectiveness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Annual Review:</w:t>
      </w:r>
      <w:r>
        <w:t xml:space="preserve"> </w:t>
      </w:r>
      <w:r>
        <w:t xml:space="preserve">Full review of this plan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Post-Incident Review:</w:t>
      </w:r>
      <w:r>
        <w:t xml:space="preserve"> </w:t>
      </w:r>
      <w:r>
        <w:t xml:space="preserve">Plan updated after every significant breach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Regulatory Review:</w:t>
      </w:r>
      <w:r>
        <w:t xml:space="preserve"> </w:t>
      </w:r>
      <w:r>
        <w:t xml:space="preserve">Updated to reflect ICO guidance and legal changes</w:t>
      </w:r>
    </w:p>
    <w:bookmarkEnd w:id="49"/>
    <w:bookmarkStart w:id="50" w:name="related-documents"/>
    <w:p>
      <w:pPr>
        <w:pStyle w:val="Heading2"/>
      </w:pPr>
      <w:r>
        <w:t xml:space="preserve">13. Related Documents</w:t>
      </w:r>
    </w:p>
    <w:p>
      <w:pPr>
        <w:pStyle w:val="Compact"/>
        <w:numPr>
          <w:ilvl w:val="0"/>
          <w:numId w:val="1034"/>
        </w:numPr>
      </w:pPr>
      <w:r>
        <w:t xml:space="preserve">Data Protection Policy</w:t>
      </w:r>
    </w:p>
    <w:p>
      <w:pPr>
        <w:pStyle w:val="Compact"/>
        <w:numPr>
          <w:ilvl w:val="0"/>
          <w:numId w:val="1034"/>
        </w:numPr>
      </w:pPr>
      <w:r>
        <w:t xml:space="preserve">Information Security Policy</w:t>
      </w:r>
    </w:p>
    <w:p>
      <w:pPr>
        <w:pStyle w:val="Compact"/>
        <w:numPr>
          <w:ilvl w:val="0"/>
          <w:numId w:val="1034"/>
        </w:numPr>
      </w:pPr>
      <w:r>
        <w:t xml:space="preserve">Incident Response Plan (IT Security)</w:t>
      </w:r>
    </w:p>
    <w:p>
      <w:pPr>
        <w:pStyle w:val="Compact"/>
        <w:numPr>
          <w:ilvl w:val="0"/>
          <w:numId w:val="1034"/>
        </w:numPr>
      </w:pPr>
      <w:r>
        <w:t xml:space="preserve">Business Continuity Plan</w:t>
      </w:r>
    </w:p>
    <w:p>
      <w:pPr>
        <w:pStyle w:val="Compact"/>
        <w:numPr>
          <w:ilvl w:val="0"/>
          <w:numId w:val="1034"/>
        </w:numPr>
      </w:pPr>
      <w:r>
        <w:t xml:space="preserve">Disciplinary Procedure</w:t>
      </w:r>
    </w:p>
    <w:p>
      <w:pPr>
        <w:pStyle w:val="Compact"/>
        <w:numPr>
          <w:ilvl w:val="0"/>
          <w:numId w:val="1034"/>
        </w:numPr>
      </w:pPr>
      <w:r>
        <w:t xml:space="preserve">Media Communications Protocol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p>
      <w:pPr>
        <w:pStyle w:val="BodyText"/>
      </w:pPr>
      <w:r>
        <w:t xml:space="preserve">Plan Reference: CM-DBRP-001 | Version: 1.0 | Approved by: Data Protection Officer &amp; Board</w:t>
      </w:r>
    </w:p>
    <w:p>
      <w:pPr>
        <w:pStyle w:val="BodyText"/>
      </w:pPr>
      <w:r>
        <w:t xml:space="preserve">Next Review: [ANNUAL REVIEW] | Emergency Contact: [DPO NUMBER] (24/7)</w:t>
      </w:r>
    </w:p>
    <w:p>
      <w:pPr>
        <w:pStyle w:val="BodyText"/>
      </w:pPr>
      <w:r>
        <w:t xml:space="preserve">© 2024 ClearMinds. All rights reserved.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2025-11-12T11:27:59Z</dcterms:created>
  <dcterms:modified xsi:type="dcterms:W3CDTF">2025-11-12T11:27:59Z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