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9AB1" w14:textId="4B376330" w:rsidR="00CC25B8" w:rsidRPr="00E35788" w:rsidRDefault="00A76971" w:rsidP="00636211">
      <w:pPr>
        <w:tabs>
          <w:tab w:val="left" w:pos="9360"/>
        </w:tabs>
        <w:spacing w:line="480" w:lineRule="auto"/>
        <w:jc w:val="center"/>
        <w:rPr>
          <w:rFonts w:ascii="Times New Roman" w:hAnsi="Times New Roman" w:cs="Times New Roman"/>
          <w:sz w:val="24"/>
          <w:szCs w:val="24"/>
        </w:rPr>
      </w:pPr>
      <w:r w:rsidRPr="002D488B">
        <w:rPr>
          <w:noProof/>
          <w:color w:val="4472C4" w:themeColor="accent1"/>
        </w:rPr>
        <w:drawing>
          <wp:anchor distT="0" distB="0" distL="114300" distR="114300" simplePos="0" relativeHeight="251658240" behindDoc="1" locked="0" layoutInCell="1" allowOverlap="1" wp14:anchorId="0CBF6DEB" wp14:editId="26E50E6B">
            <wp:simplePos x="0" y="0"/>
            <wp:positionH relativeFrom="margin">
              <wp:align>right</wp:align>
            </wp:positionH>
            <wp:positionV relativeFrom="paragraph">
              <wp:posOffset>4273225</wp:posOffset>
            </wp:positionV>
            <wp:extent cx="2707640" cy="1414145"/>
            <wp:effectExtent l="0" t="0" r="0" b="0"/>
            <wp:wrapTight wrapText="bothSides">
              <wp:wrapPolygon edited="0">
                <wp:start x="0" y="0"/>
                <wp:lineTo x="0" y="21241"/>
                <wp:lineTo x="21428" y="21241"/>
                <wp:lineTo x="21428" y="0"/>
                <wp:lineTo x="0" y="0"/>
              </wp:wrapPolygon>
            </wp:wrapTight>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2707640" cy="1414145"/>
                    </a:xfrm>
                    <a:prstGeom prst="rect">
                      <a:avLst/>
                    </a:prstGeom>
                  </pic:spPr>
                </pic:pic>
              </a:graphicData>
            </a:graphic>
            <wp14:sizeRelH relativeFrom="margin">
              <wp14:pctWidth>0</wp14:pctWidth>
            </wp14:sizeRelH>
            <wp14:sizeRelV relativeFrom="margin">
              <wp14:pctHeight>0</wp14:pctHeight>
            </wp14:sizeRelV>
          </wp:anchor>
        </w:drawing>
      </w:r>
      <w:r>
        <w:rPr>
          <w:noProof/>
          <w:color w:val="4472C4" w:themeColor="accent1"/>
        </w:rPr>
        <mc:AlternateContent>
          <mc:Choice Requires="wps">
            <w:drawing>
              <wp:anchor distT="0" distB="0" distL="114300" distR="114300" simplePos="0" relativeHeight="251663360" behindDoc="0" locked="0" layoutInCell="1" allowOverlap="1" wp14:anchorId="13CFD0D2" wp14:editId="0B247BB9">
                <wp:simplePos x="0" y="0"/>
                <wp:positionH relativeFrom="margin">
                  <wp:align>left</wp:align>
                </wp:positionH>
                <wp:positionV relativeFrom="paragraph">
                  <wp:posOffset>2412675</wp:posOffset>
                </wp:positionV>
                <wp:extent cx="1520456" cy="1786269"/>
                <wp:effectExtent l="0" t="0" r="22860" b="23495"/>
                <wp:wrapNone/>
                <wp:docPr id="5" name="Text Box 5"/>
                <wp:cNvGraphicFramePr/>
                <a:graphic xmlns:a="http://schemas.openxmlformats.org/drawingml/2006/main">
                  <a:graphicData uri="http://schemas.microsoft.com/office/word/2010/wordprocessingShape">
                    <wps:wsp>
                      <wps:cNvSpPr txBox="1"/>
                      <wps:spPr>
                        <a:xfrm>
                          <a:off x="0" y="0"/>
                          <a:ext cx="1520456" cy="1786269"/>
                        </a:xfrm>
                        <a:prstGeom prst="rect">
                          <a:avLst/>
                        </a:prstGeom>
                        <a:solidFill>
                          <a:schemeClr val="lt1"/>
                        </a:solidFill>
                        <a:ln w="6350">
                          <a:solidFill>
                            <a:prstClr val="black"/>
                          </a:solidFill>
                        </a:ln>
                      </wps:spPr>
                      <wps:txbx>
                        <w:txbxContent>
                          <w:p w14:paraId="1F2C1530" w14:textId="68FFB1F5" w:rsidR="00FF646F" w:rsidRPr="00A76971" w:rsidRDefault="00FF646F" w:rsidP="00FF646F">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I am noticing that each of these applicants wants 100% of their allocation to a savings account to go into a Variable Account. This may indicate that Variable Accounts are popular.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FD0D2" id="_x0000_t202" coordsize="21600,21600" o:spt="202" path="m,l,21600r21600,l21600,xe">
                <v:stroke joinstyle="miter"/>
                <v:path gradientshapeok="t" o:connecttype="rect"/>
              </v:shapetype>
              <v:shape id="Text Box 5" o:spid="_x0000_s1026" type="#_x0000_t202" style="position:absolute;left:0;text-align:left;margin-left:0;margin-top:189.95pt;width:119.7pt;height:140.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za+OwIAAIQ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" fillcolor="white [3201]" strokeweight=".5pt">
                <v:textbox>
                  <w:txbxContent>
                    <w:p w14:paraId="1F2C1530" w14:textId="68FFB1F5" w:rsidR="00FF646F" w:rsidRPr="00A76971" w:rsidRDefault="00FF646F" w:rsidP="00FF646F">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I am noticing that each of these applicants wants 100% of their allocation to a savings account to go into a Variable Account. This may indicate that Variable Accounts are popular.</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5408" behindDoc="0" locked="0" layoutInCell="1" allowOverlap="1" wp14:anchorId="5F4C8882" wp14:editId="037FC71E">
                <wp:simplePos x="0" y="0"/>
                <wp:positionH relativeFrom="margin">
                  <wp:align>left</wp:align>
                </wp:positionH>
                <wp:positionV relativeFrom="paragraph">
                  <wp:posOffset>4275912</wp:posOffset>
                </wp:positionV>
                <wp:extent cx="3200400" cy="1552353"/>
                <wp:effectExtent l="0" t="0" r="19050" b="10160"/>
                <wp:wrapNone/>
                <wp:docPr id="6" name="Text Box 6"/>
                <wp:cNvGraphicFramePr/>
                <a:graphic xmlns:a="http://schemas.openxmlformats.org/drawingml/2006/main">
                  <a:graphicData uri="http://schemas.microsoft.com/office/word/2010/wordprocessingShape">
                    <wps:wsp>
                      <wps:cNvSpPr txBox="1"/>
                      <wps:spPr>
                        <a:xfrm>
                          <a:off x="0" y="0"/>
                          <a:ext cx="3200400" cy="1552353"/>
                        </a:xfrm>
                        <a:prstGeom prst="rect">
                          <a:avLst/>
                        </a:prstGeom>
                        <a:solidFill>
                          <a:schemeClr val="lt1"/>
                        </a:solidFill>
                        <a:ln w="6350">
                          <a:solidFill>
                            <a:prstClr val="black"/>
                          </a:solidFill>
                        </a:ln>
                      </wps:spPr>
                      <wps:txbx>
                        <w:txbxContent>
                          <w:p w14:paraId="5C50A3FC" w14:textId="11DB5F35" w:rsidR="00FF646F" w:rsidRPr="00A76971" w:rsidRDefault="00FF646F" w:rsidP="00FF646F">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What Riders has the policyholder acquired?</w:t>
                            </w:r>
                          </w:p>
                          <w:p w14:paraId="27E021E3" w14:textId="33885043" w:rsidR="00FF646F" w:rsidRPr="00A76971" w:rsidRDefault="00FF646F" w:rsidP="00FF646F">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T</w:t>
                            </w:r>
                            <w:r w:rsidR="00D23D4E" w:rsidRPr="00A76971">
                              <w:rPr>
                                <w:rFonts w:ascii="Arial" w:hAnsi="Arial" w:cs="Arial"/>
                                <w:color w:val="2F5496" w:themeColor="accent1" w:themeShade="BF"/>
                                <w:sz w:val="20"/>
                                <w:szCs w:val="20"/>
                              </w:rPr>
                              <w:t>his policyholder has the Conversion, Minimum Indexed Benefit, Overloan Protection 3, Accelerated Death benefit Rider for Chronic and Terminal Illness, No Lapse Guarantee, and Accelerated Death Benefit Rider for Terminal Illness Riders.</w:t>
                            </w:r>
                          </w:p>
                          <w:p w14:paraId="0F7BFB13" w14:textId="438D8E44" w:rsidR="00D23D4E" w:rsidRPr="00A76971" w:rsidRDefault="00D23D4E" w:rsidP="00FF646F">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Only the Accelerated Death Benefit Riders are optional, while the rest are included in the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C8882" id="Text Box 6" o:spid="_x0000_s1027" type="#_x0000_t202" style="position:absolute;left:0;text-align:left;margin-left:0;margin-top:336.7pt;width:252pt;height:122.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4OwIAAIQ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" fillcolor="white [3201]" strokeweight=".5pt">
                <v:textbox>
                  <w:txbxContent>
                    <w:p w14:paraId="5C50A3FC" w14:textId="11DB5F35" w:rsidR="00FF646F" w:rsidRPr="00A76971" w:rsidRDefault="00FF646F" w:rsidP="00FF646F">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What Riders has the policyholder acquired?</w:t>
                      </w:r>
                    </w:p>
                    <w:p w14:paraId="27E021E3" w14:textId="33885043" w:rsidR="00FF646F" w:rsidRPr="00A76971" w:rsidRDefault="00FF646F" w:rsidP="00FF646F">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T</w:t>
                      </w:r>
                      <w:r w:rsidR="00D23D4E" w:rsidRPr="00A76971">
                        <w:rPr>
                          <w:rFonts w:ascii="Arial" w:hAnsi="Arial" w:cs="Arial"/>
                          <w:color w:val="2F5496" w:themeColor="accent1" w:themeShade="BF"/>
                          <w:sz w:val="20"/>
                          <w:szCs w:val="20"/>
                        </w:rPr>
                        <w:t>his policyholder has the Conversion, Minimum Indexed Benefit, Overloan Protection 3, Accelerated Death benefit Rider for Chronic and Terminal Illness, No Lapse Guarantee, and Accelerated Death Benefit Rider for Terminal Illness Riders.</w:t>
                      </w:r>
                    </w:p>
                    <w:p w14:paraId="0F7BFB13" w14:textId="438D8E44" w:rsidR="00D23D4E" w:rsidRPr="00A76971" w:rsidRDefault="00D23D4E" w:rsidP="00FF646F">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Only the Accelerated Death Benefit Riders are optional, while the rest are included in the policy.</w:t>
                      </w:r>
                    </w:p>
                  </w:txbxContent>
                </v:textbox>
                <w10:wrap anchorx="margin"/>
              </v:shape>
            </w:pict>
          </mc:Fallback>
        </mc:AlternateContent>
      </w:r>
      <w:r w:rsidRPr="002D488B">
        <w:rPr>
          <w:color w:val="4472C4" w:themeColor="accent1"/>
        </w:rPr>
        <w:drawing>
          <wp:anchor distT="0" distB="0" distL="114300" distR="114300" simplePos="0" relativeHeight="251660288" behindDoc="1" locked="0" layoutInCell="1" allowOverlap="1" wp14:anchorId="6221E65C" wp14:editId="43C6B997">
            <wp:simplePos x="0" y="0"/>
            <wp:positionH relativeFrom="margin">
              <wp:align>right</wp:align>
            </wp:positionH>
            <wp:positionV relativeFrom="paragraph">
              <wp:posOffset>254960</wp:posOffset>
            </wp:positionV>
            <wp:extent cx="2959735" cy="1934845"/>
            <wp:effectExtent l="0" t="0" r="0" b="8255"/>
            <wp:wrapTight wrapText="bothSides">
              <wp:wrapPolygon edited="0">
                <wp:start x="0" y="0"/>
                <wp:lineTo x="0" y="21479"/>
                <wp:lineTo x="21410" y="21479"/>
                <wp:lineTo x="21410" y="0"/>
                <wp:lineTo x="0" y="0"/>
              </wp:wrapPolygon>
            </wp:wrapTight>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59735" cy="1934845"/>
                    </a:xfrm>
                    <a:prstGeom prst="rect">
                      <a:avLst/>
                    </a:prstGeom>
                  </pic:spPr>
                </pic:pic>
              </a:graphicData>
            </a:graphic>
            <wp14:sizeRelH relativeFrom="margin">
              <wp14:pctWidth>0</wp14:pctWidth>
            </wp14:sizeRelH>
            <wp14:sizeRelV relativeFrom="margin">
              <wp14:pctHeight>0</wp14:pctHeight>
            </wp14:sizeRelV>
          </wp:anchor>
        </w:drawing>
      </w:r>
      <w:r>
        <w:rPr>
          <w:noProof/>
          <w:color w:val="4472C4" w:themeColor="accent1"/>
        </w:rPr>
        <mc:AlternateContent>
          <mc:Choice Requires="wps">
            <w:drawing>
              <wp:anchor distT="0" distB="0" distL="114300" distR="114300" simplePos="0" relativeHeight="251667456" behindDoc="0" locked="0" layoutInCell="1" allowOverlap="1" wp14:anchorId="59611AEC" wp14:editId="06A0E2C2">
                <wp:simplePos x="0" y="0"/>
                <wp:positionH relativeFrom="margin">
                  <wp:align>right</wp:align>
                </wp:positionH>
                <wp:positionV relativeFrom="paragraph">
                  <wp:posOffset>5953228</wp:posOffset>
                </wp:positionV>
                <wp:extent cx="5922335" cy="2456121"/>
                <wp:effectExtent l="0" t="0" r="21590" b="20955"/>
                <wp:wrapNone/>
                <wp:docPr id="8" name="Text Box 8"/>
                <wp:cNvGraphicFramePr/>
                <a:graphic xmlns:a="http://schemas.openxmlformats.org/drawingml/2006/main">
                  <a:graphicData uri="http://schemas.microsoft.com/office/word/2010/wordprocessingShape">
                    <wps:wsp>
                      <wps:cNvSpPr txBox="1"/>
                      <wps:spPr>
                        <a:xfrm>
                          <a:off x="0" y="0"/>
                          <a:ext cx="5922335" cy="2456121"/>
                        </a:xfrm>
                        <a:prstGeom prst="rect">
                          <a:avLst/>
                        </a:prstGeom>
                        <a:solidFill>
                          <a:schemeClr val="lt1"/>
                        </a:solidFill>
                        <a:ln w="6350">
                          <a:solidFill>
                            <a:prstClr val="black"/>
                          </a:solidFill>
                        </a:ln>
                      </wps:spPr>
                      <wps:txbx>
                        <w:txbxContent>
                          <w:p w14:paraId="52FF55ED" w14:textId="77777777" w:rsidR="00D6361F" w:rsidRPr="00A76971" w:rsidRDefault="00A0750C" w:rsidP="00D23D4E">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A Conversion Rider helped a policyholder convert the current policy after the 8</w:t>
                            </w:r>
                            <w:r w:rsidRPr="00A76971">
                              <w:rPr>
                                <w:rFonts w:ascii="Arial" w:hAnsi="Arial" w:cs="Arial"/>
                                <w:color w:val="2F5496" w:themeColor="accent1" w:themeShade="BF"/>
                                <w:sz w:val="20"/>
                                <w:szCs w:val="20"/>
                                <w:vertAlign w:val="superscript"/>
                              </w:rPr>
                              <w:t>th</w:t>
                            </w:r>
                            <w:r w:rsidRPr="00A76971">
                              <w:rPr>
                                <w:rFonts w:ascii="Arial" w:hAnsi="Arial" w:cs="Arial"/>
                                <w:color w:val="2F5496" w:themeColor="accent1" w:themeShade="BF"/>
                                <w:sz w:val="20"/>
                                <w:szCs w:val="20"/>
                              </w:rPr>
                              <w:t xml:space="preserve"> policy year to another policy at no additional cost.</w:t>
                            </w:r>
                          </w:p>
                          <w:p w14:paraId="2B2B2C2A" w14:textId="08264970" w:rsidR="00A0750C" w:rsidRPr="00A76971" w:rsidRDefault="00D6361F" w:rsidP="00D23D4E">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The Minimum Indexed Benefit Rider</w:t>
                            </w:r>
                            <w:r w:rsidR="00234FB3" w:rsidRPr="00A76971">
                              <w:rPr>
                                <w:rFonts w:ascii="Arial" w:hAnsi="Arial" w:cs="Arial"/>
                                <w:color w:val="2F5496" w:themeColor="accent1" w:themeShade="BF"/>
                                <w:sz w:val="20"/>
                                <w:szCs w:val="20"/>
                              </w:rPr>
                              <w:t xml:space="preserve"> provides an Indexed Termination Credit which is given when interest accrued is less than charges made on the account.</w:t>
                            </w:r>
                            <w:r w:rsidR="00F26B5C" w:rsidRPr="00A76971">
                              <w:rPr>
                                <w:rFonts w:ascii="Arial" w:hAnsi="Arial" w:cs="Arial"/>
                                <w:color w:val="2F5496" w:themeColor="accent1" w:themeShade="BF"/>
                                <w:sz w:val="20"/>
                                <w:szCs w:val="20"/>
                              </w:rPr>
                              <w:t xml:space="preserve"> This can increase the net cash surrender value, change the Death benefit, and time a policy enters a grace period.</w:t>
                            </w:r>
                          </w:p>
                          <w:p w14:paraId="3FDC0955" w14:textId="79C34C61" w:rsidR="00F26B5C" w:rsidRPr="00A76971" w:rsidRDefault="00F26B5C" w:rsidP="00D23D4E">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An Overloan Protection 3 Rider guarantees the policy will not stop benefits. (lapse)</w:t>
                            </w:r>
                            <w:r w:rsidR="006E4901" w:rsidRPr="00A76971">
                              <w:rPr>
                                <w:rFonts w:ascii="Arial" w:hAnsi="Arial" w:cs="Arial"/>
                                <w:color w:val="2F5496" w:themeColor="accent1" w:themeShade="BF"/>
                                <w:sz w:val="20"/>
                                <w:szCs w:val="20"/>
                              </w:rPr>
                              <w:t xml:space="preserve"> It can happen if conditions are </w:t>
                            </w:r>
                            <w:r w:rsidR="000112EC" w:rsidRPr="00A76971">
                              <w:rPr>
                                <w:rFonts w:ascii="Arial" w:hAnsi="Arial" w:cs="Arial"/>
                                <w:color w:val="2F5496" w:themeColor="accent1" w:themeShade="BF"/>
                                <w:sz w:val="20"/>
                                <w:szCs w:val="20"/>
                              </w:rPr>
                              <w:t>met,</w:t>
                            </w:r>
                            <w:r w:rsidR="006E4901" w:rsidRPr="00A76971">
                              <w:rPr>
                                <w:rFonts w:ascii="Arial" w:hAnsi="Arial" w:cs="Arial"/>
                                <w:color w:val="2F5496" w:themeColor="accent1" w:themeShade="BF"/>
                                <w:sz w:val="20"/>
                                <w:szCs w:val="20"/>
                              </w:rPr>
                              <w:t xml:space="preserve"> and a one-time exercise charge will be made at execution. This is mainly used when loans exceed the value of the policy.</w:t>
                            </w:r>
                          </w:p>
                          <w:p w14:paraId="2FC5ED81" w14:textId="06D05E6C" w:rsidR="006E4901" w:rsidRPr="00A76971" w:rsidRDefault="006E4901" w:rsidP="00D23D4E">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 xml:space="preserve">A Short-Term No Lapse Guarantee </w:t>
                            </w:r>
                            <w:r w:rsidR="000112EC" w:rsidRPr="00A76971">
                              <w:rPr>
                                <w:rFonts w:ascii="Arial" w:hAnsi="Arial" w:cs="Arial"/>
                                <w:color w:val="2F5496" w:themeColor="accent1" w:themeShade="BF"/>
                                <w:sz w:val="20"/>
                                <w:szCs w:val="20"/>
                              </w:rPr>
                              <w:t>Rider says that if you pay your premium, your policy will not end for that period.</w:t>
                            </w:r>
                          </w:p>
                          <w:p w14:paraId="56082F56" w14:textId="7CBBDD7B" w:rsidR="000112EC" w:rsidRPr="00A76971" w:rsidRDefault="000112EC" w:rsidP="00D23D4E">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A Terminal Illness Rider gives you access to a portion of the basic coverage amount if the policyholder is terminally ill with life expectancy of 12 months or less.</w:t>
                            </w:r>
                          </w:p>
                          <w:p w14:paraId="5B604E39" w14:textId="26005C92" w:rsidR="00F26B5C" w:rsidRDefault="00F26B5C" w:rsidP="00D23D4E">
                            <w:pPr>
                              <w:rPr>
                                <w:color w:val="2F5496" w:themeColor="accent1" w:themeShade="BF"/>
                              </w:rPr>
                            </w:pPr>
                          </w:p>
                          <w:p w14:paraId="2CFD2FFA" w14:textId="77777777" w:rsidR="00F26B5C" w:rsidRDefault="00F26B5C" w:rsidP="00D23D4E">
                            <w:pPr>
                              <w:rPr>
                                <w:color w:val="2F5496" w:themeColor="accent1" w:themeShade="BF"/>
                              </w:rPr>
                            </w:pPr>
                          </w:p>
                          <w:p w14:paraId="0EBEEAAC" w14:textId="77777777" w:rsidR="00A0750C" w:rsidRPr="00FF646F" w:rsidRDefault="00A0750C" w:rsidP="00D23D4E">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11AEC" id="Text Box 8" o:spid="_x0000_s1028" type="#_x0000_t202" style="position:absolute;left:0;text-align:left;margin-left:415.15pt;margin-top:468.75pt;width:466.35pt;height:193.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" fillcolor="white [3201]" strokeweight=".5pt">
                <v:textbox>
                  <w:txbxContent>
                    <w:p w14:paraId="52FF55ED" w14:textId="77777777" w:rsidR="00D6361F" w:rsidRPr="00A76971" w:rsidRDefault="00A0750C" w:rsidP="00D23D4E">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A Conversion Rider helped a policyholder convert the current policy after the 8</w:t>
                      </w:r>
                      <w:r w:rsidRPr="00A76971">
                        <w:rPr>
                          <w:rFonts w:ascii="Arial" w:hAnsi="Arial" w:cs="Arial"/>
                          <w:color w:val="2F5496" w:themeColor="accent1" w:themeShade="BF"/>
                          <w:sz w:val="20"/>
                          <w:szCs w:val="20"/>
                          <w:vertAlign w:val="superscript"/>
                        </w:rPr>
                        <w:t>th</w:t>
                      </w:r>
                      <w:r w:rsidRPr="00A76971">
                        <w:rPr>
                          <w:rFonts w:ascii="Arial" w:hAnsi="Arial" w:cs="Arial"/>
                          <w:color w:val="2F5496" w:themeColor="accent1" w:themeShade="BF"/>
                          <w:sz w:val="20"/>
                          <w:szCs w:val="20"/>
                        </w:rPr>
                        <w:t xml:space="preserve"> policy year to another policy at no additional cost.</w:t>
                      </w:r>
                    </w:p>
                    <w:p w14:paraId="2B2B2C2A" w14:textId="08264970" w:rsidR="00A0750C" w:rsidRPr="00A76971" w:rsidRDefault="00D6361F" w:rsidP="00D23D4E">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The Minimum Indexed Benefit Rider</w:t>
                      </w:r>
                      <w:r w:rsidR="00234FB3" w:rsidRPr="00A76971">
                        <w:rPr>
                          <w:rFonts w:ascii="Arial" w:hAnsi="Arial" w:cs="Arial"/>
                          <w:color w:val="2F5496" w:themeColor="accent1" w:themeShade="BF"/>
                          <w:sz w:val="20"/>
                          <w:szCs w:val="20"/>
                        </w:rPr>
                        <w:t xml:space="preserve"> provides an Indexed Termination Credit which is given when interest accrued is less than charges made on the account.</w:t>
                      </w:r>
                      <w:r w:rsidR="00F26B5C" w:rsidRPr="00A76971">
                        <w:rPr>
                          <w:rFonts w:ascii="Arial" w:hAnsi="Arial" w:cs="Arial"/>
                          <w:color w:val="2F5496" w:themeColor="accent1" w:themeShade="BF"/>
                          <w:sz w:val="20"/>
                          <w:szCs w:val="20"/>
                        </w:rPr>
                        <w:t xml:space="preserve"> This can increase the net cash surrender value, change the Death benefit, and time a policy enters a grace period.</w:t>
                      </w:r>
                    </w:p>
                    <w:p w14:paraId="3FDC0955" w14:textId="79C34C61" w:rsidR="00F26B5C" w:rsidRPr="00A76971" w:rsidRDefault="00F26B5C" w:rsidP="00D23D4E">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An Overloan Protection 3 Rider guarantees the policy will not stop benefits. (lapse)</w:t>
                      </w:r>
                      <w:r w:rsidR="006E4901" w:rsidRPr="00A76971">
                        <w:rPr>
                          <w:rFonts w:ascii="Arial" w:hAnsi="Arial" w:cs="Arial"/>
                          <w:color w:val="2F5496" w:themeColor="accent1" w:themeShade="BF"/>
                          <w:sz w:val="20"/>
                          <w:szCs w:val="20"/>
                        </w:rPr>
                        <w:t xml:space="preserve"> It can happen if conditions are </w:t>
                      </w:r>
                      <w:r w:rsidR="000112EC" w:rsidRPr="00A76971">
                        <w:rPr>
                          <w:rFonts w:ascii="Arial" w:hAnsi="Arial" w:cs="Arial"/>
                          <w:color w:val="2F5496" w:themeColor="accent1" w:themeShade="BF"/>
                          <w:sz w:val="20"/>
                          <w:szCs w:val="20"/>
                        </w:rPr>
                        <w:t>met,</w:t>
                      </w:r>
                      <w:r w:rsidR="006E4901" w:rsidRPr="00A76971">
                        <w:rPr>
                          <w:rFonts w:ascii="Arial" w:hAnsi="Arial" w:cs="Arial"/>
                          <w:color w:val="2F5496" w:themeColor="accent1" w:themeShade="BF"/>
                          <w:sz w:val="20"/>
                          <w:szCs w:val="20"/>
                        </w:rPr>
                        <w:t xml:space="preserve"> and a one-time exercise charge will be made at execution. This is mainly used when loans exceed the value of the policy.</w:t>
                      </w:r>
                    </w:p>
                    <w:p w14:paraId="2FC5ED81" w14:textId="06D05E6C" w:rsidR="006E4901" w:rsidRPr="00A76971" w:rsidRDefault="006E4901" w:rsidP="00D23D4E">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 xml:space="preserve">A Short-Term No Lapse Guarantee </w:t>
                      </w:r>
                      <w:r w:rsidR="000112EC" w:rsidRPr="00A76971">
                        <w:rPr>
                          <w:rFonts w:ascii="Arial" w:hAnsi="Arial" w:cs="Arial"/>
                          <w:color w:val="2F5496" w:themeColor="accent1" w:themeShade="BF"/>
                          <w:sz w:val="20"/>
                          <w:szCs w:val="20"/>
                        </w:rPr>
                        <w:t>Rider says that if you pay your premium, your policy will not end for that period.</w:t>
                      </w:r>
                    </w:p>
                    <w:p w14:paraId="56082F56" w14:textId="7CBBDD7B" w:rsidR="000112EC" w:rsidRPr="00A76971" w:rsidRDefault="000112EC" w:rsidP="00D23D4E">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A Terminal Illness Rider gives you access to a portion of the basic coverage amount if the policyholder is terminally ill with life expectancy of 12 months or less.</w:t>
                      </w:r>
                    </w:p>
                    <w:p w14:paraId="5B604E39" w14:textId="26005C92" w:rsidR="00F26B5C" w:rsidRDefault="00F26B5C" w:rsidP="00D23D4E">
                      <w:pPr>
                        <w:rPr>
                          <w:color w:val="2F5496" w:themeColor="accent1" w:themeShade="BF"/>
                        </w:rPr>
                      </w:pPr>
                    </w:p>
                    <w:p w14:paraId="2CFD2FFA" w14:textId="77777777" w:rsidR="00F26B5C" w:rsidRDefault="00F26B5C" w:rsidP="00D23D4E">
                      <w:pPr>
                        <w:rPr>
                          <w:color w:val="2F5496" w:themeColor="accent1" w:themeShade="BF"/>
                        </w:rPr>
                      </w:pPr>
                    </w:p>
                    <w:p w14:paraId="0EBEEAAC" w14:textId="77777777" w:rsidR="00A0750C" w:rsidRPr="00FF646F" w:rsidRDefault="00A0750C" w:rsidP="00D23D4E">
                      <w:pPr>
                        <w:rPr>
                          <w:color w:val="2F5496" w:themeColor="accent1" w:themeShade="BF"/>
                        </w:rPr>
                      </w:pPr>
                    </w:p>
                  </w:txbxContent>
                </v:textbox>
                <w10:wrap anchorx="margin"/>
              </v:shape>
            </w:pict>
          </mc:Fallback>
        </mc:AlternateContent>
      </w:r>
      <w:r w:rsidRPr="002D488B">
        <w:rPr>
          <w:color w:val="4472C4" w:themeColor="accent1"/>
        </w:rPr>
        <w:drawing>
          <wp:anchor distT="0" distB="0" distL="114300" distR="114300" simplePos="0" relativeHeight="251659264" behindDoc="1" locked="0" layoutInCell="1" allowOverlap="1" wp14:anchorId="669B8141" wp14:editId="790A51B9">
            <wp:simplePos x="0" y="0"/>
            <wp:positionH relativeFrom="margin">
              <wp:align>right</wp:align>
            </wp:positionH>
            <wp:positionV relativeFrom="paragraph">
              <wp:posOffset>2413000</wp:posOffset>
            </wp:positionV>
            <wp:extent cx="4401185" cy="1551305"/>
            <wp:effectExtent l="0" t="0" r="0" b="0"/>
            <wp:wrapTight wrapText="bothSides">
              <wp:wrapPolygon edited="0">
                <wp:start x="0" y="0"/>
                <wp:lineTo x="0" y="21220"/>
                <wp:lineTo x="21503" y="21220"/>
                <wp:lineTo x="21503"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01185" cy="1551305"/>
                    </a:xfrm>
                    <a:prstGeom prst="rect">
                      <a:avLst/>
                    </a:prstGeom>
                  </pic:spPr>
                </pic:pic>
              </a:graphicData>
            </a:graphic>
            <wp14:sizeRelH relativeFrom="margin">
              <wp14:pctWidth>0</wp14:pctWidth>
            </wp14:sizeRelH>
            <wp14:sizeRelV relativeFrom="margin">
              <wp14:pctHeight>0</wp14:pctHeight>
            </wp14:sizeRelV>
          </wp:anchor>
        </w:drawing>
      </w:r>
      <w:r w:rsidR="000112EC">
        <w:rPr>
          <w:noProof/>
          <w:color w:val="4472C4" w:themeColor="accent1"/>
        </w:rPr>
        <mc:AlternateContent>
          <mc:Choice Requires="wps">
            <w:drawing>
              <wp:anchor distT="0" distB="0" distL="114300" distR="114300" simplePos="0" relativeHeight="251661312" behindDoc="0" locked="0" layoutInCell="1" allowOverlap="1" wp14:anchorId="7FD47595" wp14:editId="7253F063">
                <wp:simplePos x="0" y="0"/>
                <wp:positionH relativeFrom="margin">
                  <wp:align>left</wp:align>
                </wp:positionH>
                <wp:positionV relativeFrom="paragraph">
                  <wp:posOffset>275915</wp:posOffset>
                </wp:positionV>
                <wp:extent cx="2211572" cy="2062716"/>
                <wp:effectExtent l="0" t="0" r="17780" b="13970"/>
                <wp:wrapNone/>
                <wp:docPr id="4" name="Text Box 4"/>
                <wp:cNvGraphicFramePr/>
                <a:graphic xmlns:a="http://schemas.openxmlformats.org/drawingml/2006/main">
                  <a:graphicData uri="http://schemas.microsoft.com/office/word/2010/wordprocessingShape">
                    <wps:wsp>
                      <wps:cNvSpPr txBox="1"/>
                      <wps:spPr>
                        <a:xfrm>
                          <a:off x="0" y="0"/>
                          <a:ext cx="2211572" cy="2062716"/>
                        </a:xfrm>
                        <a:prstGeom prst="rect">
                          <a:avLst/>
                        </a:prstGeom>
                        <a:solidFill>
                          <a:schemeClr val="lt1"/>
                        </a:solidFill>
                        <a:ln w="6350">
                          <a:solidFill>
                            <a:prstClr val="black"/>
                          </a:solidFill>
                        </a:ln>
                      </wps:spPr>
                      <wps:txbx>
                        <w:txbxContent>
                          <w:p w14:paraId="0EF12833" w14:textId="6896DDF5" w:rsidR="002D488B" w:rsidRPr="00A76971" w:rsidRDefault="002D488B">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What accounts are available for the policyholder to deposit their savings?</w:t>
                            </w:r>
                          </w:p>
                          <w:p w14:paraId="7ECDE0BC" w14:textId="3B280F93" w:rsidR="002D488B" w:rsidRPr="00A76971" w:rsidRDefault="00636211">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Policyholders have various accounts to deposit their savings into</w:t>
                            </w:r>
                            <w:r w:rsidR="00FF646F" w:rsidRPr="00A76971">
                              <w:rPr>
                                <w:rFonts w:ascii="Arial" w:hAnsi="Arial" w:cs="Arial"/>
                                <w:color w:val="2F5496" w:themeColor="accent1" w:themeShade="BF"/>
                                <w:sz w:val="20"/>
                                <w:szCs w:val="20"/>
                              </w:rPr>
                              <w:t>,</w:t>
                            </w:r>
                            <w:r w:rsidRPr="00A76971">
                              <w:rPr>
                                <w:rFonts w:ascii="Arial" w:hAnsi="Arial" w:cs="Arial"/>
                                <w:color w:val="2F5496" w:themeColor="accent1" w:themeShade="BF"/>
                                <w:sz w:val="20"/>
                                <w:szCs w:val="20"/>
                              </w:rPr>
                              <w:t xml:space="preserve"> including </w:t>
                            </w:r>
                            <w:r w:rsidR="00DB5864" w:rsidRPr="00A76971">
                              <w:rPr>
                                <w:rFonts w:ascii="Arial" w:hAnsi="Arial" w:cs="Arial"/>
                                <w:color w:val="2F5496" w:themeColor="accent1" w:themeShade="BF"/>
                                <w:sz w:val="20"/>
                                <w:szCs w:val="20"/>
                              </w:rPr>
                              <w:t>F</w:t>
                            </w:r>
                            <w:r w:rsidR="005934F6" w:rsidRPr="00A76971">
                              <w:rPr>
                                <w:rFonts w:ascii="Arial" w:hAnsi="Arial" w:cs="Arial"/>
                                <w:color w:val="2F5496" w:themeColor="accent1" w:themeShade="BF"/>
                                <w:sz w:val="20"/>
                                <w:szCs w:val="20"/>
                              </w:rPr>
                              <w:t>ixe</w:t>
                            </w:r>
                            <w:r w:rsidR="00DB5864" w:rsidRPr="00A76971">
                              <w:rPr>
                                <w:rFonts w:ascii="Arial" w:hAnsi="Arial" w:cs="Arial"/>
                                <w:color w:val="2F5496" w:themeColor="accent1" w:themeShade="BF"/>
                                <w:sz w:val="20"/>
                                <w:szCs w:val="20"/>
                              </w:rPr>
                              <w:t xml:space="preserve">d, </w:t>
                            </w:r>
                            <w:proofErr w:type="spellStart"/>
                            <w:r w:rsidR="00DB5864" w:rsidRPr="00A76971">
                              <w:rPr>
                                <w:rFonts w:ascii="Arial" w:hAnsi="Arial" w:cs="Arial"/>
                                <w:color w:val="2F5496" w:themeColor="accent1" w:themeShade="BF"/>
                                <w:sz w:val="20"/>
                                <w:szCs w:val="20"/>
                              </w:rPr>
                              <w:t>FixedLT</w:t>
                            </w:r>
                            <w:proofErr w:type="spellEnd"/>
                            <w:r w:rsidR="00DB5864" w:rsidRPr="00A76971">
                              <w:rPr>
                                <w:rFonts w:ascii="Arial" w:hAnsi="Arial" w:cs="Arial"/>
                                <w:color w:val="2F5496" w:themeColor="accent1" w:themeShade="BF"/>
                                <w:sz w:val="20"/>
                                <w:szCs w:val="20"/>
                              </w:rPr>
                              <w:t>, 1-Year Indexed, 1-Year No Cap Indexed, 1-Year High Cap Plus Indexed, and V</w:t>
                            </w:r>
                            <w:r w:rsidR="00FF646F" w:rsidRPr="00A76971">
                              <w:rPr>
                                <w:rFonts w:ascii="Arial" w:hAnsi="Arial" w:cs="Arial"/>
                                <w:color w:val="2F5496" w:themeColor="accent1" w:themeShade="BF"/>
                                <w:sz w:val="20"/>
                                <w:szCs w:val="20"/>
                              </w:rPr>
                              <w:t>ariable Accounts.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47595" id="Text Box 4" o:spid="_x0000_s1029" type="#_x0000_t202" style="position:absolute;left:0;text-align:left;margin-left:0;margin-top:21.75pt;width:174.15pt;height:162.4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" fillcolor="white [3201]" strokeweight=".5pt">
                <v:textbox>
                  <w:txbxContent>
                    <w:p w14:paraId="0EF12833" w14:textId="6896DDF5" w:rsidR="002D488B" w:rsidRPr="00A76971" w:rsidRDefault="002D488B">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What accounts are available for the policyholder to deposit their savings?</w:t>
                      </w:r>
                    </w:p>
                    <w:p w14:paraId="7ECDE0BC" w14:textId="3B280F93" w:rsidR="002D488B" w:rsidRPr="00A76971" w:rsidRDefault="00636211">
                      <w:pPr>
                        <w:rPr>
                          <w:rFonts w:ascii="Arial" w:hAnsi="Arial" w:cs="Arial"/>
                          <w:color w:val="2F5496" w:themeColor="accent1" w:themeShade="BF"/>
                          <w:sz w:val="20"/>
                          <w:szCs w:val="20"/>
                        </w:rPr>
                      </w:pPr>
                      <w:r w:rsidRPr="00A76971">
                        <w:rPr>
                          <w:rFonts w:ascii="Arial" w:hAnsi="Arial" w:cs="Arial"/>
                          <w:color w:val="2F5496" w:themeColor="accent1" w:themeShade="BF"/>
                          <w:sz w:val="20"/>
                          <w:szCs w:val="20"/>
                        </w:rPr>
                        <w:t>Policyholders have various accounts to deposit their savings into</w:t>
                      </w:r>
                      <w:r w:rsidR="00FF646F" w:rsidRPr="00A76971">
                        <w:rPr>
                          <w:rFonts w:ascii="Arial" w:hAnsi="Arial" w:cs="Arial"/>
                          <w:color w:val="2F5496" w:themeColor="accent1" w:themeShade="BF"/>
                          <w:sz w:val="20"/>
                          <w:szCs w:val="20"/>
                        </w:rPr>
                        <w:t>,</w:t>
                      </w:r>
                      <w:r w:rsidRPr="00A76971">
                        <w:rPr>
                          <w:rFonts w:ascii="Arial" w:hAnsi="Arial" w:cs="Arial"/>
                          <w:color w:val="2F5496" w:themeColor="accent1" w:themeShade="BF"/>
                          <w:sz w:val="20"/>
                          <w:szCs w:val="20"/>
                        </w:rPr>
                        <w:t xml:space="preserve"> including </w:t>
                      </w:r>
                      <w:r w:rsidR="00DB5864" w:rsidRPr="00A76971">
                        <w:rPr>
                          <w:rFonts w:ascii="Arial" w:hAnsi="Arial" w:cs="Arial"/>
                          <w:color w:val="2F5496" w:themeColor="accent1" w:themeShade="BF"/>
                          <w:sz w:val="20"/>
                          <w:szCs w:val="20"/>
                        </w:rPr>
                        <w:t>F</w:t>
                      </w:r>
                      <w:r w:rsidR="005934F6" w:rsidRPr="00A76971">
                        <w:rPr>
                          <w:rFonts w:ascii="Arial" w:hAnsi="Arial" w:cs="Arial"/>
                          <w:color w:val="2F5496" w:themeColor="accent1" w:themeShade="BF"/>
                          <w:sz w:val="20"/>
                          <w:szCs w:val="20"/>
                        </w:rPr>
                        <w:t>ixe</w:t>
                      </w:r>
                      <w:r w:rsidR="00DB5864" w:rsidRPr="00A76971">
                        <w:rPr>
                          <w:rFonts w:ascii="Arial" w:hAnsi="Arial" w:cs="Arial"/>
                          <w:color w:val="2F5496" w:themeColor="accent1" w:themeShade="BF"/>
                          <w:sz w:val="20"/>
                          <w:szCs w:val="20"/>
                        </w:rPr>
                        <w:t xml:space="preserve">d, </w:t>
                      </w:r>
                      <w:proofErr w:type="spellStart"/>
                      <w:r w:rsidR="00DB5864" w:rsidRPr="00A76971">
                        <w:rPr>
                          <w:rFonts w:ascii="Arial" w:hAnsi="Arial" w:cs="Arial"/>
                          <w:color w:val="2F5496" w:themeColor="accent1" w:themeShade="BF"/>
                          <w:sz w:val="20"/>
                          <w:szCs w:val="20"/>
                        </w:rPr>
                        <w:t>FixedLT</w:t>
                      </w:r>
                      <w:proofErr w:type="spellEnd"/>
                      <w:r w:rsidR="00DB5864" w:rsidRPr="00A76971">
                        <w:rPr>
                          <w:rFonts w:ascii="Arial" w:hAnsi="Arial" w:cs="Arial"/>
                          <w:color w:val="2F5496" w:themeColor="accent1" w:themeShade="BF"/>
                          <w:sz w:val="20"/>
                          <w:szCs w:val="20"/>
                        </w:rPr>
                        <w:t>, 1-Year Indexed, 1-Year No Cap Indexed, 1-Year High Cap Plus Indexed, and V</w:t>
                      </w:r>
                      <w:r w:rsidR="00FF646F" w:rsidRPr="00A76971">
                        <w:rPr>
                          <w:rFonts w:ascii="Arial" w:hAnsi="Arial" w:cs="Arial"/>
                          <w:color w:val="2F5496" w:themeColor="accent1" w:themeShade="BF"/>
                          <w:sz w:val="20"/>
                          <w:szCs w:val="20"/>
                        </w:rPr>
                        <w:t>ariable Accounts.</w:t>
                      </w:r>
                    </w:p>
                  </w:txbxContent>
                </v:textbox>
                <w10:wrap anchorx="margin"/>
              </v:shape>
            </w:pict>
          </mc:Fallback>
        </mc:AlternateContent>
      </w:r>
      <w:r w:rsidR="002D488B" w:rsidRPr="002D488B">
        <w:rPr>
          <w:rFonts w:ascii="Times New Roman" w:hAnsi="Times New Roman" w:cs="Times New Roman"/>
          <w:color w:val="4472C4" w:themeColor="accent1"/>
          <w:sz w:val="24"/>
          <w:szCs w:val="24"/>
        </w:rPr>
        <w:t>Pacific Life Sprint 1 – Baby Project</w:t>
      </w:r>
      <w:r w:rsidR="00FF646F">
        <w:rPr>
          <w:rFonts w:ascii="Times New Roman" w:hAnsi="Times New Roman" w:cs="Times New Roman"/>
          <w:color w:val="4472C4" w:themeColor="accent1"/>
          <w:sz w:val="24"/>
          <w:szCs w:val="24"/>
        </w:rPr>
        <w:t xml:space="preserve"> – Thomas </w:t>
      </w:r>
      <w:r w:rsidR="000112EC">
        <w:rPr>
          <w:rFonts w:ascii="Times New Roman" w:hAnsi="Times New Roman" w:cs="Times New Roman"/>
          <w:color w:val="4472C4" w:themeColor="accent1"/>
          <w:sz w:val="24"/>
          <w:szCs w:val="24"/>
        </w:rPr>
        <w:t>Chilson</w:t>
      </w:r>
    </w:p>
    <w:sectPr w:rsidR="00CC25B8" w:rsidRPr="00E3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88"/>
    <w:rsid w:val="000112EC"/>
    <w:rsid w:val="00234FB3"/>
    <w:rsid w:val="002D488B"/>
    <w:rsid w:val="00454D83"/>
    <w:rsid w:val="005934F6"/>
    <w:rsid w:val="00636211"/>
    <w:rsid w:val="006E4901"/>
    <w:rsid w:val="00727CE4"/>
    <w:rsid w:val="00A0750C"/>
    <w:rsid w:val="00A76971"/>
    <w:rsid w:val="00D23D4E"/>
    <w:rsid w:val="00D6361F"/>
    <w:rsid w:val="00DB5864"/>
    <w:rsid w:val="00E35788"/>
    <w:rsid w:val="00F26B5C"/>
    <w:rsid w:val="00FF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BE7B"/>
  <w15:chartTrackingRefBased/>
  <w15:docId w15:val="{4E0AB247-CE1C-417C-BEF6-5A7FD0EF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Mitchell Chilson</dc:creator>
  <cp:keywords/>
  <dc:description/>
  <cp:lastModifiedBy>Thomas Mitchell Chilson</cp:lastModifiedBy>
  <cp:revision>1</cp:revision>
  <dcterms:created xsi:type="dcterms:W3CDTF">2022-09-06T14:49:00Z</dcterms:created>
  <dcterms:modified xsi:type="dcterms:W3CDTF">2022-09-06T16:01:00Z</dcterms:modified>
</cp:coreProperties>
</file>