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color w:val="1A365D"/>
          <w:sz w:val="30"/>
          <w:szCs w:val="30"/>
        </w:rPr>
        <w:t xml:space="preserve">Atomic Red Team Lab Report</w:t>
      </w:r>
    </w:p>
    <w:p>
      <w:pPr>
        <w:spacing w:after="160"/>
        <w:jc w:val="center"/>
      </w:pPr>
      <w:r>
        <w:rPr>
          <w:rFonts w:ascii="Arial" w:cs="Arial" w:eastAsia="Arial" w:hAnsi="Arial"/>
          <w:color w:val="2D3748"/>
          <w:sz w:val="19"/>
          <w:szCs w:val="19"/>
        </w:rPr>
        <w:t xml:space="preserve">Detection Testing &amp; ATT&amp;CK Technique Emulation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800"/>
        <w:gridCol w:w="7700"/>
      </w:tblGrid>
      <w:tr>
        <w:tc>
          <w:tcPr>
            <w:tcW w:type="dxa" w:w="2800"/>
            <w:tcBorders>
              <w:top w:val="single" w:color="A0AEC0" w:sz="4"/>
              <w:left w:val="single" w:color="A0AEC0" w:sz="4"/>
              <w:bottom w:val="single" w:color="A0AEC0" w:sz="4"/>
              <w:right w:val="single" w:color="A0AEC0" w:sz="4"/>
            </w:tcBorders>
            <w:shd w:fill="EDF2F7" w:val="clear"/>
            <w:tcMar>
              <w:top w:type="dxa" w:w="50"/>
              <w:left w:type="dxa" w:w="70"/>
              <w:bottom w:type="dxa" w:w="50"/>
              <w:right w:type="dxa" w:w="70"/>
            </w:tcMar>
            <w:vAlign w:val="center"/>
          </w:tcPr>
          <w:p>
            <w:pPr>
              <w:jc w:val="left"/>
            </w:pPr>
            <w:r>
              <w:rPr>
                <w:rFonts w:ascii="Arial" w:cs="Arial" w:eastAsia="Arial" w:hAnsi="Arial"/>
                <w:b/>
                <w:bCs/>
                <w:color w:val="1A202C"/>
                <w:sz w:val="16"/>
                <w:szCs w:val="16"/>
              </w:rPr>
              <w:t xml:space="preserve">Author</w:t>
            </w:r>
          </w:p>
        </w:tc>
        <w:tc>
          <w:tcPr>
            <w:tcW w:type="dxa" w:w="7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Thomas Christoforidis</w:t>
            </w:r>
          </w:p>
        </w:tc>
      </w:tr>
      <w:tr>
        <w:tc>
          <w:tcPr>
            <w:tcW w:type="dxa" w:w="2800"/>
            <w:tcBorders>
              <w:top w:val="single" w:color="A0AEC0" w:sz="4"/>
              <w:left w:val="single" w:color="A0AEC0" w:sz="4"/>
              <w:bottom w:val="single" w:color="A0AEC0" w:sz="4"/>
              <w:right w:val="single" w:color="A0AEC0" w:sz="4"/>
            </w:tcBorders>
            <w:shd w:fill="EDF2F7" w:val="clear"/>
            <w:tcMar>
              <w:top w:type="dxa" w:w="50"/>
              <w:left w:type="dxa" w:w="70"/>
              <w:bottom w:type="dxa" w:w="50"/>
              <w:right w:type="dxa" w:w="70"/>
            </w:tcMar>
            <w:vAlign w:val="center"/>
          </w:tcPr>
          <w:p>
            <w:pPr>
              <w:jc w:val="left"/>
            </w:pPr>
            <w:r>
              <w:rPr>
                <w:rFonts w:ascii="Arial" w:cs="Arial" w:eastAsia="Arial" w:hAnsi="Arial"/>
                <w:b/>
                <w:bCs/>
                <w:color w:val="1A202C"/>
                <w:sz w:val="16"/>
                <w:szCs w:val="16"/>
              </w:rPr>
              <w:t xml:space="preserve">Target Role</w:t>
            </w:r>
          </w:p>
        </w:tc>
        <w:tc>
          <w:tcPr>
            <w:tcW w:type="dxa" w:w="7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Junior SOC Analyst / Cyber Security Analyst</w:t>
            </w:r>
          </w:p>
        </w:tc>
      </w:tr>
      <w:tr>
        <w:tc>
          <w:tcPr>
            <w:tcW w:type="dxa" w:w="2800"/>
            <w:tcBorders>
              <w:top w:val="single" w:color="A0AEC0" w:sz="4"/>
              <w:left w:val="single" w:color="A0AEC0" w:sz="4"/>
              <w:bottom w:val="single" w:color="A0AEC0" w:sz="4"/>
              <w:right w:val="single" w:color="A0AEC0" w:sz="4"/>
            </w:tcBorders>
            <w:shd w:fill="EDF2F7" w:val="clear"/>
            <w:tcMar>
              <w:top w:type="dxa" w:w="50"/>
              <w:left w:type="dxa" w:w="70"/>
              <w:bottom w:type="dxa" w:w="50"/>
              <w:right w:type="dxa" w:w="70"/>
            </w:tcMar>
            <w:vAlign w:val="center"/>
          </w:tcPr>
          <w:p>
            <w:pPr>
              <w:jc w:val="left"/>
            </w:pPr>
            <w:r>
              <w:rPr>
                <w:rFonts w:ascii="Arial" w:cs="Arial" w:eastAsia="Arial" w:hAnsi="Arial"/>
                <w:b/>
                <w:bCs/>
                <w:color w:val="1A202C"/>
                <w:sz w:val="16"/>
                <w:szCs w:val="16"/>
              </w:rPr>
              <w:t xml:space="preserve">Date</w:t>
            </w:r>
          </w:p>
        </w:tc>
        <w:tc>
          <w:tcPr>
            <w:tcW w:type="dxa" w:w="7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August 2026</w:t>
            </w:r>
          </w:p>
        </w:tc>
      </w:tr>
      <w:tr>
        <w:tc>
          <w:tcPr>
            <w:tcW w:type="dxa" w:w="2800"/>
            <w:tcBorders>
              <w:top w:val="single" w:color="A0AEC0" w:sz="4"/>
              <w:left w:val="single" w:color="A0AEC0" w:sz="4"/>
              <w:bottom w:val="single" w:color="A0AEC0" w:sz="4"/>
              <w:right w:val="single" w:color="A0AEC0" w:sz="4"/>
            </w:tcBorders>
            <w:shd w:fill="EDF2F7" w:val="clear"/>
            <w:tcMar>
              <w:top w:type="dxa" w:w="50"/>
              <w:left w:type="dxa" w:w="70"/>
              <w:bottom w:type="dxa" w:w="50"/>
              <w:right w:type="dxa" w:w="70"/>
            </w:tcMar>
            <w:vAlign w:val="center"/>
          </w:tcPr>
          <w:p>
            <w:pPr>
              <w:jc w:val="left"/>
            </w:pPr>
            <w:r>
              <w:rPr>
                <w:rFonts w:ascii="Arial" w:cs="Arial" w:eastAsia="Arial" w:hAnsi="Arial"/>
                <w:b/>
                <w:bCs/>
                <w:color w:val="1A202C"/>
                <w:sz w:val="16"/>
                <w:szCs w:val="16"/>
              </w:rPr>
              <w:t xml:space="preserve">Tool</w:t>
            </w:r>
          </w:p>
        </w:tc>
        <w:tc>
          <w:tcPr>
            <w:tcW w:type="dxa" w:w="7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Atomic Red Team + Invoke-AtomicRedTeam</w:t>
            </w:r>
          </w:p>
        </w:tc>
      </w:tr>
    </w:tbl>
    <w:p>
      <w:pPr>
        <w:pStyle w:val="Heading1"/>
      </w:pPr>
      <w:r>
        <w:t xml:space="preserve">1. Executive Summary</w:t>
      </w:r>
    </w:p>
    <w:p>
      <w:pPr>
        <w:spacing w:after="90"/>
      </w:pPr>
      <w:r>
        <w:rPr>
          <w:rFonts w:ascii="Arial" w:cs="Arial" w:eastAsia="Arial" w:hAnsi="Arial"/>
          <w:sz w:val="18"/>
          <w:szCs w:val="18"/>
        </w:rPr>
        <w:t xml:space="preserve">This report documents the practical use of Atomic Red Team to emulate selected MITRE ATT&amp;CK techniques in a controlled Windows lab. Tests were executed on an endpoint instrumented with Sysmon, with telemetry also available via Windows Event Logs and Wazuh SIEM. The goal was to observe how each technique appears in telemetry and to evaluate detection visibility.</w:t>
      </w:r>
    </w:p>
    <w:p>
      <w:pPr>
        <w:spacing w:after="50"/>
      </w:pPr>
      <w:r>
        <w:rPr>
          <w:rFonts w:ascii="Arial" w:cs="Arial" w:eastAsia="Arial" w:hAnsi="Arial"/>
          <w:b/>
          <w:bCs/>
          <w:sz w:val="18"/>
          <w:szCs w:val="18"/>
        </w:rPr>
        <w:t xml:space="preserve">Key outcomes:</w:t>
      </w:r>
    </w:p>
    <w:p>
      <w:pPr>
        <w:pStyle w:val="ListParagraph"/>
        <w:numPr>
          <w:ilvl w:val="0"/>
          <w:numId w:val="2"/>
        </w:numPr>
      </w:pPr>
      <w:r>
        <w:rPr>
          <w:rFonts w:ascii="Arial" w:cs="Arial" w:eastAsia="Arial" w:hAnsi="Arial"/>
          <w:sz w:val="18"/>
          <w:szCs w:val="18"/>
        </w:rPr>
        <w:t xml:space="preserve">Successful installation and execution of Atomic Red Team tests</w:t>
      </w:r>
    </w:p>
    <w:p>
      <w:pPr>
        <w:pStyle w:val="ListParagraph"/>
        <w:numPr>
          <w:ilvl w:val="0"/>
          <w:numId w:val="2"/>
        </w:numPr>
      </w:pPr>
      <w:r>
        <w:rPr>
          <w:rFonts w:ascii="Arial" w:cs="Arial" w:eastAsia="Arial" w:hAnsi="Arial"/>
          <w:sz w:val="18"/>
          <w:szCs w:val="18"/>
        </w:rPr>
        <w:t xml:space="preserve">Execution of multiple discovery and execution techniques</w:t>
      </w:r>
    </w:p>
    <w:p>
      <w:pPr>
        <w:pStyle w:val="ListParagraph"/>
        <w:numPr>
          <w:ilvl w:val="0"/>
          <w:numId w:val="2"/>
        </w:numPr>
      </w:pPr>
      <w:r>
        <w:rPr>
          <w:rFonts w:ascii="Arial" w:cs="Arial" w:eastAsia="Arial" w:hAnsi="Arial"/>
          <w:sz w:val="18"/>
          <w:szCs w:val="18"/>
        </w:rPr>
        <w:t xml:space="preserve">Observation of corresponding Sysmon Event ID 1 and Security events</w:t>
      </w:r>
    </w:p>
    <w:p>
      <w:pPr>
        <w:pStyle w:val="ListParagraph"/>
        <w:numPr>
          <w:ilvl w:val="0"/>
          <w:numId w:val="2"/>
        </w:numPr>
      </w:pPr>
      <w:r>
        <w:rPr>
          <w:rFonts w:ascii="Arial" w:cs="Arial" w:eastAsia="Arial" w:hAnsi="Arial"/>
          <w:sz w:val="18"/>
          <w:szCs w:val="18"/>
        </w:rPr>
        <w:t xml:space="preserve">Mapping of activity to MITRE ATT&amp;CK techniques</w:t>
      </w:r>
    </w:p>
    <w:p>
      <w:pPr>
        <w:pStyle w:val="ListParagraph"/>
        <w:numPr>
          <w:ilvl w:val="0"/>
          <w:numId w:val="2"/>
        </w:numPr>
        <w:spacing w:after="90"/>
      </w:pPr>
      <w:r>
        <w:rPr>
          <w:rFonts w:ascii="Arial" w:cs="Arial" w:eastAsia="Arial" w:hAnsi="Arial"/>
          <w:sz w:val="18"/>
          <w:szCs w:val="18"/>
        </w:rPr>
        <w:t xml:space="preserve">Initial assessment of detection coverage and gaps</w:t>
      </w:r>
    </w:p>
    <w:p>
      <w:pPr>
        <w:pStyle w:val="Heading1"/>
      </w:pPr>
      <w:r>
        <w:t xml:space="preserve">2. Lab Objectives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7600"/>
        <w:gridCol w:w="2200"/>
      </w:tblGrid>
      <w:tr>
        <w:tc>
          <w:tcPr>
            <w:tcW w:type="dxa" w:w="7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w:t>
            </w:r>
          </w:p>
        </w:tc>
        <w:tc>
          <w:tcPr>
            <w:tcW w:type="dxa" w:w="76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Objective</w:t>
            </w:r>
          </w:p>
        </w:tc>
        <w:tc>
          <w:tcPr>
            <w:tcW w:type="dxa" w:w="22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Status</w:t>
            </w:r>
          </w:p>
        </w:tc>
      </w:tr>
      <w:tr>
        <w:tc>
          <w:tcPr>
            <w:tcW w:type="dxa" w:w="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1</w:t>
            </w:r>
          </w:p>
        </w:tc>
        <w:tc>
          <w:tcPr>
            <w:tcW w:type="dxa" w:w="76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Install Invoke-AtomicRedTeam and atomics</w:t>
            </w:r>
          </w:p>
        </w:tc>
        <w:tc>
          <w:tcPr>
            <w:tcW w:type="dxa" w:w="2200"/>
            <w:tcBorders>
              <w:top w:val="single" w:color="A0AEC0" w:sz="4"/>
              <w:left w:val="single" w:color="A0AEC0" w:sz="4"/>
              <w:bottom w:val="single" w:color="A0AEC0" w:sz="4"/>
              <w:right w:val="single" w:color="A0AEC0" w:sz="4"/>
            </w:tcBorders>
            <w:shd w:fill="C6F6D5" w:val="clear"/>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Achieved</w:t>
            </w:r>
          </w:p>
        </w:tc>
      </w:tr>
      <w:tr>
        <w:tc>
          <w:tcPr>
            <w:tcW w:type="dxa" w:w="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2</w:t>
            </w:r>
          </w:p>
        </w:tc>
        <w:tc>
          <w:tcPr>
            <w:tcW w:type="dxa" w:w="76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Execute selected low-impact atomic tests safely</w:t>
            </w:r>
          </w:p>
        </w:tc>
        <w:tc>
          <w:tcPr>
            <w:tcW w:type="dxa" w:w="2200"/>
            <w:tcBorders>
              <w:top w:val="single" w:color="A0AEC0" w:sz="4"/>
              <w:left w:val="single" w:color="A0AEC0" w:sz="4"/>
              <w:bottom w:val="single" w:color="A0AEC0" w:sz="4"/>
              <w:right w:val="single" w:color="A0AEC0" w:sz="4"/>
            </w:tcBorders>
            <w:shd w:fill="C6F6D5" w:val="clear"/>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Achieved</w:t>
            </w:r>
          </w:p>
        </w:tc>
      </w:tr>
      <w:tr>
        <w:tc>
          <w:tcPr>
            <w:tcW w:type="dxa" w:w="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3</w:t>
            </w:r>
          </w:p>
        </w:tc>
        <w:tc>
          <w:tcPr>
            <w:tcW w:type="dxa" w:w="76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Capture process creation telemetry with Sysmon</w:t>
            </w:r>
          </w:p>
        </w:tc>
        <w:tc>
          <w:tcPr>
            <w:tcW w:type="dxa" w:w="2200"/>
            <w:tcBorders>
              <w:top w:val="single" w:color="A0AEC0" w:sz="4"/>
              <w:left w:val="single" w:color="A0AEC0" w:sz="4"/>
              <w:bottom w:val="single" w:color="A0AEC0" w:sz="4"/>
              <w:right w:val="single" w:color="A0AEC0" w:sz="4"/>
            </w:tcBorders>
            <w:shd w:fill="C6F6D5" w:val="clear"/>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Achieved</w:t>
            </w:r>
          </w:p>
        </w:tc>
      </w:tr>
      <w:tr>
        <w:tc>
          <w:tcPr>
            <w:tcW w:type="dxa" w:w="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4</w:t>
            </w:r>
          </w:p>
        </w:tc>
        <w:tc>
          <w:tcPr>
            <w:tcW w:type="dxa" w:w="76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Map tests to MITRE ATT&amp;CK and assess detections</w:t>
            </w:r>
          </w:p>
        </w:tc>
        <w:tc>
          <w:tcPr>
            <w:tcW w:type="dxa" w:w="2200"/>
            <w:tcBorders>
              <w:top w:val="single" w:color="A0AEC0" w:sz="4"/>
              <w:left w:val="single" w:color="A0AEC0" w:sz="4"/>
              <w:bottom w:val="single" w:color="A0AEC0" w:sz="4"/>
              <w:right w:val="single" w:color="A0AEC0" w:sz="4"/>
            </w:tcBorders>
            <w:shd w:fill="C6F6D5" w:val="clear"/>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Achieved</w:t>
            </w:r>
          </w:p>
        </w:tc>
      </w:tr>
      <w:tr>
        <w:tc>
          <w:tcPr>
            <w:tcW w:type="dxa" w:w="7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5</w:t>
            </w:r>
          </w:p>
        </w:tc>
        <w:tc>
          <w:tcPr>
            <w:tcW w:type="dxa" w:w="76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Document results and gaps</w:t>
            </w:r>
          </w:p>
        </w:tc>
        <w:tc>
          <w:tcPr>
            <w:tcW w:type="dxa" w:w="2200"/>
            <w:tcBorders>
              <w:top w:val="single" w:color="A0AEC0" w:sz="4"/>
              <w:left w:val="single" w:color="A0AEC0" w:sz="4"/>
              <w:bottom w:val="single" w:color="A0AEC0" w:sz="4"/>
              <w:right w:val="single" w:color="A0AEC0" w:sz="4"/>
            </w:tcBorders>
            <w:shd w:fill="C6F6D5" w:val="clear"/>
            <w:tcMar>
              <w:top w:type="dxa" w:w="50"/>
              <w:left w:type="dxa" w:w="70"/>
              <w:bottom w:type="dxa" w:w="50"/>
              <w:right w:type="dxa" w:w="70"/>
            </w:tcMar>
            <w:vAlign w:val="center"/>
          </w:tcPr>
          <w:p>
            <w:pPr>
              <w:jc w:val="center"/>
            </w:pPr>
            <w:r>
              <w:rPr>
                <w:rFonts w:ascii="Arial" w:cs="Arial" w:eastAsia="Arial" w:hAnsi="Arial"/>
                <w:b w:val="false"/>
                <w:bCs w:val="false"/>
                <w:color w:val="1A202C"/>
                <w:sz w:val="16"/>
                <w:szCs w:val="16"/>
              </w:rPr>
              <w:t xml:space="preserve">Achieved</w:t>
            </w:r>
          </w:p>
        </w:tc>
      </w:tr>
    </w:tbl>
    <w:p>
      <w:pPr>
        <w:pStyle w:val="Heading1"/>
      </w:pPr>
      <w:r>
        <w:t xml:space="preserve">3. Techniques Practised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500"/>
      </w:tblGrid>
      <w:tr>
        <w:tc>
          <w:tcPr>
            <w:tcW w:type="dxa" w:w="18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ATT&amp;CK ID</w:t>
            </w:r>
          </w:p>
        </w:tc>
        <w:tc>
          <w:tcPr>
            <w:tcW w:type="dxa" w:w="32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Technique</w:t>
            </w:r>
          </w:p>
        </w:tc>
        <w:tc>
          <w:tcPr>
            <w:tcW w:type="dxa" w:w="5500"/>
            <w:tcBorders>
              <w:top w:val="single" w:color="A0AEC0" w:sz="4"/>
              <w:left w:val="single" w:color="A0AEC0" w:sz="4"/>
              <w:bottom w:val="single" w:color="A0AEC0" w:sz="4"/>
              <w:right w:val="single" w:color="A0AEC0" w:sz="4"/>
            </w:tcBorders>
            <w:shd w:fill="2B6CB0"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Primary Telemetry</w:t>
            </w:r>
          </w:p>
        </w:tc>
      </w:tr>
      <w:tr>
        <w:tc>
          <w:tcPr>
            <w:tcW w:type="dxa" w:w="18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T1082</w:t>
            </w:r>
          </w:p>
        </w:tc>
        <w:tc>
          <w:tcPr>
            <w:tcW w:type="dxa" w:w="32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System Information Discovery</w:t>
            </w:r>
          </w:p>
        </w:tc>
        <w:tc>
          <w:tcPr>
            <w:tcW w:type="dxa" w:w="55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Sysmon Event ID 1</w:t>
            </w:r>
          </w:p>
        </w:tc>
      </w:tr>
      <w:tr>
        <w:tc>
          <w:tcPr>
            <w:tcW w:type="dxa" w:w="18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T1033</w:t>
            </w:r>
          </w:p>
        </w:tc>
        <w:tc>
          <w:tcPr>
            <w:tcW w:type="dxa" w:w="32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System Owner/User Discovery</w:t>
            </w:r>
          </w:p>
        </w:tc>
        <w:tc>
          <w:tcPr>
            <w:tcW w:type="dxa" w:w="55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Sysmon 1, Security 4688</w:t>
            </w:r>
          </w:p>
        </w:tc>
      </w:tr>
      <w:tr>
        <w:tc>
          <w:tcPr>
            <w:tcW w:type="dxa" w:w="18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T1087</w:t>
            </w:r>
          </w:p>
        </w:tc>
        <w:tc>
          <w:tcPr>
            <w:tcW w:type="dxa" w:w="32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Account Discovery</w:t>
            </w:r>
          </w:p>
        </w:tc>
        <w:tc>
          <w:tcPr>
            <w:tcW w:type="dxa" w:w="55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Sysmon Event ID 1</w:t>
            </w:r>
          </w:p>
        </w:tc>
      </w:tr>
      <w:tr>
        <w:tc>
          <w:tcPr>
            <w:tcW w:type="dxa" w:w="18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T1016</w:t>
            </w:r>
          </w:p>
        </w:tc>
        <w:tc>
          <w:tcPr>
            <w:tcW w:type="dxa" w:w="32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System Network Config Discovery</w:t>
            </w:r>
          </w:p>
        </w:tc>
        <w:tc>
          <w:tcPr>
            <w:tcW w:type="dxa" w:w="55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Sysmon Event ID 1</w:t>
            </w:r>
          </w:p>
        </w:tc>
      </w:tr>
      <w:tr>
        <w:tc>
          <w:tcPr>
            <w:tcW w:type="dxa" w:w="18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T1059.001</w:t>
            </w:r>
          </w:p>
        </w:tc>
        <w:tc>
          <w:tcPr>
            <w:tcW w:type="dxa" w:w="32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PowerShell</w:t>
            </w:r>
          </w:p>
        </w:tc>
        <w:tc>
          <w:tcPr>
            <w:tcW w:type="dxa" w:w="5500"/>
            <w:tcBorders>
              <w:top w:val="single" w:color="A0AEC0" w:sz="4"/>
              <w:left w:val="single" w:color="A0AEC0" w:sz="4"/>
              <w:bottom w:val="single" w:color="A0AEC0" w:sz="4"/>
              <w:right w:val="single" w:color="A0AEC0" w:sz="4"/>
            </w:tcBorders>
            <w:tcMar>
              <w:top w:type="dxa" w:w="50"/>
              <w:left w:type="dxa" w:w="70"/>
              <w:bottom w:type="dxa" w:w="50"/>
              <w:right w:type="dxa" w:w="70"/>
            </w:tcMar>
            <w:vAlign w:val="center"/>
          </w:tcPr>
          <w:p>
            <w:pPr>
              <w:jc w:val="left"/>
            </w:pPr>
            <w:r>
              <w:rPr>
                <w:rFonts w:ascii="Arial" w:cs="Arial" w:eastAsia="Arial" w:hAnsi="Arial"/>
                <w:b w:val="false"/>
                <w:bCs w:val="false"/>
                <w:color w:val="1A202C"/>
                <w:sz w:val="16"/>
                <w:szCs w:val="16"/>
              </w:rPr>
              <w:t xml:space="preserve">Sysmon 1, PowerShell logging</w:t>
            </w:r>
          </w:p>
        </w:tc>
      </w:tr>
    </w:tbl>
    <w:p>
      <w:pPr>
        <w:pStyle w:val="Heading1"/>
      </w:pPr>
      <w:r>
        <w:t xml:space="preserve">4. Investigation Case Study</w:t>
      </w:r>
    </w:p>
    <w:p>
      <w:pPr>
        <w:spacing w:after="70"/>
      </w:pPr>
      <w:r>
        <w:rPr>
          <w:rFonts w:ascii="Arial" w:cs="Arial" w:eastAsia="Arial" w:hAnsi="Arial"/>
          <w:sz w:val="18"/>
          <w:szCs w:val="18"/>
        </w:rPr>
        <w:t xml:space="preserve">Scenario: Execute T1033 (System Owner/User Discovery) and validate telemetry + detection visibility.</w:t>
      </w:r>
    </w:p>
    <w:p>
      <w:pPr>
        <w:pStyle w:val="ListParagraph"/>
        <w:numPr>
          <w:ilvl w:val="0"/>
          <w:numId w:val="3"/>
        </w:numPr>
      </w:pPr>
      <w:r>
        <w:rPr>
          <w:rFonts w:ascii="Arial" w:cs="Arial" w:eastAsia="Arial" w:hAnsi="Arial"/>
          <w:sz w:val="18"/>
          <w:szCs w:val="18"/>
        </w:rPr>
        <w:t xml:space="preserve">Confirmed Sysmon and Wazuh agent were healthy.</w:t>
      </w:r>
    </w:p>
    <w:p>
      <w:pPr>
        <w:pStyle w:val="ListParagraph"/>
        <w:numPr>
          <w:ilvl w:val="0"/>
          <w:numId w:val="3"/>
        </w:numPr>
      </w:pPr>
      <w:r>
        <w:rPr>
          <w:rFonts w:ascii="Arial" w:cs="Arial" w:eastAsia="Arial" w:hAnsi="Arial"/>
          <w:sz w:val="18"/>
          <w:szCs w:val="18"/>
        </w:rPr>
        <w:t xml:space="preserve">Executed atomic test for T1033 (whoami-style discovery).</w:t>
      </w:r>
    </w:p>
    <w:p>
      <w:pPr>
        <w:pStyle w:val="ListParagraph"/>
        <w:numPr>
          <w:ilvl w:val="0"/>
          <w:numId w:val="3"/>
        </w:numPr>
      </w:pPr>
      <w:r>
        <w:rPr>
          <w:rFonts w:ascii="Arial" w:cs="Arial" w:eastAsia="Arial" w:hAnsi="Arial"/>
          <w:sz w:val="18"/>
          <w:szCs w:val="18"/>
        </w:rPr>
        <w:t xml:space="preserve">Filtered Sysmon for Event ID 1 containing the relevant command line.</w:t>
      </w:r>
    </w:p>
    <w:p>
      <w:pPr>
        <w:pStyle w:val="ListParagraph"/>
        <w:numPr>
          <w:ilvl w:val="0"/>
          <w:numId w:val="3"/>
        </w:numPr>
      </w:pPr>
      <w:r>
        <w:rPr>
          <w:rFonts w:ascii="Arial" w:cs="Arial" w:eastAsia="Arial" w:hAnsi="Arial"/>
          <w:sz w:val="18"/>
          <w:szCs w:val="18"/>
        </w:rPr>
        <w:t xml:space="preserve">Located corresponding Security 4688 and checked Wazuh for alerts.</w:t>
      </w:r>
    </w:p>
    <w:p>
      <w:pPr>
        <w:pStyle w:val="ListParagraph"/>
        <w:numPr>
          <w:ilvl w:val="0"/>
          <w:numId w:val="3"/>
        </w:numPr>
        <w:spacing w:after="90"/>
      </w:pPr>
      <w:r>
        <w:rPr>
          <w:rFonts w:ascii="Arial" w:cs="Arial" w:eastAsia="Arial" w:hAnsi="Arial"/>
          <w:sz w:val="18"/>
          <w:szCs w:val="18"/>
        </w:rPr>
        <w:t xml:space="preserve">Recorded detection result and quality of telemetry.</w:t>
      </w:r>
    </w:p>
    <w:p>
      <w:pPr>
        <w:spacing w:after="90"/>
      </w:pPr>
      <w:r>
        <w:rPr>
          <w:rFonts w:ascii="Arial" w:cs="Arial" w:eastAsia="Arial" w:hAnsi="Arial"/>
          <w:sz w:val="18"/>
          <w:szCs w:val="18"/>
        </w:rPr>
        <w:t xml:space="preserve">Key Learning: Atomic Red Team is most valuable when used as a detection validation tool — run technique → inspect telemetry → assess detection → document gap or success.</w:t>
      </w:r>
    </w:p>
    <w:p>
      <w:pPr>
        <w:pStyle w:val="Heading1"/>
      </w:pPr>
      <w:r>
        <w:t xml:space="preserve">5. Lessons Learned</w:t>
      </w:r>
    </w:p>
    <w:p>
      <w:pPr>
        <w:pStyle w:val="ListParagraph"/>
        <w:numPr>
          <w:ilvl w:val="0"/>
          <w:numId w:val="3"/>
        </w:numPr>
      </w:pPr>
      <w:r>
        <w:rPr>
          <w:rFonts w:ascii="Arial" w:cs="Arial" w:eastAsia="Arial" w:hAnsi="Arial"/>
          <w:sz w:val="18"/>
          <w:szCs w:val="18"/>
        </w:rPr>
        <w:t xml:space="preserve">Telemetry first, detection second — high-quality Sysmon data makes detection work far easier.</w:t>
      </w:r>
    </w:p>
    <w:p>
      <w:pPr>
        <w:pStyle w:val="ListParagraph"/>
        <w:numPr>
          <w:ilvl w:val="0"/>
          <w:numId w:val="3"/>
        </w:numPr>
      </w:pPr>
      <w:r>
        <w:rPr>
          <w:rFonts w:ascii="Arial" w:cs="Arial" w:eastAsia="Arial" w:hAnsi="Arial"/>
          <w:sz w:val="18"/>
          <w:szCs w:val="18"/>
        </w:rPr>
        <w:t xml:space="preserve">Start simple — discovery techniques teach the workflow with low risk.</w:t>
      </w:r>
    </w:p>
    <w:p>
      <w:pPr>
        <w:pStyle w:val="ListParagraph"/>
        <w:numPr>
          <w:ilvl w:val="0"/>
          <w:numId w:val="3"/>
        </w:numPr>
      </w:pPr>
      <w:r>
        <w:rPr>
          <w:rFonts w:ascii="Arial" w:cs="Arial" w:eastAsia="Arial" w:hAnsi="Arial"/>
          <w:sz w:val="18"/>
          <w:szCs w:val="18"/>
        </w:rPr>
        <w:t xml:space="preserve">Gaps are useful — a technique visible in logs but generating no alert is actionable.</w:t>
      </w:r>
    </w:p>
    <w:p>
      <w:pPr>
        <w:pStyle w:val="ListParagraph"/>
        <w:numPr>
          <w:ilvl w:val="0"/>
          <w:numId w:val="3"/>
        </w:numPr>
        <w:spacing w:after="90"/>
      </w:pPr>
      <w:r>
        <w:rPr>
          <w:rFonts w:ascii="Arial" w:cs="Arial" w:eastAsia="Arial" w:hAnsi="Arial"/>
          <w:sz w:val="18"/>
          <w:szCs w:val="18"/>
        </w:rPr>
        <w:t xml:space="preserve">Documentation closes the loop and turns testing into portfolio evidence.</w:t>
      </w:r>
    </w:p>
    <w:p>
      <w:pPr>
        <w:pStyle w:val="Heading1"/>
      </w:pPr>
      <w:r>
        <w:t xml:space="preserve">6. Conclusion</w:t>
      </w:r>
    </w:p>
    <w:p>
      <w:pPr>
        <w:spacing w:after="90"/>
      </w:pPr>
      <w:r>
        <w:rPr>
          <w:rFonts w:ascii="Arial" w:cs="Arial" w:eastAsia="Arial" w:hAnsi="Arial"/>
          <w:sz w:val="18"/>
          <w:szCs w:val="18"/>
        </w:rPr>
        <w:t xml:space="preserve">The Atomic Red Team lab successfully introduced controlled ATT&amp;CK technique emulation and detection validation. By executing selected tests and examining Sysmon, Event Log, and SIEM telemetry, practical understanding of how attacker techniques appear in real data was developed. This work supports detection engineering skills and completes a strong foundation alongside the other blue-team labs.</w:t>
      </w:r>
    </w:p>
    <w:p>
      <w:pPr>
        <w:pStyle w:val="Heading1"/>
      </w:pPr>
      <w:r>
        <w:t xml:space="preserve">Appendix – Useful Commands</w:t>
      </w:r>
    </w:p>
    <w:p>
      <w:pPr>
        <w:shd w:fill="F7FAFC" w:val="clear"/>
        <w:spacing w:after="30"/>
      </w:pPr>
      <w:r>
        <w:rPr>
          <w:rFonts w:ascii="Courier New" w:cs="Courier New" w:eastAsia="Courier New" w:hAnsi="Courier New"/>
          <w:sz w:val="14"/>
          <w:szCs w:val="14"/>
        </w:rPr>
        <w:t xml:space="preserve">Invoke-AtomicTest T1082 -ShowDetails</w:t>
      </w:r>
    </w:p>
    <w:p>
      <w:pPr>
        <w:shd w:fill="F7FAFC" w:val="clear"/>
        <w:spacing w:after="30"/>
      </w:pPr>
      <w:r>
        <w:rPr>
          <w:rFonts w:ascii="Courier New" w:cs="Courier New" w:eastAsia="Courier New" w:hAnsi="Courier New"/>
          <w:sz w:val="14"/>
          <w:szCs w:val="14"/>
        </w:rPr>
        <w:t xml:space="preserve">Invoke-AtomicTest T1082 -CheckPrereqs</w:t>
      </w:r>
    </w:p>
    <w:p>
      <w:pPr>
        <w:shd w:fill="F7FAFC" w:val="clear"/>
        <w:spacing w:after="30"/>
      </w:pPr>
      <w:r>
        <w:rPr>
          <w:rFonts w:ascii="Courier New" w:cs="Courier New" w:eastAsia="Courier New" w:hAnsi="Courier New"/>
          <w:sz w:val="14"/>
          <w:szCs w:val="14"/>
        </w:rPr>
        <w:t xml:space="preserve">Invoke-AtomicTest T1082</w:t>
      </w:r>
    </w:p>
    <w:p>
      <w:pPr>
        <w:shd w:fill="F7FAFC" w:val="clear"/>
        <w:spacing w:after="120"/>
      </w:pPr>
      <w:r>
        <w:rPr>
          <w:rFonts w:ascii="Courier New" w:cs="Courier New" w:eastAsia="Courier New" w:hAnsi="Courier New"/>
          <w:sz w:val="14"/>
          <w:szCs w:val="14"/>
        </w:rPr>
        <w:t xml:space="preserve">Invoke-AtomicTest T1082 -Cleanup</w:t>
      </w:r>
    </w:p>
    <w:p>
      <w:pPr>
        <w:pBdr>
          <w:top w:val="single" w:color="CBD5E0" w:sz="6" w:space="8"/>
        </w:pBdr>
        <w:spacing w:before="140"/>
      </w:pPr>
      <w:r>
        <w:rPr>
          <w:rFonts w:ascii="Arial" w:cs="Arial" w:eastAsia="Arial" w:hAnsi="Arial"/>
          <w:i/>
          <w:iCs/>
          <w:color w:val="718096"/>
          <w:sz w:val="14"/>
          <w:szCs w:val="14"/>
        </w:rPr>
        <w:t xml:space="preserve">End of Report — Portfolio use. Screenshots of test execution and Sysmon events can be added.</w:t>
      </w:r>
    </w:p>
    <w:sectPr>
      <w:headerReference w:type="default" r:id="rId7"/>
      <w:footerReference w:type="default" r:id="rId8"/>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4"/>
        <w:szCs w:val="14"/>
      </w:rPr>
      <w:t xml:space="preserve">Thomas Christoforidis  •  Junior SOC Analyst Portfolio  •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6" w:space="4"/>
      </w:pBdr>
    </w:pPr>
    <w:r>
      <w:rPr>
        <w:rFonts w:ascii="Arial" w:cs="Arial" w:eastAsia="Arial" w:hAnsi="Arial"/>
        <w:i/>
        <w:iCs/>
        <w:color w:val="718096"/>
        <w:sz w:val="14"/>
        <w:szCs w:val="14"/>
      </w:rPr>
      <w:t xml:space="preserve">Atomic Red Team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Arial" w:cs="Arial" w:eastAsia="Arial" w:hAnsi="Arial"/>
      <w:b/>
      <w:bCs/>
      <w:color w:val="1A365D"/>
      <w:sz w:val="26"/>
      <w:szCs w:val="26"/>
    </w:rPr>
  </w:style>
  <w:style w:type="paragraph" w:styleId="Heading2">
    <w:name w:val="Heading 2"/>
    <w:basedOn w:val="Normal"/>
    <w:next w:val="Normal"/>
    <w:qFormat/>
    <w:pPr>
      <w:spacing w:after="50" w:before="140"/>
      <w:outlineLvl w:val="1"/>
    </w:pPr>
    <w:rPr>
      <w:rFonts w:ascii="Arial" w:cs="Arial" w:eastAsia="Arial" w:hAnsi="Arial"/>
      <w:b/>
      <w:bCs/>
      <w:color w:val="2C528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2026-08-03T04:18:09.789Z</dcterms:created>
  <dcterms:modified xsi:type="dcterms:W3CDTF">2026-08-03T04:18:09.789Z</dcterms:modified>
</cp:coreProperties>
</file>

<file path=docProps/custom.xml><?xml version="1.0" encoding="utf-8"?>
<Properties xmlns="http://schemas.openxmlformats.org/officeDocument/2006/custom-properties" xmlns:vt="http://schemas.openxmlformats.org/officeDocument/2006/docPropsVTypes"/>
</file>