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  <w:jc w:val="center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Threat Hunting Exercises Lab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2D3748"/>
          <w:sz w:val="16"/>
          <w:szCs w:val="16"/>
        </w:rPr>
        <w:t xml:space="preserve">Hypothesis-Driven Hunting Practice Using Lab Telemetry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0"/>
      </w:tblGrid>
      <w:tr>
        <w:tc>
          <w:tcPr>
            <w:tcW w:type="dxa" w:w="2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4"/>
                <w:szCs w:val="14"/>
              </w:rPr>
              <w:t xml:space="preserve">Author</w:t>
            </w:r>
          </w:p>
        </w:tc>
        <w:tc>
          <w:tcPr>
            <w:tcW w:type="dxa" w:w="8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Thomas Christoforidis</w:t>
            </w:r>
          </w:p>
        </w:tc>
      </w:tr>
      <w:tr>
        <w:tc>
          <w:tcPr>
            <w:tcW w:type="dxa" w:w="2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4"/>
                <w:szCs w:val="14"/>
              </w:rPr>
              <w:t xml:space="preserve">Target Role</w:t>
            </w:r>
          </w:p>
        </w:tc>
        <w:tc>
          <w:tcPr>
            <w:tcW w:type="dxa" w:w="8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Junior SOC Analyst / Cyber Security Analyst</w:t>
            </w:r>
          </w:p>
        </w:tc>
      </w:tr>
      <w:tr>
        <w:tc>
          <w:tcPr>
            <w:tcW w:type="dxa" w:w="2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4"/>
                <w:szCs w:val="14"/>
              </w:rPr>
              <w:t xml:space="preserve">Date</w:t>
            </w:r>
          </w:p>
        </w:tc>
        <w:tc>
          <w:tcPr>
            <w:tcW w:type="dxa" w:w="8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August 2026</w:t>
            </w:r>
          </w:p>
        </w:tc>
      </w:tr>
      <w:tr>
        <w:tc>
          <w:tcPr>
            <w:tcW w:type="dxa" w:w="2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EDF2F7" w:val="clear"/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4"/>
                <w:szCs w:val="14"/>
              </w:rPr>
              <w:t xml:space="preserve">Focus</w:t>
            </w:r>
          </w:p>
        </w:tc>
        <w:tc>
          <w:tcPr>
            <w:tcW w:type="dxa" w:w="8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Structured threat hunting across endpoint and SIEM data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70"/>
      </w:pPr>
      <w:r>
        <w:rPr>
          <w:rFonts w:ascii="Arial" w:cs="Arial" w:eastAsia="Arial" w:hAnsi="Arial"/>
          <w:sz w:val="16"/>
          <w:szCs w:val="16"/>
        </w:rPr>
        <w:t xml:space="preserve">This report documents a series of threat hunting exercises performed in a controlled home-lab environment. Using a hypothesis-driven methodology, hunts were conducted against telemetry from Sysmon, Windows Security Event Logs, PowerShell Script Block Logging, and SIEM platforms. Atomic Red Team provided known activity for validation hunts.</w:t>
      </w:r>
    </w:p>
    <w:p>
      <w:pPr>
        <w:spacing w:after="35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Key outcomes: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Application of a repeatable hunting methodology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Completion of foundational hunts (process, logons, PowerShell, network, DNS, accounts)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Correlation of Sysmon, Security, and PowerShell telemetry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Validation hunting against Atomic Red Team activity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6"/>
          <w:szCs w:val="16"/>
        </w:rPr>
        <w:t xml:space="preserve">Documentation of findings, conclusions, and detection opportunities</w:t>
      </w:r>
    </w:p>
    <w:p>
      <w:pPr>
        <w:pStyle w:val="Heading1"/>
      </w:pPr>
      <w:r>
        <w:t xml:space="preserve">2. Hunting Methodology</w:t>
      </w:r>
    </w:p>
    <w:p>
      <w:pPr>
        <w:spacing w:after="50"/>
      </w:pPr>
      <w:r>
        <w:rPr>
          <w:rFonts w:ascii="Arial" w:cs="Arial" w:eastAsia="Arial" w:hAnsi="Arial"/>
          <w:sz w:val="16"/>
          <w:szCs w:val="16"/>
        </w:rPr>
        <w:t xml:space="preserve">Each exercise followed: Hypothesis → Data Sources → Query/Filter → Analysis → Conclusion → Next Steps (detection ideas / coverage gaps).</w:t>
      </w:r>
    </w:p>
    <w:p>
      <w:pPr>
        <w:pStyle w:val="Heading1"/>
      </w:pPr>
      <w:r>
        <w:t xml:space="preserve">3. Exercises Performed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00"/>
        <w:gridCol w:w="3900"/>
      </w:tblGrid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Exercise Focus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Primary Data Sources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2B6CB0" w:val="clear"/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Unusual Process Execution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Sysmon 1, Security 4688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Visibility confirmed; rule opportunity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Failed Logon Patterns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Security 4625 / 4624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Patterns identifiable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PowerShell Abuse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Sysmon 1 + Event 4104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High-fidelity when logging enabled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Network / DNS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Sysmon 3 / 22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Process-to-network linkage shown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Account Changes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Security 4720, 4732...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Clear audit trail</w:t>
            </w:r>
          </w:p>
        </w:tc>
      </w:tr>
      <w:tr>
        <w:tc>
          <w:tcPr>
            <w:tcW w:type="dxa" w:w="2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Atomic Red Team Validation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Multi-source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40"/>
              <w:left w:type="dxa" w:w="55"/>
              <w:bottom w:type="dxa" w:w="40"/>
              <w:right w:type="dxa" w:w="55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4"/>
                <w:szCs w:val="14"/>
              </w:rPr>
              <w:t xml:space="preserve">Successful reconstruction</w:t>
            </w:r>
          </w:p>
        </w:tc>
      </w:tr>
    </w:tbl>
    <w:p>
      <w:pPr>
        <w:pStyle w:val="Heading1"/>
      </w:pPr>
      <w:r>
        <w:t xml:space="preserve">4. Case Study – Encoded PowerShell Hunt</w:t>
      </w:r>
    </w:p>
    <w:p>
      <w:pPr>
        <w:spacing w:after="50"/>
      </w:pPr>
      <w:r>
        <w:rPr>
          <w:rFonts w:ascii="Arial" w:cs="Arial" w:eastAsia="Arial" w:hAnsi="Arial"/>
          <w:sz w:val="16"/>
          <w:szCs w:val="16"/>
        </w:rPr>
        <w:t xml:space="preserve">Hypothesis: Encoded PowerShell (-enc) can be fully investigated with available telemetry. Sysmon Event ID 1 provided process context; Event ID 4104 provided script block content. Conclusion: With both sources present, encoded PowerShell is highly investigable. Detection opportunity: command-line rules for -enc, -w hidden, -ep bypass, and download cradles.</w:t>
      </w:r>
    </w:p>
    <w:p>
      <w:pPr>
        <w:pStyle w:val="Heading1"/>
      </w:pPr>
      <w:r>
        <w:t xml:space="preserve">5. Lessons Learned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6"/>
          <w:szCs w:val="16"/>
        </w:rPr>
        <w:t xml:space="preserve">Good hypotheses make good hunts — specific statements produce clear outcomes.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6"/>
          <w:szCs w:val="16"/>
        </w:rPr>
        <w:t xml:space="preserve">Telemetry quality determines hunt quality — Sysmon + Script Block Logging are high-value.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6"/>
          <w:szCs w:val="16"/>
        </w:rPr>
        <w:t xml:space="preserve">Correlation is the real skill — linking process, script, auth, and network data creates the narrative.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16"/>
          <w:szCs w:val="16"/>
        </w:rPr>
        <w:t xml:space="preserve">Hunting feeds detection engineering — almost every hunt suggests a rule or coverage gap.</w:t>
      </w:r>
    </w:p>
    <w:p>
      <w:pPr>
        <w:pStyle w:val="Heading1"/>
      </w:pPr>
      <w:r>
        <w:t xml:space="preserve">6. Conclusion</w:t>
      </w:r>
    </w:p>
    <w:p>
      <w:pPr>
        <w:spacing w:after="70"/>
      </w:pPr>
      <w:r>
        <w:rPr>
          <w:rFonts w:ascii="Arial" w:cs="Arial" w:eastAsia="Arial" w:hAnsi="Arial"/>
          <w:sz w:val="16"/>
          <w:szCs w:val="16"/>
        </w:rPr>
        <w:t xml:space="preserve">The Threat Hunting Exercises lab successfully applied a structured hunting approach to real lab telemetry. This work ties together Sysmon, Event Logs, PowerShell monitoring, SIEM platforms, Atomic Red Team, and ATT&amp;CK mapping into proactive defence capability — a strong addition to a Junior SOC Analyst portfolio.</w:t>
      </w:r>
    </w:p>
    <w:p>
      <w:pPr>
        <w:pStyle w:val="Heading1"/>
      </w:pPr>
      <w:r>
        <w:t xml:space="preserve">Appendix – Hunt Template</w:t>
      </w:r>
    </w:p>
    <w:p>
      <w:pPr>
        <w:spacing w:after="20"/>
      </w:pPr>
      <w:r>
        <w:rPr>
          <w:rFonts w:ascii="Courier New" w:cs="Courier New" w:eastAsia="Courier New" w:hAnsi="Courier New"/>
          <w:sz w:val="13"/>
          <w:szCs w:val="13"/>
        </w:rPr>
        <w:t xml:space="preserve">Hunt Title / Date / Hypothesis / Data Sources / Queries / Findings / Conclusion / ATT&amp;CK / Detection Opportunity / Evidence</w:t>
      </w:r>
    </w:p>
    <w:p>
      <w:pPr>
        <w:pBdr>
          <w:top w:val="single" w:color="CBD5E0" w:sz="6" w:space="8"/>
        </w:pBdr>
        <w:spacing w:before="90"/>
      </w:pPr>
      <w:r>
        <w:rPr>
          <w:rFonts w:ascii="Arial" w:cs="Arial" w:eastAsia="Arial" w:hAnsi="Arial"/>
          <w:i/>
          <w:iCs/>
          <w:color w:val="718096"/>
          <w:sz w:val="12"/>
          <w:szCs w:val="12"/>
        </w:rPr>
        <w:t xml:space="preserve">End of Report — Portfolio use. Individual hunt write-ups and screenshots can be added.</w:t>
      </w:r>
    </w:p>
    <w:sectPr>
      <w:headerReference w:type="default" r:id="rId7"/>
      <w:footerReference w:type="default" r:id="rId8"/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2"/>
        <w:szCs w:val="12"/>
      </w:rPr>
      <w:t xml:space="preserve">Thomas Christoforidis  •  Junior SOC Analyst Portfolio  •  Page </w:t>
    </w:r>
    <w:r>
      <w:rPr>
        <w:rFonts w:ascii="Arial" w:cs="Arial" w:eastAsia="Arial" w:hAnsi="Arial"/>
        <w:color w:val="71809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6" w:space="4"/>
      </w:pBdr>
    </w:pPr>
    <w:r>
      <w:rPr>
        <w:rFonts w:ascii="Arial" w:cs="Arial" w:eastAsia="Arial" w:hAnsi="Arial"/>
        <w:i/>
        <w:iCs/>
        <w:color w:val="718096"/>
        <w:sz w:val="12"/>
        <w:szCs w:val="12"/>
      </w:rPr>
      <w:t xml:space="preserve">Threat Hunting Exercises Lab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80"/>
      <w:outlineLvl w:val="0"/>
    </w:pPr>
    <w:rPr>
      <w:rFonts w:ascii="Arial" w:cs="Arial" w:eastAsia="Arial" w:hAnsi="Arial"/>
      <w:b/>
      <w:bCs/>
      <w:color w:val="1A365D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45" w:before="110"/>
      <w:outlineLvl w:val="1"/>
    </w:pPr>
    <w:rPr>
      <w:rFonts w:ascii="Arial" w:cs="Arial" w:eastAsia="Arial" w:hAnsi="Arial"/>
      <w:b/>
      <w:bCs/>
      <w:color w:val="2C5282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2026-08-03T22:08:30.335Z</dcterms:created>
  <dcterms:modified xsi:type="dcterms:W3CDTF">2026-08-03T22:08:30.336Z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