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64E1B" w14:textId="77777777" w:rsidR="002D3006" w:rsidRPr="002D3006" w:rsidRDefault="002D3006" w:rsidP="002D3006">
      <w:pPr>
        <w:rPr>
          <w:lang w:val="en-US"/>
        </w:rPr>
      </w:pPr>
      <w:r w:rsidRPr="002D3006">
        <w:rPr>
          <w:lang w:val="en-US"/>
        </w:rPr>
        <w:t>1. who gets more loan approvals men or women?</w:t>
      </w:r>
    </w:p>
    <w:p w14:paraId="1CFF3548" w14:textId="77777777" w:rsidR="002D3006" w:rsidRPr="002D3006" w:rsidRDefault="002D3006" w:rsidP="002D3006">
      <w:pPr>
        <w:rPr>
          <w:lang w:val="en-US"/>
        </w:rPr>
      </w:pPr>
      <w:r w:rsidRPr="002D3006">
        <w:rPr>
          <w:lang w:val="en-US"/>
        </w:rPr>
        <w:t>2. how loan approval dependent on age, education, income</w:t>
      </w:r>
    </w:p>
    <w:p w14:paraId="05ABCBF9" w14:textId="77777777" w:rsidR="002D3006" w:rsidRPr="002D3006" w:rsidRDefault="002D3006" w:rsidP="002D3006">
      <w:pPr>
        <w:rPr>
          <w:lang w:val="en-US"/>
        </w:rPr>
      </w:pPr>
      <w:r w:rsidRPr="002D3006">
        <w:rPr>
          <w:lang w:val="en-US"/>
        </w:rPr>
        <w:t>3. Credit Score Influence: Higher credit scores lead to higher loan approval rates.</w:t>
      </w:r>
    </w:p>
    <w:p w14:paraId="2ABCC781" w14:textId="77777777" w:rsidR="002D3006" w:rsidRPr="002D3006" w:rsidRDefault="002D3006" w:rsidP="002D3006">
      <w:pPr>
        <w:rPr>
          <w:lang w:val="en-US"/>
        </w:rPr>
      </w:pPr>
      <w:r w:rsidRPr="002D3006">
        <w:rPr>
          <w:lang w:val="en-US"/>
        </w:rPr>
        <w:t>4. Previous Defaults Impact: Applicants with previous loan defaults are less likely to get approved.</w:t>
      </w:r>
    </w:p>
    <w:p w14:paraId="273E749C" w14:textId="77777777" w:rsidR="002D3006" w:rsidRPr="002D3006" w:rsidRDefault="002D3006" w:rsidP="002D3006">
      <w:pPr>
        <w:rPr>
          <w:lang w:val="en-US"/>
        </w:rPr>
      </w:pPr>
      <w:r w:rsidRPr="002D3006">
        <w:rPr>
          <w:lang w:val="en-US"/>
        </w:rPr>
        <w:t>5. Home Ownership Effect: Homeowners (OWN or MORTGAGE) have higher approval rates than renters.</w:t>
      </w:r>
    </w:p>
    <w:p w14:paraId="220C48DC" w14:textId="77777777" w:rsidR="002D3006" w:rsidRPr="002D3006" w:rsidRDefault="002D3006" w:rsidP="002D3006">
      <w:pPr>
        <w:rPr>
          <w:lang w:val="en-US"/>
        </w:rPr>
      </w:pPr>
      <w:r w:rsidRPr="002D3006">
        <w:rPr>
          <w:lang w:val="en-US"/>
        </w:rPr>
        <w:t>6. Credit History Length: A longer credit history increases the likelihood of loan approval.</w:t>
      </w:r>
    </w:p>
    <w:p w14:paraId="4C53DEA3" w14:textId="77777777" w:rsidR="002D3006" w:rsidRPr="002D3006" w:rsidRDefault="002D3006" w:rsidP="002D3006">
      <w:pPr>
        <w:rPr>
          <w:lang w:val="en-US"/>
        </w:rPr>
      </w:pPr>
      <w:r w:rsidRPr="002D3006">
        <w:rPr>
          <w:lang w:val="en-US"/>
        </w:rPr>
        <w:t>7. Income vs. Interest Rate: Higher-income individuals receive lower interest rates on loans.</w:t>
      </w:r>
    </w:p>
    <w:p w14:paraId="4890EE54" w14:textId="77777777" w:rsidR="002D3006" w:rsidRPr="002D3006" w:rsidRDefault="002D3006" w:rsidP="002D3006">
      <w:pPr>
        <w:rPr>
          <w:lang w:val="en-US"/>
        </w:rPr>
      </w:pPr>
      <w:r w:rsidRPr="002D3006">
        <w:rPr>
          <w:lang w:val="en-US"/>
        </w:rPr>
        <w:t>8. Loan Intent Relation: The purpose of the loan (e.g., EDUCATION, MEDICAL) affects approval chances.</w:t>
      </w:r>
    </w:p>
    <w:p w14:paraId="7B13E18E" w14:textId="77777777" w:rsidR="002D3006" w:rsidRPr="002D3006" w:rsidRDefault="002D3006" w:rsidP="002D3006">
      <w:pPr>
        <w:rPr>
          <w:lang w:val="en-US"/>
        </w:rPr>
      </w:pPr>
      <w:r w:rsidRPr="002D3006">
        <w:rPr>
          <w:lang w:val="en-US"/>
        </w:rPr>
        <w:t>9. Education Level: Higher education levels correlate with higher loan amounts approved.</w:t>
      </w:r>
    </w:p>
    <w:p w14:paraId="44C10B02" w14:textId="77777777" w:rsidR="002D3006" w:rsidRPr="002D3006" w:rsidRDefault="002D3006" w:rsidP="002D3006">
      <w:pPr>
        <w:rPr>
          <w:lang w:val="en-US"/>
        </w:rPr>
      </w:pPr>
      <w:r w:rsidRPr="002D3006">
        <w:rPr>
          <w:lang w:val="en-US"/>
        </w:rPr>
        <w:t>10. Employment Experience: More years of employment experience increase approval rates.</w:t>
      </w:r>
    </w:p>
    <w:p w14:paraId="3CD02079" w14:textId="77777777" w:rsidR="002D3006" w:rsidRPr="002D3006" w:rsidRDefault="002D3006" w:rsidP="002D3006">
      <w:pPr>
        <w:rPr>
          <w:lang w:val="en-US"/>
        </w:rPr>
      </w:pPr>
      <w:r w:rsidRPr="002D3006">
        <w:rPr>
          <w:lang w:val="en-US"/>
        </w:rPr>
        <w:t>11. Loan Amount Requested: Larger loan amounts decrease the likelihood of approval.</w:t>
      </w:r>
    </w:p>
    <w:p w14:paraId="177A8625" w14:textId="77777777" w:rsidR="002D3006" w:rsidRPr="002D3006" w:rsidRDefault="002D3006" w:rsidP="002D3006">
      <w:pPr>
        <w:rPr>
          <w:lang w:val="en-US"/>
        </w:rPr>
      </w:pPr>
      <w:r w:rsidRPr="002D3006">
        <w:rPr>
          <w:lang w:val="en-US"/>
        </w:rPr>
        <w:t>12. Loan Percent Income: A higher loan-to-income ratio reduces the chance of loan approval.</w:t>
      </w:r>
    </w:p>
    <w:p w14:paraId="035DFD84" w14:textId="71BC8326" w:rsidR="00F63453" w:rsidRDefault="002D3006" w:rsidP="00553D16">
      <w:pPr>
        <w:pStyle w:val="Title"/>
        <w:rPr>
          <w:lang w:val="en-US"/>
        </w:rPr>
      </w:pPr>
      <w:r w:rsidRPr="002D3006">
        <w:rPr>
          <w:lang w:val="en-US"/>
        </w:rPr>
        <w:t>how to increase your loan approval rate</w:t>
      </w:r>
      <w:r>
        <w:rPr>
          <w:lang w:val="en-US"/>
        </w:rPr>
        <w:t>?</w:t>
      </w:r>
    </w:p>
    <w:p w14:paraId="6E793DFC" w14:textId="77777777" w:rsidR="002D3006" w:rsidRDefault="002D3006">
      <w:pPr>
        <w:rPr>
          <w:lang w:val="en-US"/>
        </w:rPr>
      </w:pPr>
    </w:p>
    <w:p w14:paraId="1860D1B7" w14:textId="63335AF0" w:rsidR="002D3006" w:rsidRPr="002D3006" w:rsidRDefault="002D3006" w:rsidP="00553D16">
      <w:pPr>
        <w:pStyle w:val="Heading2"/>
        <w:rPr>
          <w:lang w:val="en-US"/>
        </w:rPr>
      </w:pPr>
      <w:r w:rsidRPr="002D3006">
        <w:rPr>
          <w:lang w:val="en-US"/>
        </w:rPr>
        <w:t>Analysis of the</w:t>
      </w:r>
      <w:r>
        <w:rPr>
          <w:lang w:val="en-US"/>
        </w:rPr>
        <w:t xml:space="preserve"> Education</w:t>
      </w:r>
      <w:r w:rsidRPr="002D3006">
        <w:rPr>
          <w:lang w:val="en-US"/>
        </w:rPr>
        <w:t xml:space="preserve"> Chart</w:t>
      </w:r>
    </w:p>
    <w:p w14:paraId="7DF45F0A" w14:textId="037E678C" w:rsidR="002D3006" w:rsidRPr="002D3006" w:rsidRDefault="002D3006" w:rsidP="002D3006">
      <w:pPr>
        <w:rPr>
          <w:lang w:val="en-US"/>
        </w:rPr>
      </w:pPr>
      <w:r w:rsidRPr="002D3006">
        <w:rPr>
          <w:lang w:val="en-US"/>
        </w:rPr>
        <w:t>Key Observations:</w:t>
      </w:r>
    </w:p>
    <w:p w14:paraId="44BD0F64" w14:textId="44348D4B" w:rsidR="002D3006" w:rsidRPr="002D3006" w:rsidRDefault="002D3006" w:rsidP="002D3006">
      <w:pPr>
        <w:rPr>
          <w:lang w:val="en-US"/>
        </w:rPr>
      </w:pPr>
      <w:r w:rsidRPr="002D3006">
        <w:rPr>
          <w:lang w:val="en-US"/>
        </w:rPr>
        <w:t>High School: A significantly higher number of applications were denied compared to approvals.</w:t>
      </w:r>
    </w:p>
    <w:p w14:paraId="5301ED98" w14:textId="2F1D4380" w:rsidR="002D3006" w:rsidRPr="002D3006" w:rsidRDefault="002D3006" w:rsidP="002D3006">
      <w:pPr>
        <w:rPr>
          <w:lang w:val="en-US"/>
        </w:rPr>
      </w:pPr>
      <w:r w:rsidRPr="002D3006">
        <w:rPr>
          <w:lang w:val="en-US"/>
        </w:rPr>
        <w:t xml:space="preserve">Bachelor's and Associate's Degrees: Similar trends are observed, with denials outnumbering approvals, but the absolute number of applications is higher than for </w:t>
      </w:r>
    </w:p>
    <w:p w14:paraId="0C04C91F" w14:textId="77777777" w:rsidR="002D3006" w:rsidRPr="002D3006" w:rsidRDefault="002D3006" w:rsidP="002D3006">
      <w:pPr>
        <w:rPr>
          <w:lang w:val="en-US"/>
        </w:rPr>
      </w:pPr>
      <w:r w:rsidRPr="002D3006">
        <w:rPr>
          <w:lang w:val="en-US"/>
        </w:rPr>
        <w:t>High School graduates.</w:t>
      </w:r>
    </w:p>
    <w:p w14:paraId="2EA46921" w14:textId="77777777" w:rsidR="002D3006" w:rsidRPr="002D3006" w:rsidRDefault="002D3006" w:rsidP="002D3006">
      <w:pPr>
        <w:rPr>
          <w:lang w:val="en-US"/>
        </w:rPr>
      </w:pPr>
    </w:p>
    <w:p w14:paraId="68E88EA6" w14:textId="10B34365" w:rsidR="002D3006" w:rsidRPr="002D3006" w:rsidRDefault="002D3006" w:rsidP="002D3006">
      <w:pPr>
        <w:rPr>
          <w:lang w:val="en-US"/>
        </w:rPr>
      </w:pPr>
      <w:r w:rsidRPr="002D3006">
        <w:rPr>
          <w:lang w:val="en-US"/>
        </w:rPr>
        <w:lastRenderedPageBreak/>
        <w:t>Master's Degree: There are still more denials than approvals, though the approval numbers seem relatively higher compared to lower education levels.</w:t>
      </w:r>
    </w:p>
    <w:p w14:paraId="13DEA0F6" w14:textId="482D2E84" w:rsidR="002D3006" w:rsidRPr="002D3006" w:rsidRDefault="002D3006" w:rsidP="002D3006">
      <w:pPr>
        <w:rPr>
          <w:lang w:val="en-US"/>
        </w:rPr>
      </w:pPr>
      <w:r w:rsidRPr="002D3006">
        <w:rPr>
          <w:lang w:val="en-US"/>
        </w:rPr>
        <w:t>Doctorate: The number of applications is much smaller, and denials dominate this group.</w:t>
      </w:r>
    </w:p>
    <w:p w14:paraId="5ED1ACA5" w14:textId="77777777" w:rsidR="002D3006" w:rsidRPr="002D3006" w:rsidRDefault="002D3006" w:rsidP="002D3006">
      <w:pPr>
        <w:rPr>
          <w:lang w:val="en-US"/>
        </w:rPr>
      </w:pPr>
      <w:r w:rsidRPr="002D3006">
        <w:rPr>
          <w:lang w:val="en-US"/>
        </w:rPr>
        <w:t>Higher education levels, such as Master's and Doctorate, seem to improve the likelihood of approval compared to lower levels, but even here, denials dominate.</w:t>
      </w:r>
    </w:p>
    <w:p w14:paraId="2CD92762" w14:textId="77777777" w:rsidR="002D3006" w:rsidRPr="002D3006" w:rsidRDefault="002D3006" w:rsidP="002D3006">
      <w:pPr>
        <w:rPr>
          <w:lang w:val="en-US"/>
        </w:rPr>
      </w:pPr>
      <w:r w:rsidRPr="002D3006">
        <w:rPr>
          <w:lang w:val="en-US"/>
        </w:rPr>
        <w:t>The trend suggests that while education level influences approval rates, it is not the sole factor. Other variables such as income, credit score, or employment history likely play a significant role.</w:t>
      </w:r>
    </w:p>
    <w:p w14:paraId="463C854A" w14:textId="77777777" w:rsidR="002D3006" w:rsidRDefault="002D3006">
      <w:pPr>
        <w:rPr>
          <w:lang w:val="en-US"/>
        </w:rPr>
      </w:pPr>
    </w:p>
    <w:p w14:paraId="26DFF189" w14:textId="0D530A67" w:rsidR="009011C4" w:rsidRDefault="009011C4" w:rsidP="00553D16">
      <w:pPr>
        <w:pStyle w:val="Heading2"/>
        <w:rPr>
          <w:lang w:val="en-US"/>
        </w:rPr>
      </w:pPr>
      <w:r w:rsidRPr="002D3006">
        <w:rPr>
          <w:lang w:val="en-US"/>
        </w:rPr>
        <w:t>Analysis of the</w:t>
      </w:r>
      <w:r>
        <w:rPr>
          <w:lang w:val="en-US"/>
        </w:rPr>
        <w:t xml:space="preserve"> Education</w:t>
      </w:r>
      <w:r w:rsidRPr="002D3006">
        <w:rPr>
          <w:lang w:val="en-US"/>
        </w:rPr>
        <w:t xml:space="preserve"> </w:t>
      </w:r>
      <w:r>
        <w:rPr>
          <w:lang w:val="en-US"/>
        </w:rPr>
        <w:t xml:space="preserve">Proportionate </w:t>
      </w:r>
      <w:r w:rsidRPr="002D3006">
        <w:rPr>
          <w:lang w:val="en-US"/>
        </w:rPr>
        <w:t>Chart</w:t>
      </w:r>
    </w:p>
    <w:p w14:paraId="5DFA60C3" w14:textId="45C2C664" w:rsidR="009011C4" w:rsidRPr="009011C4" w:rsidRDefault="009011C4" w:rsidP="009011C4">
      <w:pPr>
        <w:rPr>
          <w:lang w:val="en-US"/>
        </w:rPr>
      </w:pPr>
      <w:r w:rsidRPr="009011C4">
        <w:rPr>
          <w:lang w:val="en-US"/>
        </w:rPr>
        <w:t>Overall Denials Dominate:</w:t>
      </w:r>
    </w:p>
    <w:p w14:paraId="695EF932" w14:textId="77777777" w:rsidR="009011C4" w:rsidRPr="009011C4" w:rsidRDefault="009011C4" w:rsidP="009011C4">
      <w:pPr>
        <w:rPr>
          <w:lang w:val="en-US"/>
        </w:rPr>
      </w:pPr>
      <w:r w:rsidRPr="009011C4">
        <w:rPr>
          <w:lang w:val="en-US"/>
        </w:rPr>
        <w:t>Across all education levels, the proportion of denials consistently hovers around 77-78%, indicating a general trend of low loan approval rates.</w:t>
      </w:r>
    </w:p>
    <w:p w14:paraId="1A4B89FB" w14:textId="5C41D446" w:rsidR="009011C4" w:rsidRPr="009011C4" w:rsidRDefault="009011C4" w:rsidP="009011C4">
      <w:pPr>
        <w:rPr>
          <w:lang w:val="en-US"/>
        </w:rPr>
      </w:pPr>
      <w:r w:rsidRPr="009011C4">
        <w:rPr>
          <w:lang w:val="en-US"/>
        </w:rPr>
        <w:t>Minimal Variation Across Education Levels:</w:t>
      </w:r>
    </w:p>
    <w:p w14:paraId="5EF92AA3" w14:textId="77777777" w:rsidR="009011C4" w:rsidRPr="009011C4" w:rsidRDefault="009011C4" w:rsidP="009011C4">
      <w:pPr>
        <w:rPr>
          <w:lang w:val="en-US"/>
        </w:rPr>
      </w:pPr>
      <w:r w:rsidRPr="009011C4">
        <w:rPr>
          <w:lang w:val="en-US"/>
        </w:rPr>
        <w:t>The proportion of approvals (green bars) and denials (red bars) is relatively stable, regardless of the education level:</w:t>
      </w:r>
    </w:p>
    <w:p w14:paraId="17E5A1DC" w14:textId="77777777" w:rsidR="009011C4" w:rsidRPr="009011C4" w:rsidRDefault="009011C4" w:rsidP="009011C4">
      <w:pPr>
        <w:rPr>
          <w:lang w:val="en-US"/>
        </w:rPr>
      </w:pPr>
      <w:r w:rsidRPr="009011C4">
        <w:rPr>
          <w:lang w:val="en-US"/>
        </w:rPr>
        <w:t>Associate's: 22.0% approvals, 78.0% denials.</w:t>
      </w:r>
    </w:p>
    <w:p w14:paraId="5F7F24F3" w14:textId="77777777" w:rsidR="009011C4" w:rsidRPr="009011C4" w:rsidRDefault="009011C4" w:rsidP="009011C4">
      <w:pPr>
        <w:rPr>
          <w:lang w:val="en-US"/>
        </w:rPr>
      </w:pPr>
      <w:r w:rsidRPr="009011C4">
        <w:rPr>
          <w:lang w:val="en-US"/>
        </w:rPr>
        <w:t>Bachelor's: 22.5% approvals, 77.5% denials.</w:t>
      </w:r>
    </w:p>
    <w:p w14:paraId="2BB968AD" w14:textId="77777777" w:rsidR="009011C4" w:rsidRPr="009011C4" w:rsidRDefault="009011C4" w:rsidP="009011C4">
      <w:pPr>
        <w:rPr>
          <w:lang w:val="en-US"/>
        </w:rPr>
      </w:pPr>
      <w:r w:rsidRPr="009011C4">
        <w:rPr>
          <w:lang w:val="en-US"/>
        </w:rPr>
        <w:t>Doctorate: 22.9% approvals, 77.1% denials.</w:t>
      </w:r>
    </w:p>
    <w:p w14:paraId="02F18BFE" w14:textId="77777777" w:rsidR="009011C4" w:rsidRPr="009011C4" w:rsidRDefault="009011C4" w:rsidP="009011C4">
      <w:pPr>
        <w:rPr>
          <w:lang w:val="en-US"/>
        </w:rPr>
      </w:pPr>
      <w:r w:rsidRPr="009011C4">
        <w:rPr>
          <w:lang w:val="en-US"/>
        </w:rPr>
        <w:t>High School: 22.3% approvals, 77.7% denials.</w:t>
      </w:r>
    </w:p>
    <w:p w14:paraId="07944C45" w14:textId="77777777" w:rsidR="009011C4" w:rsidRPr="009011C4" w:rsidRDefault="009011C4" w:rsidP="009011C4">
      <w:pPr>
        <w:rPr>
          <w:lang w:val="en-US"/>
        </w:rPr>
      </w:pPr>
      <w:r w:rsidRPr="009011C4">
        <w:rPr>
          <w:lang w:val="en-US"/>
        </w:rPr>
        <w:t>Master's: 21.8% approvals, 78.2% denials.</w:t>
      </w:r>
    </w:p>
    <w:p w14:paraId="00B354BC" w14:textId="64797B7C" w:rsidR="009011C4" w:rsidRPr="009011C4" w:rsidRDefault="009011C4" w:rsidP="009011C4">
      <w:pPr>
        <w:rPr>
          <w:lang w:val="en-US"/>
        </w:rPr>
      </w:pPr>
      <w:r w:rsidRPr="009011C4">
        <w:rPr>
          <w:lang w:val="en-US"/>
        </w:rPr>
        <w:t>Highest Approval Rate:</w:t>
      </w:r>
    </w:p>
    <w:p w14:paraId="7AC66F62" w14:textId="77777777" w:rsidR="009011C4" w:rsidRPr="009011C4" w:rsidRDefault="009011C4" w:rsidP="009011C4">
      <w:pPr>
        <w:rPr>
          <w:lang w:val="en-US"/>
        </w:rPr>
      </w:pPr>
      <w:r w:rsidRPr="009011C4">
        <w:rPr>
          <w:lang w:val="en-US"/>
        </w:rPr>
        <w:t>Applicants with a Doctorate have the highest approval rate at 22.9%.</w:t>
      </w:r>
    </w:p>
    <w:p w14:paraId="469E3A00" w14:textId="23834021" w:rsidR="009011C4" w:rsidRPr="009011C4" w:rsidRDefault="009011C4" w:rsidP="009011C4">
      <w:pPr>
        <w:rPr>
          <w:lang w:val="en-US"/>
        </w:rPr>
      </w:pPr>
      <w:r w:rsidRPr="009011C4">
        <w:rPr>
          <w:lang w:val="en-US"/>
        </w:rPr>
        <w:t>Lowest Approval Rate:</w:t>
      </w:r>
    </w:p>
    <w:p w14:paraId="6234F097" w14:textId="7D400408" w:rsidR="009011C4" w:rsidRPr="009011C4" w:rsidRDefault="009011C4" w:rsidP="009011C4">
      <w:pPr>
        <w:rPr>
          <w:lang w:val="en-US"/>
        </w:rPr>
      </w:pPr>
      <w:r w:rsidRPr="009011C4">
        <w:rPr>
          <w:lang w:val="en-US"/>
        </w:rPr>
        <w:t>Applicants with a Master's Degree have the lowest approval rate at 21.8%, which is slightly lower than others.</w:t>
      </w:r>
    </w:p>
    <w:p w14:paraId="011464B9" w14:textId="1BE7A324" w:rsidR="009011C4" w:rsidRPr="009011C4" w:rsidRDefault="009011C4" w:rsidP="009011C4">
      <w:pPr>
        <w:rPr>
          <w:lang w:val="en-US"/>
        </w:rPr>
      </w:pPr>
      <w:r w:rsidRPr="009011C4">
        <w:rPr>
          <w:lang w:val="en-US"/>
        </w:rPr>
        <w:t>Education Level Alone May Not Be a Decisive Factor:</w:t>
      </w:r>
    </w:p>
    <w:p w14:paraId="0668AC3B" w14:textId="77777777" w:rsidR="009011C4" w:rsidRPr="009011C4" w:rsidRDefault="009011C4" w:rsidP="009011C4">
      <w:pPr>
        <w:rPr>
          <w:lang w:val="en-US"/>
        </w:rPr>
      </w:pPr>
      <w:r w:rsidRPr="009011C4">
        <w:rPr>
          <w:lang w:val="en-US"/>
        </w:rPr>
        <w:t>The similar approval and denial percentages across all education levels suggest that education level alone is not a strong determinant for loan approval.</w:t>
      </w:r>
    </w:p>
    <w:p w14:paraId="78A40E8D" w14:textId="77777777" w:rsidR="009011C4" w:rsidRPr="009011C4" w:rsidRDefault="009011C4" w:rsidP="009011C4">
      <w:pPr>
        <w:rPr>
          <w:lang w:val="en-US"/>
        </w:rPr>
      </w:pPr>
      <w:r w:rsidRPr="009011C4">
        <w:rPr>
          <w:lang w:val="en-US"/>
        </w:rPr>
        <w:lastRenderedPageBreak/>
        <w:t>Other factors, such as income, credit score, employment history, and loan amount, might have a more significant impact.</w:t>
      </w:r>
    </w:p>
    <w:p w14:paraId="4E563DD8" w14:textId="206A55DA" w:rsidR="009011C4" w:rsidRPr="009011C4" w:rsidRDefault="009011C4" w:rsidP="009011C4">
      <w:pPr>
        <w:rPr>
          <w:lang w:val="en-US"/>
        </w:rPr>
      </w:pPr>
      <w:r w:rsidRPr="009011C4">
        <w:rPr>
          <w:lang w:val="en-US"/>
        </w:rPr>
        <w:t>High Denial Rates Across All Levels:</w:t>
      </w:r>
    </w:p>
    <w:p w14:paraId="5D8F5864" w14:textId="77777777" w:rsidR="009011C4" w:rsidRPr="009011C4" w:rsidRDefault="009011C4" w:rsidP="009011C4">
      <w:pPr>
        <w:rPr>
          <w:lang w:val="en-US"/>
        </w:rPr>
      </w:pPr>
      <w:r w:rsidRPr="009011C4">
        <w:rPr>
          <w:lang w:val="en-US"/>
        </w:rPr>
        <w:t>The consistently high denial rates could indicate strict loan approval criteria or a general lack of eligibility among applicants, regardless of education level.</w:t>
      </w:r>
    </w:p>
    <w:p w14:paraId="08750DEA" w14:textId="2A6C4165" w:rsidR="009011C4" w:rsidRPr="009011C4" w:rsidRDefault="009011C4" w:rsidP="009011C4">
      <w:pPr>
        <w:rPr>
          <w:lang w:val="en-US"/>
        </w:rPr>
      </w:pPr>
      <w:r w:rsidRPr="009011C4">
        <w:rPr>
          <w:lang w:val="en-US"/>
        </w:rPr>
        <w:t>Doctorate Applicants:</w:t>
      </w:r>
    </w:p>
    <w:p w14:paraId="0DA39204" w14:textId="77777777" w:rsidR="009011C4" w:rsidRPr="009011C4" w:rsidRDefault="009011C4" w:rsidP="009011C4">
      <w:pPr>
        <w:rPr>
          <w:lang w:val="en-US"/>
        </w:rPr>
      </w:pPr>
      <w:r w:rsidRPr="009011C4">
        <w:rPr>
          <w:lang w:val="en-US"/>
        </w:rPr>
        <w:t>Although they have the highest approval percentage, the difference is marginal and not statistically significant in this dataset.</w:t>
      </w:r>
    </w:p>
    <w:p w14:paraId="762F4F8C" w14:textId="77777777" w:rsidR="009011C4" w:rsidRDefault="009011C4">
      <w:pPr>
        <w:rPr>
          <w:lang w:val="en-US"/>
        </w:rPr>
      </w:pPr>
    </w:p>
    <w:p w14:paraId="0B72F277" w14:textId="2A8064E6" w:rsidR="0045166D" w:rsidRDefault="0045166D" w:rsidP="00553D16">
      <w:pPr>
        <w:pStyle w:val="Heading2"/>
        <w:rPr>
          <w:lang w:val="en-US"/>
        </w:rPr>
      </w:pPr>
      <w:r>
        <w:rPr>
          <w:lang w:val="en-US"/>
        </w:rPr>
        <w:t xml:space="preserve">Analysis of the Income </w:t>
      </w:r>
      <w:r w:rsidR="00553D16">
        <w:rPr>
          <w:lang w:val="en-US"/>
        </w:rPr>
        <w:t>G</w:t>
      </w:r>
      <w:r>
        <w:rPr>
          <w:lang w:val="en-US"/>
        </w:rPr>
        <w:t>roup charts</w:t>
      </w:r>
    </w:p>
    <w:p w14:paraId="37FBE852" w14:textId="3D78D803" w:rsidR="0045166D" w:rsidRPr="0045166D" w:rsidRDefault="0045166D" w:rsidP="0045166D">
      <w:pPr>
        <w:rPr>
          <w:lang w:val="en-US"/>
        </w:rPr>
      </w:pPr>
      <w:r w:rsidRPr="0045166D">
        <w:rPr>
          <w:lang w:val="en-US"/>
        </w:rPr>
        <w:t>Key Observations:</w:t>
      </w:r>
    </w:p>
    <w:p w14:paraId="560C55D3" w14:textId="77777777" w:rsidR="0045166D" w:rsidRPr="0045166D" w:rsidRDefault="0045166D" w:rsidP="0045166D">
      <w:pPr>
        <w:rPr>
          <w:lang w:val="en-US"/>
        </w:rPr>
      </w:pPr>
      <w:r w:rsidRPr="0045166D">
        <w:rPr>
          <w:lang w:val="en-US"/>
        </w:rPr>
        <w:t>0-20k Income Group:</w:t>
      </w:r>
    </w:p>
    <w:p w14:paraId="324556CC" w14:textId="77777777" w:rsidR="0045166D" w:rsidRPr="0045166D" w:rsidRDefault="0045166D" w:rsidP="0045166D">
      <w:pPr>
        <w:rPr>
          <w:lang w:val="en-US"/>
        </w:rPr>
      </w:pPr>
      <w:r w:rsidRPr="0045166D">
        <w:rPr>
          <w:lang w:val="en-US"/>
        </w:rPr>
        <w:t>Significantly more approved applications than denied ones.</w:t>
      </w:r>
    </w:p>
    <w:p w14:paraId="291F8D1A" w14:textId="77777777" w:rsidR="0045166D" w:rsidRPr="0045166D" w:rsidRDefault="0045166D" w:rsidP="0045166D">
      <w:pPr>
        <w:rPr>
          <w:lang w:val="en-US"/>
        </w:rPr>
      </w:pPr>
      <w:r w:rsidRPr="0045166D">
        <w:rPr>
          <w:lang w:val="en-US"/>
        </w:rPr>
        <w:t>Represents the highest approval rate compared to other groups.</w:t>
      </w:r>
    </w:p>
    <w:p w14:paraId="3A74F2BE" w14:textId="77777777" w:rsidR="0045166D" w:rsidRPr="0045166D" w:rsidRDefault="0045166D" w:rsidP="0045166D">
      <w:pPr>
        <w:rPr>
          <w:lang w:val="en-US"/>
        </w:rPr>
      </w:pPr>
      <w:r w:rsidRPr="0045166D">
        <w:rPr>
          <w:lang w:val="en-US"/>
        </w:rPr>
        <w:t>20k-40k Income Group:</w:t>
      </w:r>
    </w:p>
    <w:p w14:paraId="339123C3" w14:textId="77777777" w:rsidR="0045166D" w:rsidRPr="0045166D" w:rsidRDefault="0045166D" w:rsidP="0045166D">
      <w:pPr>
        <w:rPr>
          <w:lang w:val="en-US"/>
        </w:rPr>
      </w:pPr>
      <w:r w:rsidRPr="0045166D">
        <w:rPr>
          <w:lang w:val="en-US"/>
        </w:rPr>
        <w:t>Denials dominate this group, with a smaller but notable number of approvals.</w:t>
      </w:r>
    </w:p>
    <w:p w14:paraId="6215C748" w14:textId="77777777" w:rsidR="0045166D" w:rsidRPr="0045166D" w:rsidRDefault="0045166D" w:rsidP="0045166D">
      <w:pPr>
        <w:rPr>
          <w:lang w:val="en-US"/>
        </w:rPr>
      </w:pPr>
      <w:r w:rsidRPr="0045166D">
        <w:rPr>
          <w:lang w:val="en-US"/>
        </w:rPr>
        <w:t>40k-60k Income Group:</w:t>
      </w:r>
    </w:p>
    <w:p w14:paraId="788AEE05" w14:textId="77777777" w:rsidR="0045166D" w:rsidRPr="0045166D" w:rsidRDefault="0045166D" w:rsidP="0045166D">
      <w:pPr>
        <w:rPr>
          <w:lang w:val="en-US"/>
        </w:rPr>
      </w:pPr>
      <w:r w:rsidRPr="0045166D">
        <w:rPr>
          <w:lang w:val="en-US"/>
        </w:rPr>
        <w:t>Denials continue to outnumber approvals by a significant margin.</w:t>
      </w:r>
    </w:p>
    <w:p w14:paraId="04DA1FFE" w14:textId="77777777" w:rsidR="0045166D" w:rsidRPr="0045166D" w:rsidRDefault="0045166D" w:rsidP="0045166D">
      <w:pPr>
        <w:rPr>
          <w:lang w:val="en-US"/>
        </w:rPr>
      </w:pPr>
      <w:r w:rsidRPr="0045166D">
        <w:rPr>
          <w:lang w:val="en-US"/>
        </w:rPr>
        <w:t>60k-80k Income Group:</w:t>
      </w:r>
    </w:p>
    <w:p w14:paraId="3F0A1596" w14:textId="77777777" w:rsidR="0045166D" w:rsidRPr="0045166D" w:rsidRDefault="0045166D" w:rsidP="0045166D">
      <w:pPr>
        <w:rPr>
          <w:lang w:val="en-US"/>
        </w:rPr>
      </w:pPr>
      <w:r w:rsidRPr="0045166D">
        <w:rPr>
          <w:lang w:val="en-US"/>
        </w:rPr>
        <w:t>Very few approvals and a sharp increase in the number of denials compared to the previous group.</w:t>
      </w:r>
    </w:p>
    <w:p w14:paraId="00EAEBD2" w14:textId="77777777" w:rsidR="0045166D" w:rsidRPr="0045166D" w:rsidRDefault="0045166D" w:rsidP="0045166D">
      <w:pPr>
        <w:rPr>
          <w:lang w:val="en-US"/>
        </w:rPr>
      </w:pPr>
      <w:r w:rsidRPr="0045166D">
        <w:rPr>
          <w:lang w:val="en-US"/>
        </w:rPr>
        <w:t>80k-100k Income Group:</w:t>
      </w:r>
    </w:p>
    <w:p w14:paraId="4F657FF9" w14:textId="77777777" w:rsidR="0045166D" w:rsidRPr="0045166D" w:rsidRDefault="0045166D" w:rsidP="0045166D">
      <w:pPr>
        <w:rPr>
          <w:lang w:val="en-US"/>
        </w:rPr>
      </w:pPr>
      <w:r w:rsidRPr="0045166D">
        <w:rPr>
          <w:lang w:val="en-US"/>
        </w:rPr>
        <w:t>The trend of denials dominating approvals is most pronounced in this group, showing the largest discrepancy.</w:t>
      </w:r>
    </w:p>
    <w:p w14:paraId="03EB6581" w14:textId="77777777" w:rsidR="0045166D" w:rsidRPr="0045166D" w:rsidRDefault="0045166D" w:rsidP="0045166D">
      <w:pPr>
        <w:rPr>
          <w:lang w:val="en-US"/>
        </w:rPr>
      </w:pPr>
      <w:r w:rsidRPr="0045166D">
        <w:rPr>
          <w:lang w:val="en-US"/>
        </w:rPr>
        <w:t>Insights:</w:t>
      </w:r>
    </w:p>
    <w:p w14:paraId="78A1AFF8" w14:textId="77777777" w:rsidR="0045166D" w:rsidRPr="0045166D" w:rsidRDefault="0045166D" w:rsidP="0045166D">
      <w:pPr>
        <w:rPr>
          <w:lang w:val="en-US"/>
        </w:rPr>
      </w:pPr>
      <w:r w:rsidRPr="0045166D">
        <w:rPr>
          <w:lang w:val="en-US"/>
        </w:rPr>
        <w:t>Applicants in the 0-20k income group have the highest absolute number of approvals, likely due to fewer risks associated with their loans or potentially smaller loan requests.</w:t>
      </w:r>
    </w:p>
    <w:p w14:paraId="6DE8C071" w14:textId="77777777" w:rsidR="0045166D" w:rsidRPr="0045166D" w:rsidRDefault="0045166D" w:rsidP="0045166D">
      <w:pPr>
        <w:rPr>
          <w:lang w:val="en-US"/>
        </w:rPr>
      </w:pPr>
      <w:r w:rsidRPr="0045166D">
        <w:rPr>
          <w:lang w:val="en-US"/>
        </w:rPr>
        <w:t>Approval numbers consistently drop as income increases, which might seem counterintuitive and may warrant deeper exploration of other factors influencing these trends (e.g., credit score, loan amount).</w:t>
      </w:r>
    </w:p>
    <w:p w14:paraId="152B98ED" w14:textId="77777777" w:rsidR="0045166D" w:rsidRPr="0045166D" w:rsidRDefault="0045166D" w:rsidP="0045166D">
      <w:pPr>
        <w:rPr>
          <w:lang w:val="en-US"/>
        </w:rPr>
      </w:pPr>
    </w:p>
    <w:p w14:paraId="5E0EC05C" w14:textId="2E177A6D" w:rsidR="0045166D" w:rsidRPr="0045166D" w:rsidRDefault="0045166D" w:rsidP="0045166D">
      <w:pPr>
        <w:rPr>
          <w:lang w:val="en-US"/>
        </w:rPr>
      </w:pPr>
      <w:r w:rsidRPr="0045166D">
        <w:rPr>
          <w:lang w:val="en-US"/>
        </w:rPr>
        <w:t>Key Observations:</w:t>
      </w:r>
    </w:p>
    <w:p w14:paraId="76F67D55" w14:textId="77777777" w:rsidR="0045166D" w:rsidRPr="0045166D" w:rsidRDefault="0045166D" w:rsidP="0045166D">
      <w:pPr>
        <w:rPr>
          <w:lang w:val="en-US"/>
        </w:rPr>
      </w:pPr>
      <w:r w:rsidRPr="0045166D">
        <w:rPr>
          <w:lang w:val="en-US"/>
        </w:rPr>
        <w:t>0-20k Income Group:</w:t>
      </w:r>
    </w:p>
    <w:p w14:paraId="69332601" w14:textId="77777777" w:rsidR="0045166D" w:rsidRPr="0045166D" w:rsidRDefault="0045166D" w:rsidP="0045166D">
      <w:pPr>
        <w:rPr>
          <w:lang w:val="en-US"/>
        </w:rPr>
      </w:pPr>
      <w:r w:rsidRPr="0045166D">
        <w:rPr>
          <w:lang w:val="en-US"/>
        </w:rPr>
        <w:t>83.4% approved and only 16.6% denied—the highest approval rate across all income groups.</w:t>
      </w:r>
    </w:p>
    <w:p w14:paraId="6A45E594" w14:textId="77777777" w:rsidR="0045166D" w:rsidRPr="0045166D" w:rsidRDefault="0045166D" w:rsidP="0045166D">
      <w:pPr>
        <w:rPr>
          <w:lang w:val="en-US"/>
        </w:rPr>
      </w:pPr>
      <w:r w:rsidRPr="0045166D">
        <w:rPr>
          <w:lang w:val="en-US"/>
        </w:rPr>
        <w:t>20k-40k Income Group:</w:t>
      </w:r>
    </w:p>
    <w:p w14:paraId="16854A37" w14:textId="77777777" w:rsidR="0045166D" w:rsidRPr="0045166D" w:rsidRDefault="0045166D" w:rsidP="0045166D">
      <w:pPr>
        <w:rPr>
          <w:lang w:val="en-US"/>
        </w:rPr>
      </w:pPr>
      <w:r w:rsidRPr="0045166D">
        <w:rPr>
          <w:lang w:val="en-US"/>
        </w:rPr>
        <w:t>Approval percentage drops sharply to 41.5%, with 58.5% denied.</w:t>
      </w:r>
    </w:p>
    <w:p w14:paraId="127CE598" w14:textId="77777777" w:rsidR="0045166D" w:rsidRPr="0045166D" w:rsidRDefault="0045166D" w:rsidP="0045166D">
      <w:pPr>
        <w:rPr>
          <w:lang w:val="en-US"/>
        </w:rPr>
      </w:pPr>
      <w:r w:rsidRPr="0045166D">
        <w:rPr>
          <w:lang w:val="en-US"/>
        </w:rPr>
        <w:t>40k-60k Income Group:</w:t>
      </w:r>
    </w:p>
    <w:p w14:paraId="5C80A1E1" w14:textId="77777777" w:rsidR="0045166D" w:rsidRPr="0045166D" w:rsidRDefault="0045166D" w:rsidP="0045166D">
      <w:pPr>
        <w:rPr>
          <w:lang w:val="en-US"/>
        </w:rPr>
      </w:pPr>
      <w:r w:rsidRPr="0045166D">
        <w:rPr>
          <w:lang w:val="en-US"/>
        </w:rPr>
        <w:t>Approval percentage continues to decline to 25.8%, with denials making up 74.2% of applications.</w:t>
      </w:r>
    </w:p>
    <w:p w14:paraId="4DCF0E47" w14:textId="77777777" w:rsidR="0045166D" w:rsidRPr="0045166D" w:rsidRDefault="0045166D" w:rsidP="0045166D">
      <w:pPr>
        <w:rPr>
          <w:lang w:val="en-US"/>
        </w:rPr>
      </w:pPr>
      <w:r w:rsidRPr="0045166D">
        <w:rPr>
          <w:lang w:val="en-US"/>
        </w:rPr>
        <w:t>60k-80k Income Group:</w:t>
      </w:r>
    </w:p>
    <w:p w14:paraId="1B6395F5" w14:textId="77777777" w:rsidR="0045166D" w:rsidRPr="0045166D" w:rsidRDefault="0045166D" w:rsidP="0045166D">
      <w:pPr>
        <w:rPr>
          <w:lang w:val="en-US"/>
        </w:rPr>
      </w:pPr>
      <w:r w:rsidRPr="0045166D">
        <w:rPr>
          <w:lang w:val="en-US"/>
        </w:rPr>
        <w:t>Approval rate further drops to 18.3%, with 81.7% denied.</w:t>
      </w:r>
    </w:p>
    <w:p w14:paraId="567C9B83" w14:textId="77777777" w:rsidR="0045166D" w:rsidRPr="0045166D" w:rsidRDefault="0045166D" w:rsidP="0045166D">
      <w:pPr>
        <w:rPr>
          <w:lang w:val="en-US"/>
        </w:rPr>
      </w:pPr>
      <w:r w:rsidRPr="0045166D">
        <w:rPr>
          <w:lang w:val="en-US"/>
        </w:rPr>
        <w:t>80k-100k Income Group:</w:t>
      </w:r>
    </w:p>
    <w:p w14:paraId="0566E3AF" w14:textId="77777777" w:rsidR="0045166D" w:rsidRPr="0045166D" w:rsidRDefault="0045166D" w:rsidP="0045166D">
      <w:pPr>
        <w:rPr>
          <w:lang w:val="en-US"/>
        </w:rPr>
      </w:pPr>
      <w:r w:rsidRPr="0045166D">
        <w:rPr>
          <w:lang w:val="en-US"/>
        </w:rPr>
        <w:t>The lowest approval rate at 15.2%, with the highest denial rate at 84.8%.</w:t>
      </w:r>
    </w:p>
    <w:p w14:paraId="5739640D" w14:textId="77777777" w:rsidR="0045166D" w:rsidRPr="0045166D" w:rsidRDefault="0045166D" w:rsidP="0045166D">
      <w:pPr>
        <w:rPr>
          <w:lang w:val="en-US"/>
        </w:rPr>
      </w:pPr>
      <w:r w:rsidRPr="0045166D">
        <w:rPr>
          <w:lang w:val="en-US"/>
        </w:rPr>
        <w:t>Insights:</w:t>
      </w:r>
    </w:p>
    <w:p w14:paraId="4FC01865" w14:textId="77777777" w:rsidR="0045166D" w:rsidRPr="0045166D" w:rsidRDefault="0045166D" w:rsidP="0045166D">
      <w:pPr>
        <w:rPr>
          <w:lang w:val="en-US"/>
        </w:rPr>
      </w:pPr>
      <w:r w:rsidRPr="0045166D">
        <w:rPr>
          <w:lang w:val="en-US"/>
        </w:rPr>
        <w:t>Approval rates decrease steadily as income increases, while denial rates increase. This could indicate that higher-income applicants are applying for larger loans or riskier terms that are more likely to be denied.</w:t>
      </w:r>
    </w:p>
    <w:p w14:paraId="732D57DA" w14:textId="57352D4B" w:rsidR="0045166D" w:rsidRPr="0045166D" w:rsidRDefault="0045166D" w:rsidP="0045166D">
      <w:pPr>
        <w:rPr>
          <w:lang w:val="en-US"/>
        </w:rPr>
      </w:pPr>
      <w:r w:rsidRPr="0045166D">
        <w:rPr>
          <w:lang w:val="en-US"/>
        </w:rPr>
        <w:t>The 0-20k income group stands out with an extremely high approval rate, which could be due to smaller loan requests or other factors that make them less risky to lenders.</w:t>
      </w:r>
    </w:p>
    <w:p w14:paraId="2D903850" w14:textId="77777777" w:rsidR="0045166D" w:rsidRPr="0045166D" w:rsidRDefault="0045166D" w:rsidP="0045166D">
      <w:pPr>
        <w:rPr>
          <w:lang w:val="en-US"/>
        </w:rPr>
      </w:pPr>
      <w:r w:rsidRPr="0045166D">
        <w:rPr>
          <w:lang w:val="en-US"/>
        </w:rPr>
        <w:t>Overall Analysis</w:t>
      </w:r>
    </w:p>
    <w:p w14:paraId="287C3D63" w14:textId="450E7898" w:rsidR="0045166D" w:rsidRPr="0045166D" w:rsidRDefault="0045166D" w:rsidP="0045166D">
      <w:pPr>
        <w:rPr>
          <w:lang w:val="en-US"/>
        </w:rPr>
      </w:pPr>
      <w:r w:rsidRPr="0045166D">
        <w:rPr>
          <w:lang w:val="en-US"/>
        </w:rPr>
        <w:t>Approval Trends:</w:t>
      </w:r>
    </w:p>
    <w:p w14:paraId="414BCF5D" w14:textId="77777777" w:rsidR="0045166D" w:rsidRPr="0045166D" w:rsidRDefault="0045166D" w:rsidP="0045166D">
      <w:pPr>
        <w:rPr>
          <w:lang w:val="en-US"/>
        </w:rPr>
      </w:pPr>
      <w:r w:rsidRPr="0045166D">
        <w:rPr>
          <w:lang w:val="en-US"/>
        </w:rPr>
        <w:t>Contrary to typical expectations, higher-income groups are not favored for loan approvals. This suggests that factors other than income, such as loan amount requested, credit history, or previous defaults, might play a more significant role in approval decisions.</w:t>
      </w:r>
    </w:p>
    <w:p w14:paraId="145EF8CE" w14:textId="77777777" w:rsidR="0045166D" w:rsidRPr="0045166D" w:rsidRDefault="0045166D" w:rsidP="0045166D">
      <w:pPr>
        <w:rPr>
          <w:lang w:val="en-US"/>
        </w:rPr>
      </w:pPr>
      <w:r w:rsidRPr="0045166D">
        <w:rPr>
          <w:lang w:val="en-US"/>
        </w:rPr>
        <w:t>Significance of the 0-20k Group:</w:t>
      </w:r>
    </w:p>
    <w:p w14:paraId="1A7BBE65" w14:textId="77777777" w:rsidR="0045166D" w:rsidRPr="0045166D" w:rsidRDefault="0045166D" w:rsidP="0045166D">
      <w:pPr>
        <w:rPr>
          <w:lang w:val="en-US"/>
        </w:rPr>
      </w:pPr>
    </w:p>
    <w:p w14:paraId="1843EE14" w14:textId="77777777" w:rsidR="0045166D" w:rsidRPr="0045166D" w:rsidRDefault="0045166D" w:rsidP="0045166D">
      <w:pPr>
        <w:rPr>
          <w:lang w:val="en-US"/>
        </w:rPr>
      </w:pPr>
      <w:r w:rsidRPr="0045166D">
        <w:rPr>
          <w:lang w:val="en-US"/>
        </w:rPr>
        <w:t>This group has the highest approval rate, possibly because their loan applications are more modest or align better with lender expectations.</w:t>
      </w:r>
    </w:p>
    <w:p w14:paraId="0B7A0582" w14:textId="1C5D5EE7" w:rsidR="0045166D" w:rsidRPr="0045166D" w:rsidRDefault="0045166D" w:rsidP="0045166D">
      <w:pPr>
        <w:rPr>
          <w:lang w:val="en-US"/>
        </w:rPr>
      </w:pPr>
      <w:r w:rsidRPr="0045166D">
        <w:rPr>
          <w:lang w:val="en-US"/>
        </w:rPr>
        <w:t>Potential Bias Against Higher-Income Groups:</w:t>
      </w:r>
    </w:p>
    <w:p w14:paraId="633200E7" w14:textId="77777777" w:rsidR="0045166D" w:rsidRPr="0045166D" w:rsidRDefault="0045166D" w:rsidP="0045166D">
      <w:pPr>
        <w:rPr>
          <w:lang w:val="en-US"/>
        </w:rPr>
      </w:pPr>
      <w:r w:rsidRPr="0045166D">
        <w:rPr>
          <w:lang w:val="en-US"/>
        </w:rPr>
        <w:lastRenderedPageBreak/>
        <w:t>The steep decline in approval rates for higher-income groups may indicate that lenders perceive these applicants as higher-risk, potentially due to larger loan amounts or financial liabilities not reflected in the income figures.</w:t>
      </w:r>
    </w:p>
    <w:p w14:paraId="5CE003BF" w14:textId="77777777" w:rsidR="0045166D" w:rsidRDefault="0045166D">
      <w:pPr>
        <w:rPr>
          <w:lang w:val="en-US"/>
        </w:rPr>
      </w:pPr>
    </w:p>
    <w:p w14:paraId="629A538A" w14:textId="46D61730" w:rsidR="00793019" w:rsidRDefault="00793019" w:rsidP="00793019">
      <w:pPr>
        <w:pStyle w:val="Heading2"/>
        <w:rPr>
          <w:lang w:val="en-US"/>
        </w:rPr>
      </w:pPr>
      <w:r>
        <w:rPr>
          <w:lang w:val="en-US"/>
        </w:rPr>
        <w:t xml:space="preserve">Analysis of the </w:t>
      </w:r>
      <w:r>
        <w:rPr>
          <w:lang w:val="en-US"/>
        </w:rPr>
        <w:t xml:space="preserve">Home Ownership </w:t>
      </w:r>
      <w:r>
        <w:rPr>
          <w:lang w:val="en-US"/>
        </w:rPr>
        <w:t>chart</w:t>
      </w:r>
    </w:p>
    <w:p w14:paraId="38EDE2EE" w14:textId="3FD3FDD0" w:rsidR="00793019" w:rsidRPr="00793019" w:rsidRDefault="00793019" w:rsidP="00793019">
      <w:pPr>
        <w:rPr>
          <w:lang w:val="en-US"/>
        </w:rPr>
      </w:pPr>
      <w:r w:rsidRPr="00793019">
        <w:rPr>
          <w:lang w:val="en-US"/>
        </w:rPr>
        <w:t>The chart presents the loan approval and denial rates categorized by the type of home ownership. It is a stacked bar chart where the red segments represent denied loans and the green segments represent approved loans. Here is a detailed analysis:</w:t>
      </w:r>
    </w:p>
    <w:p w14:paraId="19279384" w14:textId="77777777" w:rsidR="00793019" w:rsidRPr="00793019" w:rsidRDefault="00793019" w:rsidP="00793019">
      <w:pPr>
        <w:rPr>
          <w:lang w:val="en-US"/>
        </w:rPr>
      </w:pPr>
      <w:r w:rsidRPr="00793019">
        <w:rPr>
          <w:lang w:val="en-US"/>
        </w:rPr>
        <w:t>1. General Trends</w:t>
      </w:r>
    </w:p>
    <w:p w14:paraId="1E52DFBC" w14:textId="77777777" w:rsidR="00793019" w:rsidRPr="00793019" w:rsidRDefault="00793019" w:rsidP="00793019">
      <w:pPr>
        <w:rPr>
          <w:lang w:val="en-US"/>
        </w:rPr>
      </w:pPr>
      <w:r w:rsidRPr="00793019">
        <w:rPr>
          <w:lang w:val="en-US"/>
        </w:rPr>
        <w:t>Across all home ownership categories, the proportion of denied loans (red) is consistently higher than approved loans (green).</w:t>
      </w:r>
    </w:p>
    <w:p w14:paraId="6C5DEC49" w14:textId="77777777" w:rsidR="00793019" w:rsidRPr="00793019" w:rsidRDefault="00793019" w:rsidP="00793019">
      <w:pPr>
        <w:rPr>
          <w:lang w:val="en-US"/>
        </w:rPr>
      </w:pPr>
      <w:r w:rsidRPr="00793019">
        <w:rPr>
          <w:lang w:val="en-US"/>
        </w:rPr>
        <w:t>The denial rates vary significantly depending on the type of home ownership.</w:t>
      </w:r>
    </w:p>
    <w:p w14:paraId="6A3EA72D" w14:textId="77777777" w:rsidR="00793019" w:rsidRPr="00793019" w:rsidRDefault="00793019" w:rsidP="00793019">
      <w:pPr>
        <w:rPr>
          <w:lang w:val="en-US"/>
        </w:rPr>
      </w:pPr>
      <w:r w:rsidRPr="00793019">
        <w:rPr>
          <w:lang w:val="en-US"/>
        </w:rPr>
        <w:t>2. Breakdown by Home Ownership Categories</w:t>
      </w:r>
    </w:p>
    <w:p w14:paraId="00A05087" w14:textId="77777777" w:rsidR="00793019" w:rsidRPr="00793019" w:rsidRDefault="00793019" w:rsidP="00793019">
      <w:pPr>
        <w:rPr>
          <w:lang w:val="en-US"/>
        </w:rPr>
      </w:pPr>
      <w:r w:rsidRPr="00793019">
        <w:rPr>
          <w:lang w:val="en-US"/>
        </w:rPr>
        <w:t>Mortgage:</w:t>
      </w:r>
    </w:p>
    <w:p w14:paraId="213E0317" w14:textId="77777777" w:rsidR="00793019" w:rsidRPr="00793019" w:rsidRDefault="00793019" w:rsidP="00793019">
      <w:pPr>
        <w:rPr>
          <w:lang w:val="en-US"/>
        </w:rPr>
      </w:pPr>
      <w:r w:rsidRPr="00793019">
        <w:rPr>
          <w:lang w:val="en-US"/>
        </w:rPr>
        <w:t>Denial Rate: 88.4%</w:t>
      </w:r>
    </w:p>
    <w:p w14:paraId="63095E19" w14:textId="77777777" w:rsidR="00793019" w:rsidRPr="00793019" w:rsidRDefault="00793019" w:rsidP="00793019">
      <w:pPr>
        <w:rPr>
          <w:lang w:val="en-US"/>
        </w:rPr>
      </w:pPr>
      <w:r w:rsidRPr="00793019">
        <w:rPr>
          <w:lang w:val="en-US"/>
        </w:rPr>
        <w:t>Approval Rate: 11.6%</w:t>
      </w:r>
    </w:p>
    <w:p w14:paraId="796BDB21" w14:textId="77777777" w:rsidR="00793019" w:rsidRPr="00793019" w:rsidRDefault="00793019" w:rsidP="00793019">
      <w:pPr>
        <w:rPr>
          <w:lang w:val="en-US"/>
        </w:rPr>
      </w:pPr>
      <w:r w:rsidRPr="00793019">
        <w:rPr>
          <w:lang w:val="en-US"/>
        </w:rPr>
        <w:t>This group experiences one of the highest denial rates, indicating applicants with mortgages are less likely to have their loans approved.</w:t>
      </w:r>
    </w:p>
    <w:p w14:paraId="39C274AE" w14:textId="77777777" w:rsidR="00793019" w:rsidRPr="00793019" w:rsidRDefault="00793019" w:rsidP="00793019">
      <w:pPr>
        <w:rPr>
          <w:lang w:val="en-US"/>
        </w:rPr>
      </w:pPr>
      <w:r w:rsidRPr="00793019">
        <w:rPr>
          <w:lang w:val="en-US"/>
        </w:rPr>
        <w:t>Other:</w:t>
      </w:r>
    </w:p>
    <w:p w14:paraId="7402FC11" w14:textId="77777777" w:rsidR="00793019" w:rsidRPr="00793019" w:rsidRDefault="00793019" w:rsidP="00793019">
      <w:pPr>
        <w:rPr>
          <w:lang w:val="en-US"/>
        </w:rPr>
      </w:pPr>
      <w:r w:rsidRPr="00793019">
        <w:rPr>
          <w:lang w:val="en-US"/>
        </w:rPr>
        <w:t>Denial Rate: 66.7%</w:t>
      </w:r>
    </w:p>
    <w:p w14:paraId="318D159B" w14:textId="77777777" w:rsidR="00793019" w:rsidRPr="00793019" w:rsidRDefault="00793019" w:rsidP="00793019">
      <w:pPr>
        <w:rPr>
          <w:lang w:val="en-US"/>
        </w:rPr>
      </w:pPr>
      <w:r w:rsidRPr="00793019">
        <w:rPr>
          <w:lang w:val="en-US"/>
        </w:rPr>
        <w:t>Approval Rate: 33.3%</w:t>
      </w:r>
    </w:p>
    <w:p w14:paraId="0C82B7D9" w14:textId="77777777" w:rsidR="00793019" w:rsidRPr="00793019" w:rsidRDefault="00793019" w:rsidP="00793019">
      <w:pPr>
        <w:rPr>
          <w:lang w:val="en-US"/>
        </w:rPr>
      </w:pPr>
      <w:r w:rsidRPr="00793019">
        <w:rPr>
          <w:lang w:val="en-US"/>
        </w:rPr>
        <w:t>This category shows a relatively better approval rate compared to others, with one-third of the applicants having their loans approved.</w:t>
      </w:r>
    </w:p>
    <w:p w14:paraId="0DD3BFD3" w14:textId="77777777" w:rsidR="00793019" w:rsidRPr="00793019" w:rsidRDefault="00793019" w:rsidP="00793019">
      <w:pPr>
        <w:rPr>
          <w:lang w:val="en-US"/>
        </w:rPr>
      </w:pPr>
      <w:r w:rsidRPr="00793019">
        <w:rPr>
          <w:lang w:val="en-US"/>
        </w:rPr>
        <w:t>Own:</w:t>
      </w:r>
    </w:p>
    <w:p w14:paraId="0F72B9C7" w14:textId="77777777" w:rsidR="00793019" w:rsidRPr="00793019" w:rsidRDefault="00793019" w:rsidP="00793019">
      <w:pPr>
        <w:rPr>
          <w:lang w:val="en-US"/>
        </w:rPr>
      </w:pPr>
      <w:r w:rsidRPr="00793019">
        <w:rPr>
          <w:lang w:val="en-US"/>
        </w:rPr>
        <w:t>Denial Rate: 92.5%</w:t>
      </w:r>
    </w:p>
    <w:p w14:paraId="3F4DBCA4" w14:textId="77777777" w:rsidR="00793019" w:rsidRPr="00793019" w:rsidRDefault="00793019" w:rsidP="00793019">
      <w:pPr>
        <w:rPr>
          <w:lang w:val="en-US"/>
        </w:rPr>
      </w:pPr>
      <w:r w:rsidRPr="00793019">
        <w:rPr>
          <w:lang w:val="en-US"/>
        </w:rPr>
        <w:t>Approval Rate: 7.5%</w:t>
      </w:r>
    </w:p>
    <w:p w14:paraId="244AC602" w14:textId="77777777" w:rsidR="00793019" w:rsidRPr="00793019" w:rsidRDefault="00793019" w:rsidP="00793019">
      <w:pPr>
        <w:rPr>
          <w:lang w:val="en-US"/>
        </w:rPr>
      </w:pPr>
      <w:r w:rsidRPr="00793019">
        <w:rPr>
          <w:lang w:val="en-US"/>
        </w:rPr>
        <w:t>The group with the highest denial rate, indicating owning a home outright may not be a significant advantage for loan approval in this dataset.</w:t>
      </w:r>
    </w:p>
    <w:p w14:paraId="639AF9D0" w14:textId="77777777" w:rsidR="00793019" w:rsidRPr="00793019" w:rsidRDefault="00793019" w:rsidP="00793019">
      <w:pPr>
        <w:rPr>
          <w:lang w:val="en-US"/>
        </w:rPr>
      </w:pPr>
      <w:r w:rsidRPr="00793019">
        <w:rPr>
          <w:lang w:val="en-US"/>
        </w:rPr>
        <w:t>Rent:</w:t>
      </w:r>
    </w:p>
    <w:p w14:paraId="4B6E9E84" w14:textId="77777777" w:rsidR="00793019" w:rsidRPr="00793019" w:rsidRDefault="00793019" w:rsidP="00793019">
      <w:pPr>
        <w:rPr>
          <w:lang w:val="en-US"/>
        </w:rPr>
      </w:pPr>
      <w:r w:rsidRPr="00793019">
        <w:rPr>
          <w:lang w:val="en-US"/>
        </w:rPr>
        <w:t>Denial Rate: 67.6%</w:t>
      </w:r>
    </w:p>
    <w:p w14:paraId="6DC414C1" w14:textId="77777777" w:rsidR="00793019" w:rsidRPr="00793019" w:rsidRDefault="00793019" w:rsidP="00793019">
      <w:pPr>
        <w:rPr>
          <w:lang w:val="en-US"/>
        </w:rPr>
      </w:pPr>
      <w:r w:rsidRPr="00793019">
        <w:rPr>
          <w:lang w:val="en-US"/>
        </w:rPr>
        <w:lastRenderedPageBreak/>
        <w:t>Approval Rate: 32.4%</w:t>
      </w:r>
    </w:p>
    <w:p w14:paraId="165D120C" w14:textId="77777777" w:rsidR="00793019" w:rsidRPr="00793019" w:rsidRDefault="00793019" w:rsidP="00793019">
      <w:pPr>
        <w:rPr>
          <w:lang w:val="en-US"/>
        </w:rPr>
      </w:pPr>
      <w:r w:rsidRPr="00793019">
        <w:rPr>
          <w:lang w:val="en-US"/>
        </w:rPr>
        <w:t>Similar to the "Other" category, renters have a relatively higher approval rate compared to mortgage holders and homeowners.</w:t>
      </w:r>
    </w:p>
    <w:p w14:paraId="0B8A196C" w14:textId="77777777" w:rsidR="00793019" w:rsidRPr="00793019" w:rsidRDefault="00793019" w:rsidP="00793019">
      <w:pPr>
        <w:rPr>
          <w:lang w:val="en-US"/>
        </w:rPr>
      </w:pPr>
      <w:r w:rsidRPr="00793019">
        <w:rPr>
          <w:lang w:val="en-US"/>
        </w:rPr>
        <w:t>3. Key Observations</w:t>
      </w:r>
    </w:p>
    <w:p w14:paraId="4BFE0D84" w14:textId="77777777" w:rsidR="00793019" w:rsidRPr="00793019" w:rsidRDefault="00793019" w:rsidP="00793019">
      <w:pPr>
        <w:rPr>
          <w:lang w:val="en-US"/>
        </w:rPr>
      </w:pPr>
      <w:r w:rsidRPr="00793019">
        <w:rPr>
          <w:lang w:val="en-US"/>
        </w:rPr>
        <w:t>Applicants categorized under "Own" face a surprisingly high denial rate (92.5%), which contradicts the general assumption that owning a home outright may lead to better loan approval chances. This may indicate additional underlying factors influencing the decisions.</w:t>
      </w:r>
    </w:p>
    <w:p w14:paraId="6C594D27" w14:textId="77777777" w:rsidR="00793019" w:rsidRPr="00793019" w:rsidRDefault="00793019" w:rsidP="00793019">
      <w:pPr>
        <w:rPr>
          <w:lang w:val="en-US"/>
        </w:rPr>
      </w:pPr>
      <w:r w:rsidRPr="00793019">
        <w:rPr>
          <w:lang w:val="en-US"/>
        </w:rPr>
        <w:t>"Other" and "Rent" categories have the most favorable approval rates, suggesting less stringent criteria for these groups or differences in applicant profiles.</w:t>
      </w:r>
    </w:p>
    <w:p w14:paraId="38F1C6F5" w14:textId="77777777" w:rsidR="00793019" w:rsidRPr="00793019" w:rsidRDefault="00793019" w:rsidP="00793019">
      <w:pPr>
        <w:rPr>
          <w:lang w:val="en-US"/>
        </w:rPr>
      </w:pPr>
      <w:r w:rsidRPr="00793019">
        <w:rPr>
          <w:lang w:val="en-US"/>
        </w:rPr>
        <w:t>Applicants with a mortgage face a lower denial rate compared to those who own their homes outright, which could imply that having a mortgage is less of a deterrent than expected.</w:t>
      </w:r>
    </w:p>
    <w:p w14:paraId="6E03375A" w14:textId="77777777" w:rsidR="00793019" w:rsidRDefault="00793019">
      <w:pPr>
        <w:rPr>
          <w:lang w:val="en-US"/>
        </w:rPr>
      </w:pPr>
    </w:p>
    <w:p w14:paraId="575A49E0" w14:textId="3D8FE7D2" w:rsidR="00E167E2" w:rsidRDefault="00E167E2" w:rsidP="00E167E2">
      <w:pPr>
        <w:pStyle w:val="Heading2"/>
        <w:rPr>
          <w:lang w:val="en-US"/>
        </w:rPr>
      </w:pPr>
      <w:r>
        <w:rPr>
          <w:lang w:val="en-US"/>
        </w:rPr>
        <w:t xml:space="preserve">Analysis of the </w:t>
      </w:r>
      <w:r w:rsidRPr="00E167E2">
        <w:rPr>
          <w:lang w:val="en-US"/>
        </w:rPr>
        <w:t>Loan Approval Status Distribution by Loan Intent</w:t>
      </w:r>
      <w:r>
        <w:rPr>
          <w:lang w:val="en-US"/>
        </w:rPr>
        <w:t xml:space="preserve"> chart</w:t>
      </w:r>
    </w:p>
    <w:p w14:paraId="61132CE1" w14:textId="77777777" w:rsidR="00F743EE" w:rsidRPr="00F743EE" w:rsidRDefault="00F743EE" w:rsidP="00F743EE">
      <w:pPr>
        <w:rPr>
          <w:lang w:val="en-US"/>
        </w:rPr>
      </w:pPr>
      <w:r w:rsidRPr="00F743EE">
        <w:rPr>
          <w:lang w:val="en-US"/>
        </w:rPr>
        <w:t>1. General Trends</w:t>
      </w:r>
    </w:p>
    <w:p w14:paraId="37AD8B41" w14:textId="77777777" w:rsidR="00F743EE" w:rsidRPr="00F743EE" w:rsidRDefault="00F743EE" w:rsidP="00F743EE">
      <w:pPr>
        <w:rPr>
          <w:lang w:val="en-US"/>
        </w:rPr>
      </w:pPr>
      <w:r w:rsidRPr="00F743EE">
        <w:rPr>
          <w:lang w:val="en-US"/>
        </w:rPr>
        <w:t>Across all loan intents, denial rates (red) are higher than approval rates (green), suggesting that approval is generally challenging irrespective of the intent.</w:t>
      </w:r>
    </w:p>
    <w:p w14:paraId="17C41C73" w14:textId="77777777" w:rsidR="00F743EE" w:rsidRPr="00F743EE" w:rsidRDefault="00F743EE" w:rsidP="00F743EE">
      <w:pPr>
        <w:rPr>
          <w:lang w:val="en-US"/>
        </w:rPr>
      </w:pPr>
      <w:r w:rsidRPr="00F743EE">
        <w:rPr>
          <w:lang w:val="en-US"/>
        </w:rPr>
        <w:t>The approval rates vary significantly depending on the purpose of the loan.</w:t>
      </w:r>
    </w:p>
    <w:p w14:paraId="59842777" w14:textId="77777777" w:rsidR="00F743EE" w:rsidRPr="00F743EE" w:rsidRDefault="00F743EE" w:rsidP="00F743EE">
      <w:pPr>
        <w:rPr>
          <w:lang w:val="en-US"/>
        </w:rPr>
      </w:pPr>
      <w:r w:rsidRPr="00F743EE">
        <w:rPr>
          <w:lang w:val="en-US"/>
        </w:rPr>
        <w:t>2. Breakdown by Loan Intent</w:t>
      </w:r>
    </w:p>
    <w:p w14:paraId="78015C15" w14:textId="58D58472" w:rsidR="00F743EE" w:rsidRPr="00F743EE" w:rsidRDefault="00F743EE" w:rsidP="00F743EE">
      <w:pPr>
        <w:rPr>
          <w:lang w:val="en-US"/>
        </w:rPr>
      </w:pPr>
      <w:r w:rsidRPr="00F743EE">
        <w:rPr>
          <w:lang w:val="en-US"/>
        </w:rPr>
        <w:t>Debt Consolidation:</w:t>
      </w:r>
    </w:p>
    <w:p w14:paraId="67369CEB" w14:textId="77777777" w:rsidR="00F743EE" w:rsidRPr="00F743EE" w:rsidRDefault="00F743EE" w:rsidP="00F743EE">
      <w:pPr>
        <w:rPr>
          <w:lang w:val="en-US"/>
        </w:rPr>
      </w:pPr>
      <w:r w:rsidRPr="00F743EE">
        <w:rPr>
          <w:lang w:val="en-US"/>
        </w:rPr>
        <w:t>Approval Rate: 30.3%</w:t>
      </w:r>
    </w:p>
    <w:p w14:paraId="352ED6FD" w14:textId="77777777" w:rsidR="00F743EE" w:rsidRPr="00F743EE" w:rsidRDefault="00F743EE" w:rsidP="00F743EE">
      <w:pPr>
        <w:rPr>
          <w:lang w:val="en-US"/>
        </w:rPr>
      </w:pPr>
      <w:r w:rsidRPr="00F743EE">
        <w:rPr>
          <w:lang w:val="en-US"/>
        </w:rPr>
        <w:t>Denial Rate: 69.7%</w:t>
      </w:r>
    </w:p>
    <w:p w14:paraId="60FA65CD" w14:textId="77777777" w:rsidR="00F743EE" w:rsidRPr="00F743EE" w:rsidRDefault="00F743EE" w:rsidP="00F743EE">
      <w:pPr>
        <w:rPr>
          <w:lang w:val="en-US"/>
        </w:rPr>
      </w:pPr>
      <w:r w:rsidRPr="00F743EE">
        <w:rPr>
          <w:lang w:val="en-US"/>
        </w:rPr>
        <w:t>Among all intents, debt consolidation has the highest approval rate. This indicates that lenders may be more inclined to approve loans intended for consolidating existing debts, possibly viewing it as a step toward better financial management.</w:t>
      </w:r>
    </w:p>
    <w:p w14:paraId="4DF6E368" w14:textId="41B85D06" w:rsidR="00F743EE" w:rsidRPr="00F743EE" w:rsidRDefault="00F743EE" w:rsidP="00F743EE">
      <w:pPr>
        <w:rPr>
          <w:lang w:val="en-US"/>
        </w:rPr>
      </w:pPr>
      <w:r w:rsidRPr="00F743EE">
        <w:rPr>
          <w:lang w:val="en-US"/>
        </w:rPr>
        <w:t>Education:</w:t>
      </w:r>
    </w:p>
    <w:p w14:paraId="137EE8B9" w14:textId="77777777" w:rsidR="00F743EE" w:rsidRPr="00F743EE" w:rsidRDefault="00F743EE" w:rsidP="00F743EE">
      <w:pPr>
        <w:rPr>
          <w:lang w:val="en-US"/>
        </w:rPr>
      </w:pPr>
      <w:r w:rsidRPr="00F743EE">
        <w:rPr>
          <w:lang w:val="en-US"/>
        </w:rPr>
        <w:t>Approval Rate: 17.0%</w:t>
      </w:r>
    </w:p>
    <w:p w14:paraId="06B2BB48" w14:textId="77777777" w:rsidR="00F743EE" w:rsidRPr="00F743EE" w:rsidRDefault="00F743EE" w:rsidP="00F743EE">
      <w:pPr>
        <w:rPr>
          <w:lang w:val="en-US"/>
        </w:rPr>
      </w:pPr>
      <w:r w:rsidRPr="00F743EE">
        <w:rPr>
          <w:lang w:val="en-US"/>
        </w:rPr>
        <w:t>Denial Rate: 83.0%</w:t>
      </w:r>
    </w:p>
    <w:p w14:paraId="11C763DE" w14:textId="77777777" w:rsidR="00F743EE" w:rsidRPr="00F743EE" w:rsidRDefault="00F743EE" w:rsidP="00F743EE">
      <w:pPr>
        <w:rPr>
          <w:lang w:val="en-US"/>
        </w:rPr>
      </w:pPr>
      <w:r w:rsidRPr="00F743EE">
        <w:rPr>
          <w:lang w:val="en-US"/>
        </w:rPr>
        <w:t>Education loans face high denial rates, reflecting the potential uncertainty associated with repayment due to the long-term nature of education investments and possibly low current income levels of applicants.</w:t>
      </w:r>
    </w:p>
    <w:p w14:paraId="574C0CDC" w14:textId="33904BCA" w:rsidR="00F743EE" w:rsidRPr="00F743EE" w:rsidRDefault="00F743EE" w:rsidP="00F743EE">
      <w:pPr>
        <w:rPr>
          <w:lang w:val="en-US"/>
        </w:rPr>
      </w:pPr>
      <w:r w:rsidRPr="00F743EE">
        <w:rPr>
          <w:lang w:val="en-US"/>
        </w:rPr>
        <w:lastRenderedPageBreak/>
        <w:t>Home Improvement:</w:t>
      </w:r>
    </w:p>
    <w:p w14:paraId="1B96430B" w14:textId="77777777" w:rsidR="00F743EE" w:rsidRPr="00F743EE" w:rsidRDefault="00F743EE" w:rsidP="00F743EE">
      <w:pPr>
        <w:rPr>
          <w:lang w:val="en-US"/>
        </w:rPr>
      </w:pPr>
      <w:r w:rsidRPr="00F743EE">
        <w:rPr>
          <w:lang w:val="en-US"/>
        </w:rPr>
        <w:t>Approval Rate: 26.3%</w:t>
      </w:r>
    </w:p>
    <w:p w14:paraId="6E96BEC8" w14:textId="77777777" w:rsidR="00F743EE" w:rsidRPr="00F743EE" w:rsidRDefault="00F743EE" w:rsidP="00F743EE">
      <w:pPr>
        <w:rPr>
          <w:lang w:val="en-US"/>
        </w:rPr>
      </w:pPr>
      <w:r w:rsidRPr="00F743EE">
        <w:rPr>
          <w:lang w:val="en-US"/>
        </w:rPr>
        <w:t>Denial Rate: 73.7%</w:t>
      </w:r>
    </w:p>
    <w:p w14:paraId="2821EAEE" w14:textId="77777777" w:rsidR="00F743EE" w:rsidRPr="00F743EE" w:rsidRDefault="00F743EE" w:rsidP="00F743EE">
      <w:pPr>
        <w:rPr>
          <w:lang w:val="en-US"/>
        </w:rPr>
      </w:pPr>
      <w:r w:rsidRPr="00F743EE">
        <w:rPr>
          <w:lang w:val="en-US"/>
        </w:rPr>
        <w:t>Home improvement loans perform relatively well compared to other categories, likely due to the association of such loans with increasing property value, which may be viewed positively by lenders.</w:t>
      </w:r>
    </w:p>
    <w:p w14:paraId="4EAAEC90" w14:textId="24FA5B61" w:rsidR="00F743EE" w:rsidRPr="00F743EE" w:rsidRDefault="00F743EE" w:rsidP="00F743EE">
      <w:pPr>
        <w:rPr>
          <w:lang w:val="en-US"/>
        </w:rPr>
      </w:pPr>
      <w:r w:rsidRPr="00F743EE">
        <w:rPr>
          <w:lang w:val="en-US"/>
        </w:rPr>
        <w:t>Medical:</w:t>
      </w:r>
    </w:p>
    <w:p w14:paraId="0E4229DB" w14:textId="77777777" w:rsidR="00F743EE" w:rsidRPr="00F743EE" w:rsidRDefault="00F743EE" w:rsidP="00F743EE">
      <w:pPr>
        <w:rPr>
          <w:lang w:val="en-US"/>
        </w:rPr>
      </w:pPr>
      <w:r w:rsidRPr="00F743EE">
        <w:rPr>
          <w:lang w:val="en-US"/>
        </w:rPr>
        <w:t>Approval Rate: 27.8%</w:t>
      </w:r>
    </w:p>
    <w:p w14:paraId="1B4C6C5C" w14:textId="77777777" w:rsidR="00F743EE" w:rsidRPr="00F743EE" w:rsidRDefault="00F743EE" w:rsidP="00F743EE">
      <w:pPr>
        <w:rPr>
          <w:lang w:val="en-US"/>
        </w:rPr>
      </w:pPr>
      <w:r w:rsidRPr="00F743EE">
        <w:rPr>
          <w:lang w:val="en-US"/>
        </w:rPr>
        <w:t>Denial Rate: 72.2%</w:t>
      </w:r>
    </w:p>
    <w:p w14:paraId="5DE5C8EE" w14:textId="77777777" w:rsidR="00F743EE" w:rsidRPr="00F743EE" w:rsidRDefault="00F743EE" w:rsidP="00F743EE">
      <w:pPr>
        <w:rPr>
          <w:lang w:val="en-US"/>
        </w:rPr>
      </w:pPr>
      <w:r w:rsidRPr="00F743EE">
        <w:rPr>
          <w:lang w:val="en-US"/>
        </w:rPr>
        <w:t>Medical loans also exhibit a moderate approval rate. This may be because such loans are often for necessary expenses, and lenders might see a moral obligation to support applicants in these situations.</w:t>
      </w:r>
    </w:p>
    <w:p w14:paraId="492B0C10" w14:textId="73066DAC" w:rsidR="00F743EE" w:rsidRPr="00F743EE" w:rsidRDefault="00F743EE" w:rsidP="00F743EE">
      <w:pPr>
        <w:rPr>
          <w:lang w:val="en-US"/>
        </w:rPr>
      </w:pPr>
      <w:r w:rsidRPr="00F743EE">
        <w:rPr>
          <w:lang w:val="en-US"/>
        </w:rPr>
        <w:t>Personal:</w:t>
      </w:r>
    </w:p>
    <w:p w14:paraId="137A937D" w14:textId="77777777" w:rsidR="00F743EE" w:rsidRPr="00F743EE" w:rsidRDefault="00F743EE" w:rsidP="00F743EE">
      <w:pPr>
        <w:rPr>
          <w:lang w:val="en-US"/>
        </w:rPr>
      </w:pPr>
      <w:r w:rsidRPr="00F743EE">
        <w:rPr>
          <w:lang w:val="en-US"/>
        </w:rPr>
        <w:t>Approval Rate: 20.1%</w:t>
      </w:r>
    </w:p>
    <w:p w14:paraId="6078D56F" w14:textId="77777777" w:rsidR="00F743EE" w:rsidRPr="00F743EE" w:rsidRDefault="00F743EE" w:rsidP="00F743EE">
      <w:pPr>
        <w:rPr>
          <w:lang w:val="en-US"/>
        </w:rPr>
      </w:pPr>
      <w:r w:rsidRPr="00F743EE">
        <w:rPr>
          <w:lang w:val="en-US"/>
        </w:rPr>
        <w:t>Denial Rate: 79.9%</w:t>
      </w:r>
    </w:p>
    <w:p w14:paraId="16A0F7EA" w14:textId="77777777" w:rsidR="00F743EE" w:rsidRPr="00F743EE" w:rsidRDefault="00F743EE" w:rsidP="00F743EE">
      <w:pPr>
        <w:rPr>
          <w:lang w:val="en-US"/>
        </w:rPr>
      </w:pPr>
      <w:r w:rsidRPr="00F743EE">
        <w:rPr>
          <w:lang w:val="en-US"/>
        </w:rPr>
        <w:t>Personal loans show a lower approval rate, as these loans are less tied to specific investments or assets, which could increase the perceived risk for lenders.</w:t>
      </w:r>
    </w:p>
    <w:p w14:paraId="79F1DFD0" w14:textId="58AA50B3" w:rsidR="00F743EE" w:rsidRPr="00F743EE" w:rsidRDefault="00F743EE" w:rsidP="00F743EE">
      <w:pPr>
        <w:rPr>
          <w:lang w:val="en-US"/>
        </w:rPr>
      </w:pPr>
      <w:r w:rsidRPr="00F743EE">
        <w:rPr>
          <w:lang w:val="en-US"/>
        </w:rPr>
        <w:t>Venture:</w:t>
      </w:r>
    </w:p>
    <w:p w14:paraId="4F2435CF" w14:textId="77777777" w:rsidR="00F743EE" w:rsidRPr="00F743EE" w:rsidRDefault="00F743EE" w:rsidP="00F743EE">
      <w:pPr>
        <w:rPr>
          <w:lang w:val="en-US"/>
        </w:rPr>
      </w:pPr>
      <w:r w:rsidRPr="00F743EE">
        <w:rPr>
          <w:lang w:val="en-US"/>
        </w:rPr>
        <w:t>Approval Rate: 14.4%</w:t>
      </w:r>
    </w:p>
    <w:p w14:paraId="3B311ACB" w14:textId="77777777" w:rsidR="00F743EE" w:rsidRPr="00F743EE" w:rsidRDefault="00F743EE" w:rsidP="00F743EE">
      <w:pPr>
        <w:rPr>
          <w:lang w:val="en-US"/>
        </w:rPr>
      </w:pPr>
      <w:r w:rsidRPr="00F743EE">
        <w:rPr>
          <w:lang w:val="en-US"/>
        </w:rPr>
        <w:t>Denial Rate: 85.6%</w:t>
      </w:r>
    </w:p>
    <w:p w14:paraId="65DDBA5B" w14:textId="77777777" w:rsidR="00F743EE" w:rsidRPr="00F743EE" w:rsidRDefault="00F743EE" w:rsidP="00F743EE">
      <w:pPr>
        <w:rPr>
          <w:lang w:val="en-US"/>
        </w:rPr>
      </w:pPr>
      <w:r w:rsidRPr="00F743EE">
        <w:rPr>
          <w:lang w:val="en-US"/>
        </w:rPr>
        <w:t>Loans intended for business ventures have the lowest approval rate, reflecting the high-risk nature of startup and entrepreneurial financing.</w:t>
      </w:r>
    </w:p>
    <w:p w14:paraId="06432262" w14:textId="77777777" w:rsidR="00F743EE" w:rsidRPr="00F743EE" w:rsidRDefault="00F743EE" w:rsidP="00F743EE">
      <w:pPr>
        <w:rPr>
          <w:lang w:val="en-US"/>
        </w:rPr>
      </w:pPr>
      <w:r w:rsidRPr="00F743EE">
        <w:rPr>
          <w:lang w:val="en-US"/>
        </w:rPr>
        <w:t>3. Key Observations</w:t>
      </w:r>
    </w:p>
    <w:p w14:paraId="588ABD9A" w14:textId="77777777" w:rsidR="00F743EE" w:rsidRPr="00F743EE" w:rsidRDefault="00F743EE" w:rsidP="00F743EE">
      <w:pPr>
        <w:rPr>
          <w:lang w:val="en-US"/>
        </w:rPr>
      </w:pPr>
      <w:r w:rsidRPr="00F743EE">
        <w:rPr>
          <w:lang w:val="en-US"/>
        </w:rPr>
        <w:t>Debt Consolidation Stands Out:</w:t>
      </w:r>
    </w:p>
    <w:p w14:paraId="5D989908" w14:textId="77777777" w:rsidR="00F743EE" w:rsidRPr="00F743EE" w:rsidRDefault="00F743EE" w:rsidP="00F743EE">
      <w:pPr>
        <w:rPr>
          <w:lang w:val="en-US"/>
        </w:rPr>
      </w:pPr>
    </w:p>
    <w:p w14:paraId="4233AAD0" w14:textId="77777777" w:rsidR="00F743EE" w:rsidRPr="00F743EE" w:rsidRDefault="00F743EE" w:rsidP="00F743EE">
      <w:pPr>
        <w:rPr>
          <w:lang w:val="en-US"/>
        </w:rPr>
      </w:pPr>
      <w:r w:rsidRPr="00F743EE">
        <w:rPr>
          <w:lang w:val="en-US"/>
        </w:rPr>
        <w:t>It has the highest approval rate, likely because lenders view these loans as part of a strategy to reduce financial liabilities, thus lowering risk.</w:t>
      </w:r>
    </w:p>
    <w:p w14:paraId="76919B9B" w14:textId="698EC3CC" w:rsidR="00F743EE" w:rsidRPr="00F743EE" w:rsidRDefault="00F743EE" w:rsidP="00F743EE">
      <w:pPr>
        <w:rPr>
          <w:lang w:val="en-US"/>
        </w:rPr>
      </w:pPr>
      <w:r w:rsidRPr="00F743EE">
        <w:rPr>
          <w:lang w:val="en-US"/>
        </w:rPr>
        <w:t>High Denial Rates for Education and Ventures:</w:t>
      </w:r>
    </w:p>
    <w:p w14:paraId="4B0B84DD" w14:textId="77777777" w:rsidR="00F743EE" w:rsidRPr="00F743EE" w:rsidRDefault="00F743EE" w:rsidP="00F743EE">
      <w:pPr>
        <w:rPr>
          <w:lang w:val="en-US"/>
        </w:rPr>
      </w:pPr>
      <w:r w:rsidRPr="00F743EE">
        <w:rPr>
          <w:lang w:val="en-US"/>
        </w:rPr>
        <w:t>Education loans are likely denied due to applicants' lower income levels and uncertain future earning potential.</w:t>
      </w:r>
    </w:p>
    <w:p w14:paraId="13F5005C" w14:textId="77777777" w:rsidR="00F743EE" w:rsidRPr="00F743EE" w:rsidRDefault="00F743EE" w:rsidP="00F743EE">
      <w:pPr>
        <w:rPr>
          <w:lang w:val="en-US"/>
        </w:rPr>
      </w:pPr>
      <w:r w:rsidRPr="00F743EE">
        <w:rPr>
          <w:lang w:val="en-US"/>
        </w:rPr>
        <w:lastRenderedPageBreak/>
        <w:t>Venture loans are perceived as the riskiest due to the inherently uncertain nature of startups and new business initiatives.</w:t>
      </w:r>
    </w:p>
    <w:p w14:paraId="6D99407A" w14:textId="18E6CE8D" w:rsidR="00F743EE" w:rsidRPr="00F743EE" w:rsidRDefault="00F743EE" w:rsidP="00F743EE">
      <w:pPr>
        <w:rPr>
          <w:lang w:val="en-US"/>
        </w:rPr>
      </w:pPr>
      <w:r w:rsidRPr="00F743EE">
        <w:rPr>
          <w:lang w:val="en-US"/>
        </w:rPr>
        <w:t>Moderate Performance of Home Improvement and Medical Loans:</w:t>
      </w:r>
    </w:p>
    <w:p w14:paraId="2B4B6EF9" w14:textId="77777777" w:rsidR="00F743EE" w:rsidRPr="00F743EE" w:rsidRDefault="00F743EE" w:rsidP="00F743EE">
      <w:pPr>
        <w:rPr>
          <w:lang w:val="en-US"/>
        </w:rPr>
      </w:pPr>
      <w:r w:rsidRPr="00F743EE">
        <w:rPr>
          <w:lang w:val="en-US"/>
        </w:rPr>
        <w:t>These categories have slightly better approval rates, possibly because they are tied to tangible outcomes (e.g., increased property value, critical medical care).</w:t>
      </w:r>
    </w:p>
    <w:p w14:paraId="07ED1A9B" w14:textId="77777777" w:rsidR="00F743EE" w:rsidRPr="00F743EE" w:rsidRDefault="00F743EE" w:rsidP="00F743EE">
      <w:pPr>
        <w:rPr>
          <w:lang w:val="en-US"/>
        </w:rPr>
      </w:pPr>
      <w:r w:rsidRPr="00F743EE">
        <w:rPr>
          <w:lang w:val="en-US"/>
        </w:rPr>
        <w:t>4. Implications</w:t>
      </w:r>
    </w:p>
    <w:p w14:paraId="2E225F1D" w14:textId="77777777" w:rsidR="00F743EE" w:rsidRPr="00F743EE" w:rsidRDefault="00F743EE" w:rsidP="00F743EE">
      <w:pPr>
        <w:rPr>
          <w:lang w:val="en-US"/>
        </w:rPr>
      </w:pPr>
      <w:r w:rsidRPr="00F743EE">
        <w:rPr>
          <w:lang w:val="en-US"/>
        </w:rPr>
        <w:t>Loan approval decisions are highly sensitive to the intent of the loan, with lenders favoring categories that either reduce financial risk (e.g., debt consolidation) or have tangible outcomes (e.g., home improvement).</w:t>
      </w:r>
    </w:p>
    <w:p w14:paraId="38FD0D32" w14:textId="77A794DA" w:rsidR="00F743EE" w:rsidRDefault="00F743EE" w:rsidP="00F743EE">
      <w:pPr>
        <w:rPr>
          <w:lang w:val="en-US"/>
        </w:rPr>
      </w:pPr>
      <w:r w:rsidRPr="00F743EE">
        <w:rPr>
          <w:lang w:val="en-US"/>
        </w:rPr>
        <w:t>Higher denial rates for personal and venture loans suggest that these intents may benefit from additional collateral, stronger income proofs, or co-signers to improve approval chances.</w:t>
      </w:r>
    </w:p>
    <w:p w14:paraId="7580C181" w14:textId="77777777" w:rsidR="009611B3" w:rsidRDefault="009611B3" w:rsidP="00F743EE">
      <w:pPr>
        <w:rPr>
          <w:lang w:val="en-US"/>
        </w:rPr>
      </w:pPr>
    </w:p>
    <w:p w14:paraId="65A19081" w14:textId="77777777" w:rsidR="009611B3" w:rsidRPr="009611B3" w:rsidRDefault="009611B3" w:rsidP="009611B3">
      <w:pPr>
        <w:pStyle w:val="Heading2"/>
        <w:rPr>
          <w:lang w:val="en-US"/>
        </w:rPr>
      </w:pPr>
      <w:r w:rsidRPr="009611B3">
        <w:rPr>
          <w:lang w:val="en-US"/>
        </w:rPr>
        <w:t>Analysis of the Chart: Loan Approval Status by Credit History Length</w:t>
      </w:r>
    </w:p>
    <w:p w14:paraId="0231836D" w14:textId="77777777" w:rsidR="009611B3" w:rsidRPr="009611B3" w:rsidRDefault="009611B3" w:rsidP="009611B3">
      <w:pPr>
        <w:rPr>
          <w:lang w:val="en-US"/>
        </w:rPr>
      </w:pPr>
      <w:r w:rsidRPr="009611B3">
        <w:rPr>
          <w:lang w:val="en-US"/>
        </w:rPr>
        <w:t>This chart illustrates the percentage of loan approvals (green) and denials (red) based on the length of an applicant's credit history. Each bar represents a specific range of credit history duration, and the percentages are stacked within each bar.</w:t>
      </w:r>
    </w:p>
    <w:p w14:paraId="408BA8EA" w14:textId="77777777" w:rsidR="009611B3" w:rsidRPr="009611B3" w:rsidRDefault="009611B3" w:rsidP="009611B3">
      <w:pPr>
        <w:rPr>
          <w:lang w:val="en-US"/>
        </w:rPr>
      </w:pPr>
    </w:p>
    <w:p w14:paraId="48DBFB51" w14:textId="77777777" w:rsidR="009611B3" w:rsidRPr="009611B3" w:rsidRDefault="009611B3" w:rsidP="009611B3">
      <w:pPr>
        <w:rPr>
          <w:lang w:val="en-US"/>
        </w:rPr>
      </w:pPr>
      <w:r w:rsidRPr="009611B3">
        <w:rPr>
          <w:lang w:val="en-US"/>
        </w:rPr>
        <w:t>1. General Trends</w:t>
      </w:r>
    </w:p>
    <w:p w14:paraId="3A4528E5" w14:textId="77777777" w:rsidR="009611B3" w:rsidRPr="009611B3" w:rsidRDefault="009611B3" w:rsidP="009611B3">
      <w:pPr>
        <w:rPr>
          <w:lang w:val="en-US"/>
        </w:rPr>
      </w:pPr>
      <w:r w:rsidRPr="009611B3">
        <w:rPr>
          <w:lang w:val="en-US"/>
        </w:rPr>
        <w:t>Loan denials (red) dominate across all credit history length groups, with denial rates consistently above 75%.</w:t>
      </w:r>
    </w:p>
    <w:p w14:paraId="0A3EA433" w14:textId="77777777" w:rsidR="009611B3" w:rsidRPr="009611B3" w:rsidRDefault="009611B3" w:rsidP="009611B3">
      <w:pPr>
        <w:rPr>
          <w:lang w:val="en-US"/>
        </w:rPr>
      </w:pPr>
      <w:r w:rsidRPr="009611B3">
        <w:rPr>
          <w:lang w:val="en-US"/>
        </w:rPr>
        <w:t>Loan approval rates (green) slightly decline as the length of credit history increases, but the changes are marginal.</w:t>
      </w:r>
    </w:p>
    <w:p w14:paraId="202DE530" w14:textId="77777777" w:rsidR="009611B3" w:rsidRPr="009611B3" w:rsidRDefault="009611B3" w:rsidP="009611B3">
      <w:pPr>
        <w:rPr>
          <w:lang w:val="en-US"/>
        </w:rPr>
      </w:pPr>
      <w:r w:rsidRPr="009611B3">
        <w:rPr>
          <w:lang w:val="en-US"/>
        </w:rPr>
        <w:t>2. Breakdown by Credit History Length</w:t>
      </w:r>
    </w:p>
    <w:p w14:paraId="1BBE1FCE" w14:textId="77777777" w:rsidR="009611B3" w:rsidRPr="009611B3" w:rsidRDefault="009611B3" w:rsidP="009611B3">
      <w:pPr>
        <w:rPr>
          <w:lang w:val="en-US"/>
        </w:rPr>
      </w:pPr>
      <w:r w:rsidRPr="009611B3">
        <w:rPr>
          <w:lang w:val="en-US"/>
        </w:rPr>
        <w:t>2–4 Years:</w:t>
      </w:r>
    </w:p>
    <w:p w14:paraId="67D6F29B" w14:textId="77777777" w:rsidR="009611B3" w:rsidRPr="009611B3" w:rsidRDefault="009611B3" w:rsidP="009611B3">
      <w:pPr>
        <w:rPr>
          <w:lang w:val="en-US"/>
        </w:rPr>
      </w:pPr>
    </w:p>
    <w:p w14:paraId="3C261D2B" w14:textId="77777777" w:rsidR="009611B3" w:rsidRPr="009611B3" w:rsidRDefault="009611B3" w:rsidP="009611B3">
      <w:pPr>
        <w:rPr>
          <w:lang w:val="en-US"/>
        </w:rPr>
      </w:pPr>
      <w:r w:rsidRPr="009611B3">
        <w:rPr>
          <w:lang w:val="en-US"/>
        </w:rPr>
        <w:t>Approval Rate: 23.2%</w:t>
      </w:r>
    </w:p>
    <w:p w14:paraId="1D39D3F0" w14:textId="77777777" w:rsidR="009611B3" w:rsidRPr="009611B3" w:rsidRDefault="009611B3" w:rsidP="009611B3">
      <w:pPr>
        <w:rPr>
          <w:lang w:val="en-US"/>
        </w:rPr>
      </w:pPr>
      <w:r w:rsidRPr="009611B3">
        <w:rPr>
          <w:lang w:val="en-US"/>
        </w:rPr>
        <w:t>Denial Rate: 76.8%</w:t>
      </w:r>
    </w:p>
    <w:p w14:paraId="4E846572" w14:textId="77777777" w:rsidR="009611B3" w:rsidRPr="009611B3" w:rsidRDefault="009611B3" w:rsidP="009611B3">
      <w:pPr>
        <w:rPr>
          <w:lang w:val="en-US"/>
        </w:rPr>
      </w:pPr>
      <w:r w:rsidRPr="009611B3">
        <w:rPr>
          <w:lang w:val="en-US"/>
        </w:rPr>
        <w:t>Applicants with shorter credit histories have the highest approval rate among the groups, indicating that lenders may consider shorter credit histories more favorably than expected.</w:t>
      </w:r>
    </w:p>
    <w:p w14:paraId="4834964A" w14:textId="77777777" w:rsidR="009611B3" w:rsidRPr="009611B3" w:rsidRDefault="009611B3" w:rsidP="009611B3">
      <w:pPr>
        <w:rPr>
          <w:lang w:val="en-US"/>
        </w:rPr>
      </w:pPr>
      <w:r w:rsidRPr="009611B3">
        <w:rPr>
          <w:lang w:val="en-US"/>
        </w:rPr>
        <w:t>4–6 Years:</w:t>
      </w:r>
    </w:p>
    <w:p w14:paraId="2476607D" w14:textId="77777777" w:rsidR="009611B3" w:rsidRPr="009611B3" w:rsidRDefault="009611B3" w:rsidP="009611B3">
      <w:pPr>
        <w:rPr>
          <w:lang w:val="en-US"/>
        </w:rPr>
      </w:pPr>
    </w:p>
    <w:p w14:paraId="6C605973" w14:textId="77777777" w:rsidR="009611B3" w:rsidRPr="009611B3" w:rsidRDefault="009611B3" w:rsidP="009611B3">
      <w:pPr>
        <w:rPr>
          <w:lang w:val="en-US"/>
        </w:rPr>
      </w:pPr>
      <w:r w:rsidRPr="009611B3">
        <w:rPr>
          <w:lang w:val="en-US"/>
        </w:rPr>
        <w:t>Approval Rate: 22.4%</w:t>
      </w:r>
    </w:p>
    <w:p w14:paraId="475479E7" w14:textId="77777777" w:rsidR="009611B3" w:rsidRPr="009611B3" w:rsidRDefault="009611B3" w:rsidP="009611B3">
      <w:pPr>
        <w:rPr>
          <w:lang w:val="en-US"/>
        </w:rPr>
      </w:pPr>
      <w:r w:rsidRPr="009611B3">
        <w:rPr>
          <w:lang w:val="en-US"/>
        </w:rPr>
        <w:t>Denial Rate: 77.6%</w:t>
      </w:r>
    </w:p>
    <w:p w14:paraId="0ED566C4" w14:textId="77777777" w:rsidR="009611B3" w:rsidRPr="009611B3" w:rsidRDefault="009611B3" w:rsidP="009611B3">
      <w:pPr>
        <w:rPr>
          <w:lang w:val="en-US"/>
        </w:rPr>
      </w:pPr>
      <w:r w:rsidRPr="009611B3">
        <w:rPr>
          <w:lang w:val="en-US"/>
        </w:rPr>
        <w:t>The approval rate drops slightly compared to the 2–4 year group, suggesting that moderate-length credit histories don’t offer much advantage.</w:t>
      </w:r>
    </w:p>
    <w:p w14:paraId="2BD42A7F" w14:textId="77777777" w:rsidR="009611B3" w:rsidRPr="009611B3" w:rsidRDefault="009611B3" w:rsidP="009611B3">
      <w:pPr>
        <w:rPr>
          <w:lang w:val="en-US"/>
        </w:rPr>
      </w:pPr>
      <w:r w:rsidRPr="009611B3">
        <w:rPr>
          <w:lang w:val="en-US"/>
        </w:rPr>
        <w:t>6–8 Years:</w:t>
      </w:r>
    </w:p>
    <w:p w14:paraId="056F13F2" w14:textId="77777777" w:rsidR="009611B3" w:rsidRPr="009611B3" w:rsidRDefault="009611B3" w:rsidP="009611B3">
      <w:pPr>
        <w:rPr>
          <w:lang w:val="en-US"/>
        </w:rPr>
      </w:pPr>
    </w:p>
    <w:p w14:paraId="115CDB2C" w14:textId="77777777" w:rsidR="009611B3" w:rsidRPr="009611B3" w:rsidRDefault="009611B3" w:rsidP="009611B3">
      <w:pPr>
        <w:rPr>
          <w:lang w:val="en-US"/>
        </w:rPr>
      </w:pPr>
      <w:r w:rsidRPr="009611B3">
        <w:rPr>
          <w:lang w:val="en-US"/>
        </w:rPr>
        <w:t>Approval Rate: 21.7%</w:t>
      </w:r>
    </w:p>
    <w:p w14:paraId="3250D990" w14:textId="77777777" w:rsidR="009611B3" w:rsidRPr="009611B3" w:rsidRDefault="009611B3" w:rsidP="009611B3">
      <w:pPr>
        <w:rPr>
          <w:lang w:val="en-US"/>
        </w:rPr>
      </w:pPr>
      <w:r w:rsidRPr="009611B3">
        <w:rPr>
          <w:lang w:val="en-US"/>
        </w:rPr>
        <w:t>Denial Rate: 78.3%</w:t>
      </w:r>
    </w:p>
    <w:p w14:paraId="62B73417" w14:textId="77777777" w:rsidR="009611B3" w:rsidRPr="009611B3" w:rsidRDefault="009611B3" w:rsidP="009611B3">
      <w:pPr>
        <w:rPr>
          <w:lang w:val="en-US"/>
        </w:rPr>
      </w:pPr>
      <w:r w:rsidRPr="009611B3">
        <w:rPr>
          <w:lang w:val="en-US"/>
        </w:rPr>
        <w:t>As credit history length increases, the approval rate continues to decline, hinting at lenders’ preferences for other financial indicators over longer credit histories.</w:t>
      </w:r>
    </w:p>
    <w:p w14:paraId="29563AD6" w14:textId="77777777" w:rsidR="009611B3" w:rsidRPr="009611B3" w:rsidRDefault="009611B3" w:rsidP="009611B3">
      <w:pPr>
        <w:rPr>
          <w:lang w:val="en-US"/>
        </w:rPr>
      </w:pPr>
      <w:r w:rsidRPr="009611B3">
        <w:rPr>
          <w:lang w:val="en-US"/>
        </w:rPr>
        <w:t>8–10 Years:</w:t>
      </w:r>
    </w:p>
    <w:p w14:paraId="6C1BED78" w14:textId="77777777" w:rsidR="009611B3" w:rsidRPr="009611B3" w:rsidRDefault="009611B3" w:rsidP="009611B3">
      <w:pPr>
        <w:rPr>
          <w:lang w:val="en-US"/>
        </w:rPr>
      </w:pPr>
    </w:p>
    <w:p w14:paraId="06720A9C" w14:textId="77777777" w:rsidR="009611B3" w:rsidRPr="009611B3" w:rsidRDefault="009611B3" w:rsidP="009611B3">
      <w:pPr>
        <w:rPr>
          <w:lang w:val="en-US"/>
        </w:rPr>
      </w:pPr>
      <w:r w:rsidRPr="009611B3">
        <w:rPr>
          <w:lang w:val="en-US"/>
        </w:rPr>
        <w:t>Approval Rate: 21.2%</w:t>
      </w:r>
    </w:p>
    <w:p w14:paraId="600DB971" w14:textId="77777777" w:rsidR="009611B3" w:rsidRPr="009611B3" w:rsidRDefault="009611B3" w:rsidP="009611B3">
      <w:pPr>
        <w:rPr>
          <w:lang w:val="en-US"/>
        </w:rPr>
      </w:pPr>
      <w:r w:rsidRPr="009611B3">
        <w:rPr>
          <w:lang w:val="en-US"/>
        </w:rPr>
        <w:t>Denial Rate: 78.8%</w:t>
      </w:r>
    </w:p>
    <w:p w14:paraId="09901BCA" w14:textId="77777777" w:rsidR="009611B3" w:rsidRPr="009611B3" w:rsidRDefault="009611B3" w:rsidP="009611B3">
      <w:pPr>
        <w:rPr>
          <w:lang w:val="en-US"/>
        </w:rPr>
      </w:pPr>
      <w:r w:rsidRPr="009611B3">
        <w:rPr>
          <w:lang w:val="en-US"/>
        </w:rPr>
        <w:t>Denial rates increase marginally, and approval rates drop further, continuing the downward trend with longer credit history lengths.</w:t>
      </w:r>
    </w:p>
    <w:p w14:paraId="7886D1E5" w14:textId="77777777" w:rsidR="009611B3" w:rsidRPr="009611B3" w:rsidRDefault="009611B3" w:rsidP="009611B3">
      <w:pPr>
        <w:rPr>
          <w:lang w:val="en-US"/>
        </w:rPr>
      </w:pPr>
      <w:r w:rsidRPr="009611B3">
        <w:rPr>
          <w:lang w:val="en-US"/>
        </w:rPr>
        <w:t>&gt;10 Years:</w:t>
      </w:r>
    </w:p>
    <w:p w14:paraId="672F4343" w14:textId="77777777" w:rsidR="009611B3" w:rsidRPr="009611B3" w:rsidRDefault="009611B3" w:rsidP="009611B3">
      <w:pPr>
        <w:rPr>
          <w:lang w:val="en-US"/>
        </w:rPr>
      </w:pPr>
    </w:p>
    <w:p w14:paraId="1B3451F6" w14:textId="77777777" w:rsidR="009611B3" w:rsidRPr="009611B3" w:rsidRDefault="009611B3" w:rsidP="009611B3">
      <w:pPr>
        <w:rPr>
          <w:lang w:val="en-US"/>
        </w:rPr>
      </w:pPr>
      <w:r w:rsidRPr="009611B3">
        <w:rPr>
          <w:lang w:val="en-US"/>
        </w:rPr>
        <w:t>Approval Rate: 21.1%</w:t>
      </w:r>
    </w:p>
    <w:p w14:paraId="4138FE11" w14:textId="77777777" w:rsidR="009611B3" w:rsidRPr="009611B3" w:rsidRDefault="009611B3" w:rsidP="009611B3">
      <w:pPr>
        <w:rPr>
          <w:lang w:val="en-US"/>
        </w:rPr>
      </w:pPr>
      <w:r w:rsidRPr="009611B3">
        <w:rPr>
          <w:lang w:val="en-US"/>
        </w:rPr>
        <w:t>Denial Rate: 78.9%</w:t>
      </w:r>
    </w:p>
    <w:p w14:paraId="4277B8C1" w14:textId="77777777" w:rsidR="009611B3" w:rsidRPr="009611B3" w:rsidRDefault="009611B3" w:rsidP="009611B3">
      <w:pPr>
        <w:rPr>
          <w:lang w:val="en-US"/>
        </w:rPr>
      </w:pPr>
      <w:r w:rsidRPr="009611B3">
        <w:rPr>
          <w:lang w:val="en-US"/>
        </w:rPr>
        <w:t>Applicants with the longest credit histories have the lowest approval rate, suggesting diminishing returns for having an extended credit history.</w:t>
      </w:r>
    </w:p>
    <w:p w14:paraId="05F79125" w14:textId="77777777" w:rsidR="009611B3" w:rsidRPr="009611B3" w:rsidRDefault="009611B3" w:rsidP="009611B3">
      <w:pPr>
        <w:rPr>
          <w:lang w:val="en-US"/>
        </w:rPr>
      </w:pPr>
      <w:r w:rsidRPr="009611B3">
        <w:rPr>
          <w:lang w:val="en-US"/>
        </w:rPr>
        <w:t>3. Key Observations</w:t>
      </w:r>
    </w:p>
    <w:p w14:paraId="0587E16E" w14:textId="77777777" w:rsidR="009611B3" w:rsidRPr="009611B3" w:rsidRDefault="009611B3" w:rsidP="009611B3">
      <w:pPr>
        <w:rPr>
          <w:lang w:val="en-US"/>
        </w:rPr>
      </w:pPr>
      <w:r w:rsidRPr="009611B3">
        <w:rPr>
          <w:lang w:val="en-US"/>
        </w:rPr>
        <w:t>No Significant Advantage for Longer Credit Histories:</w:t>
      </w:r>
    </w:p>
    <w:p w14:paraId="48DFFA26" w14:textId="77777777" w:rsidR="009611B3" w:rsidRPr="009611B3" w:rsidRDefault="009611B3" w:rsidP="009611B3">
      <w:pPr>
        <w:rPr>
          <w:lang w:val="en-US"/>
        </w:rPr>
      </w:pPr>
    </w:p>
    <w:p w14:paraId="538C5EB1" w14:textId="77777777" w:rsidR="009611B3" w:rsidRPr="009611B3" w:rsidRDefault="009611B3" w:rsidP="009611B3">
      <w:pPr>
        <w:rPr>
          <w:lang w:val="en-US"/>
        </w:rPr>
      </w:pPr>
      <w:r w:rsidRPr="009611B3">
        <w:rPr>
          <w:lang w:val="en-US"/>
        </w:rPr>
        <w:t>Contrary to expectations, longer credit histories (beyond 4 years) do not substantially improve approval rates. Approval rates are higher for shorter credit histories (2–4 years).</w:t>
      </w:r>
    </w:p>
    <w:p w14:paraId="4B1992CD" w14:textId="77777777" w:rsidR="009611B3" w:rsidRPr="009611B3" w:rsidRDefault="009611B3" w:rsidP="009611B3">
      <w:pPr>
        <w:rPr>
          <w:lang w:val="en-US"/>
        </w:rPr>
      </w:pPr>
      <w:r w:rsidRPr="009611B3">
        <w:rPr>
          <w:lang w:val="en-US"/>
        </w:rPr>
        <w:t>High Denial Rates Across All Groups:</w:t>
      </w:r>
    </w:p>
    <w:p w14:paraId="2F21AEE5" w14:textId="77777777" w:rsidR="009611B3" w:rsidRPr="009611B3" w:rsidRDefault="009611B3" w:rsidP="009611B3">
      <w:pPr>
        <w:rPr>
          <w:lang w:val="en-US"/>
        </w:rPr>
      </w:pPr>
    </w:p>
    <w:p w14:paraId="3A3F5AAA" w14:textId="77777777" w:rsidR="009611B3" w:rsidRPr="009611B3" w:rsidRDefault="009611B3" w:rsidP="009611B3">
      <w:pPr>
        <w:rPr>
          <w:lang w:val="en-US"/>
        </w:rPr>
      </w:pPr>
      <w:r w:rsidRPr="009611B3">
        <w:rPr>
          <w:lang w:val="en-US"/>
        </w:rPr>
        <w:t>The consistent denial rates above 75% for all credit history lengths indicate that other factors, such as credit score, income, or debt-to-income ratio, might play a more decisive role in loan approvals.</w:t>
      </w:r>
    </w:p>
    <w:p w14:paraId="2B85EC93" w14:textId="77777777" w:rsidR="009611B3" w:rsidRPr="009611B3" w:rsidRDefault="009611B3" w:rsidP="009611B3">
      <w:pPr>
        <w:rPr>
          <w:lang w:val="en-US"/>
        </w:rPr>
      </w:pPr>
      <w:r w:rsidRPr="009611B3">
        <w:rPr>
          <w:lang w:val="en-US"/>
        </w:rPr>
        <w:t>Declining Approval Rates:</w:t>
      </w:r>
    </w:p>
    <w:p w14:paraId="4BD17B73" w14:textId="77777777" w:rsidR="009611B3" w:rsidRPr="009611B3" w:rsidRDefault="009611B3" w:rsidP="009611B3">
      <w:pPr>
        <w:rPr>
          <w:lang w:val="en-US"/>
        </w:rPr>
      </w:pPr>
    </w:p>
    <w:p w14:paraId="3E79BF86" w14:textId="77777777" w:rsidR="009611B3" w:rsidRPr="009611B3" w:rsidRDefault="009611B3" w:rsidP="009611B3">
      <w:pPr>
        <w:rPr>
          <w:lang w:val="en-US"/>
        </w:rPr>
      </w:pPr>
      <w:r w:rsidRPr="009611B3">
        <w:rPr>
          <w:lang w:val="en-US"/>
        </w:rPr>
        <w:t>Approval rates drop progressively as credit history length increases, which may reflect underlying trends such as over-reliance on credit or other financial liabilities associated with longer histories.</w:t>
      </w:r>
    </w:p>
    <w:p w14:paraId="5FB53BDD" w14:textId="77777777" w:rsidR="009611B3" w:rsidRPr="009611B3" w:rsidRDefault="009611B3" w:rsidP="009611B3">
      <w:pPr>
        <w:rPr>
          <w:lang w:val="en-US"/>
        </w:rPr>
      </w:pPr>
      <w:r w:rsidRPr="009611B3">
        <w:rPr>
          <w:lang w:val="en-US"/>
        </w:rPr>
        <w:t>4. Implications</w:t>
      </w:r>
    </w:p>
    <w:p w14:paraId="46C6725D" w14:textId="77777777" w:rsidR="009611B3" w:rsidRPr="009611B3" w:rsidRDefault="009611B3" w:rsidP="009611B3">
      <w:pPr>
        <w:rPr>
          <w:lang w:val="en-US"/>
        </w:rPr>
      </w:pPr>
      <w:r w:rsidRPr="009611B3">
        <w:rPr>
          <w:lang w:val="en-US"/>
        </w:rPr>
        <w:t>Length of Credit History Alone Is Not Sufficient:</w:t>
      </w:r>
    </w:p>
    <w:p w14:paraId="461E34E6" w14:textId="77777777" w:rsidR="009611B3" w:rsidRPr="009611B3" w:rsidRDefault="009611B3" w:rsidP="009611B3">
      <w:pPr>
        <w:rPr>
          <w:lang w:val="en-US"/>
        </w:rPr>
      </w:pPr>
    </w:p>
    <w:p w14:paraId="0FE0309A" w14:textId="77777777" w:rsidR="009611B3" w:rsidRPr="009611B3" w:rsidRDefault="009611B3" w:rsidP="009611B3">
      <w:pPr>
        <w:rPr>
          <w:lang w:val="en-US"/>
        </w:rPr>
      </w:pPr>
      <w:r w:rsidRPr="009611B3">
        <w:rPr>
          <w:lang w:val="en-US"/>
        </w:rPr>
        <w:t>The data suggests that simply having a longer credit history is not enough to secure a loan. Lenders likely weigh other factors more heavily, such as the quality and consistency of the credit history (e.g., on-time payments, debt levels).</w:t>
      </w:r>
    </w:p>
    <w:p w14:paraId="26B53DA4" w14:textId="77777777" w:rsidR="009611B3" w:rsidRPr="009611B3" w:rsidRDefault="009611B3" w:rsidP="009611B3">
      <w:pPr>
        <w:rPr>
          <w:lang w:val="en-US"/>
        </w:rPr>
      </w:pPr>
      <w:r w:rsidRPr="009611B3">
        <w:rPr>
          <w:lang w:val="en-US"/>
        </w:rPr>
        <w:t>Shorter Credit Histories Are Not a Barrier:</w:t>
      </w:r>
    </w:p>
    <w:p w14:paraId="120A912D" w14:textId="77777777" w:rsidR="009611B3" w:rsidRPr="009611B3" w:rsidRDefault="009611B3" w:rsidP="009611B3">
      <w:pPr>
        <w:rPr>
          <w:lang w:val="en-US"/>
        </w:rPr>
      </w:pPr>
    </w:p>
    <w:p w14:paraId="10547B45" w14:textId="3A702199" w:rsidR="009611B3" w:rsidRDefault="009611B3" w:rsidP="009611B3">
      <w:pPr>
        <w:rPr>
          <w:lang w:val="en-US"/>
        </w:rPr>
      </w:pPr>
      <w:r w:rsidRPr="009611B3">
        <w:rPr>
          <w:lang w:val="en-US"/>
        </w:rPr>
        <w:t>Applicants with shorter credit histories (2–4 years) have slightly better approval rates, implying that lenders are not overly biased against newer borrowers.</w:t>
      </w:r>
    </w:p>
    <w:p w14:paraId="59AE5E7A" w14:textId="77777777" w:rsidR="00682789" w:rsidRDefault="00682789" w:rsidP="009611B3">
      <w:pPr>
        <w:rPr>
          <w:lang w:val="en-US"/>
        </w:rPr>
      </w:pPr>
    </w:p>
    <w:p w14:paraId="5DB607CE" w14:textId="5AEF4E90" w:rsidR="00682789" w:rsidRDefault="00682789" w:rsidP="00682789">
      <w:pPr>
        <w:pStyle w:val="Heading2"/>
        <w:rPr>
          <w:lang w:val="en-US"/>
        </w:rPr>
      </w:pPr>
      <w:r>
        <w:rPr>
          <w:lang w:val="en-US"/>
        </w:rPr>
        <w:t xml:space="preserve">Analysis of the </w:t>
      </w:r>
      <w:r w:rsidRPr="00682789">
        <w:rPr>
          <w:lang w:val="en-US"/>
        </w:rPr>
        <w:t>Loan Approval Status by Loan Percent Income</w:t>
      </w:r>
      <w:r>
        <w:rPr>
          <w:lang w:val="en-US"/>
        </w:rPr>
        <w:t xml:space="preserve"> chart</w:t>
      </w:r>
    </w:p>
    <w:p w14:paraId="64C35BBB" w14:textId="77777777" w:rsidR="00682789" w:rsidRPr="00682789" w:rsidRDefault="00682789" w:rsidP="00682789">
      <w:pPr>
        <w:rPr>
          <w:lang w:val="en-US"/>
        </w:rPr>
      </w:pPr>
      <w:r w:rsidRPr="00682789">
        <w:rPr>
          <w:lang w:val="en-US"/>
        </w:rPr>
        <w:t>1. General Trends</w:t>
      </w:r>
    </w:p>
    <w:p w14:paraId="35A30E65" w14:textId="77777777" w:rsidR="00682789" w:rsidRPr="00682789" w:rsidRDefault="00682789" w:rsidP="00682789">
      <w:pPr>
        <w:rPr>
          <w:lang w:val="en-US"/>
        </w:rPr>
      </w:pPr>
      <w:r w:rsidRPr="00682789">
        <w:rPr>
          <w:lang w:val="en-US"/>
        </w:rPr>
        <w:t>There is a clear relationship between the loan percent income and the likelihood of loan approval.</w:t>
      </w:r>
    </w:p>
    <w:p w14:paraId="4B6BFD07" w14:textId="77777777" w:rsidR="00682789" w:rsidRPr="00682789" w:rsidRDefault="00682789" w:rsidP="00682789">
      <w:pPr>
        <w:rPr>
          <w:lang w:val="en-US"/>
        </w:rPr>
      </w:pPr>
      <w:r w:rsidRPr="00682789">
        <w:rPr>
          <w:lang w:val="en-US"/>
        </w:rPr>
        <w:t>As the percentage of income that the loan represents increases, the loan denial rate generally rises, especially in lower-income brackets.</w:t>
      </w:r>
    </w:p>
    <w:p w14:paraId="08D6C233" w14:textId="77777777" w:rsidR="00682789" w:rsidRPr="00682789" w:rsidRDefault="00682789" w:rsidP="00682789">
      <w:pPr>
        <w:rPr>
          <w:lang w:val="en-US"/>
        </w:rPr>
      </w:pPr>
      <w:r w:rsidRPr="00682789">
        <w:rPr>
          <w:lang w:val="en-US"/>
        </w:rPr>
        <w:t>Approval rates are significantly higher in the middle ranges of loan percent income (20%-60%).</w:t>
      </w:r>
    </w:p>
    <w:p w14:paraId="31E4CB09" w14:textId="77777777" w:rsidR="00682789" w:rsidRPr="00682789" w:rsidRDefault="00682789" w:rsidP="00682789">
      <w:pPr>
        <w:rPr>
          <w:lang w:val="en-US"/>
        </w:rPr>
      </w:pPr>
      <w:r w:rsidRPr="00682789">
        <w:rPr>
          <w:lang w:val="en-US"/>
        </w:rPr>
        <w:t>2. Breakdown by Loan Percent Income Groups</w:t>
      </w:r>
    </w:p>
    <w:p w14:paraId="314DEE10" w14:textId="77777777" w:rsidR="00682789" w:rsidRPr="00682789" w:rsidRDefault="00682789" w:rsidP="00682789">
      <w:pPr>
        <w:rPr>
          <w:lang w:val="en-US"/>
        </w:rPr>
      </w:pPr>
      <w:r w:rsidRPr="00682789">
        <w:rPr>
          <w:lang w:val="en-US"/>
        </w:rPr>
        <w:t>0–10%:</w:t>
      </w:r>
    </w:p>
    <w:p w14:paraId="15B2B4D5" w14:textId="77777777" w:rsidR="00682789" w:rsidRPr="00682789" w:rsidRDefault="00682789" w:rsidP="00682789">
      <w:pPr>
        <w:rPr>
          <w:lang w:val="en-US"/>
        </w:rPr>
      </w:pPr>
    </w:p>
    <w:p w14:paraId="03CFFAC4" w14:textId="77777777" w:rsidR="00682789" w:rsidRPr="00682789" w:rsidRDefault="00682789" w:rsidP="00682789">
      <w:pPr>
        <w:rPr>
          <w:lang w:val="en-US"/>
        </w:rPr>
      </w:pPr>
      <w:r w:rsidRPr="00682789">
        <w:rPr>
          <w:lang w:val="en-US"/>
        </w:rPr>
        <w:lastRenderedPageBreak/>
        <w:t>Approval Rate: 11.8%</w:t>
      </w:r>
    </w:p>
    <w:p w14:paraId="5CD3EB32" w14:textId="77777777" w:rsidR="00682789" w:rsidRPr="00682789" w:rsidRDefault="00682789" w:rsidP="00682789">
      <w:pPr>
        <w:rPr>
          <w:lang w:val="en-US"/>
        </w:rPr>
      </w:pPr>
      <w:r w:rsidRPr="00682789">
        <w:rPr>
          <w:lang w:val="en-US"/>
        </w:rPr>
        <w:t>Denial Rate: 88.2%</w:t>
      </w:r>
    </w:p>
    <w:p w14:paraId="48F2CDA2" w14:textId="77777777" w:rsidR="00682789" w:rsidRPr="00682789" w:rsidRDefault="00682789" w:rsidP="00682789">
      <w:pPr>
        <w:rPr>
          <w:lang w:val="en-US"/>
        </w:rPr>
      </w:pPr>
      <w:r w:rsidRPr="00682789">
        <w:rPr>
          <w:lang w:val="en-US"/>
        </w:rPr>
        <w:t>Surprisingly, applicants requesting loans that constitute only 0–10% of their income face the highest denial rates. This could be due to other factors such as poor creditworthiness or other unfavorable financial indicators.</w:t>
      </w:r>
    </w:p>
    <w:p w14:paraId="7351E4A3" w14:textId="416C4898" w:rsidR="00682789" w:rsidRPr="00682789" w:rsidRDefault="00682789" w:rsidP="00682789">
      <w:pPr>
        <w:rPr>
          <w:lang w:val="en-US"/>
        </w:rPr>
      </w:pPr>
      <w:r w:rsidRPr="00682789">
        <w:rPr>
          <w:lang w:val="en-US"/>
        </w:rPr>
        <w:t>10–20%:</w:t>
      </w:r>
    </w:p>
    <w:p w14:paraId="27BD33DB" w14:textId="77777777" w:rsidR="00682789" w:rsidRPr="00682789" w:rsidRDefault="00682789" w:rsidP="00682789">
      <w:pPr>
        <w:rPr>
          <w:lang w:val="en-US"/>
        </w:rPr>
      </w:pPr>
      <w:r w:rsidRPr="00682789">
        <w:rPr>
          <w:lang w:val="en-US"/>
        </w:rPr>
        <w:t>Approval Rate: 16.7%</w:t>
      </w:r>
    </w:p>
    <w:p w14:paraId="207B2F1A" w14:textId="77777777" w:rsidR="00682789" w:rsidRPr="00682789" w:rsidRDefault="00682789" w:rsidP="00682789">
      <w:pPr>
        <w:rPr>
          <w:lang w:val="en-US"/>
        </w:rPr>
      </w:pPr>
      <w:r w:rsidRPr="00682789">
        <w:rPr>
          <w:lang w:val="en-US"/>
        </w:rPr>
        <w:t>Denial Rate: 83.3%</w:t>
      </w:r>
    </w:p>
    <w:p w14:paraId="30CACA6B" w14:textId="77777777" w:rsidR="00682789" w:rsidRPr="00682789" w:rsidRDefault="00682789" w:rsidP="00682789">
      <w:pPr>
        <w:rPr>
          <w:lang w:val="en-US"/>
        </w:rPr>
      </w:pPr>
      <w:r w:rsidRPr="00682789">
        <w:rPr>
          <w:lang w:val="en-US"/>
        </w:rPr>
        <w:t>While marginally better than the 0–10% group, this category still has a high denial rate, which may again point to external factors beyond the loan-to-income ratio.</w:t>
      </w:r>
    </w:p>
    <w:p w14:paraId="78E91EAB" w14:textId="7229D3B2" w:rsidR="00682789" w:rsidRPr="00682789" w:rsidRDefault="00682789" w:rsidP="00682789">
      <w:pPr>
        <w:rPr>
          <w:lang w:val="en-US"/>
        </w:rPr>
      </w:pPr>
      <w:r w:rsidRPr="00682789">
        <w:t>20–30%:</w:t>
      </w:r>
    </w:p>
    <w:p w14:paraId="224A79BD" w14:textId="77777777" w:rsidR="00682789" w:rsidRPr="00682789" w:rsidRDefault="00682789" w:rsidP="00682789">
      <w:pPr>
        <w:rPr>
          <w:lang w:val="en-US"/>
        </w:rPr>
      </w:pPr>
      <w:r w:rsidRPr="00682789">
        <w:rPr>
          <w:lang w:val="en-US"/>
        </w:rPr>
        <w:t>Approval Rate: 39.3%</w:t>
      </w:r>
    </w:p>
    <w:p w14:paraId="1E2D05A1" w14:textId="77777777" w:rsidR="00682789" w:rsidRPr="00682789" w:rsidRDefault="00682789" w:rsidP="00682789">
      <w:pPr>
        <w:rPr>
          <w:lang w:val="en-US"/>
        </w:rPr>
      </w:pPr>
      <w:r w:rsidRPr="00682789">
        <w:rPr>
          <w:lang w:val="en-US"/>
        </w:rPr>
        <w:t>Denial Rate: 60.7%</w:t>
      </w:r>
    </w:p>
    <w:p w14:paraId="403DAD48" w14:textId="77777777" w:rsidR="00682789" w:rsidRPr="00682789" w:rsidRDefault="00682789" w:rsidP="00682789">
      <w:pPr>
        <w:rPr>
          <w:lang w:val="en-US"/>
        </w:rPr>
      </w:pPr>
      <w:r w:rsidRPr="00682789">
        <w:rPr>
          <w:lang w:val="en-US"/>
        </w:rPr>
        <w:t>A notable improvement in approval rates begins here, indicating that this range might represent a more balanced loan-to-income ratio that aligns better with approval criteria.</w:t>
      </w:r>
    </w:p>
    <w:p w14:paraId="00D657AD" w14:textId="49AB4F38" w:rsidR="00682789" w:rsidRPr="00682789" w:rsidRDefault="00682789" w:rsidP="00682789">
      <w:pPr>
        <w:rPr>
          <w:lang w:val="en-US"/>
        </w:rPr>
      </w:pPr>
      <w:r w:rsidRPr="00682789">
        <w:rPr>
          <w:lang w:val="en-US"/>
        </w:rPr>
        <w:t>30–40%:</w:t>
      </w:r>
    </w:p>
    <w:p w14:paraId="39EE32EF" w14:textId="77777777" w:rsidR="00682789" w:rsidRPr="00682789" w:rsidRDefault="00682789" w:rsidP="00682789">
      <w:pPr>
        <w:rPr>
          <w:lang w:val="en-US"/>
        </w:rPr>
      </w:pPr>
      <w:r w:rsidRPr="00682789">
        <w:rPr>
          <w:lang w:val="en-US"/>
        </w:rPr>
        <w:t>Approval Rate: 72.1%</w:t>
      </w:r>
    </w:p>
    <w:p w14:paraId="0224BF50" w14:textId="77777777" w:rsidR="00682789" w:rsidRPr="00682789" w:rsidRDefault="00682789" w:rsidP="00682789">
      <w:pPr>
        <w:rPr>
          <w:lang w:val="en-US"/>
        </w:rPr>
      </w:pPr>
      <w:r w:rsidRPr="00682789">
        <w:rPr>
          <w:lang w:val="en-US"/>
        </w:rPr>
        <w:t>Denial Rate: 27.9%</w:t>
      </w:r>
    </w:p>
    <w:p w14:paraId="56CC1FC0" w14:textId="77777777" w:rsidR="00682789" w:rsidRPr="00682789" w:rsidRDefault="00682789" w:rsidP="00682789">
      <w:pPr>
        <w:rPr>
          <w:lang w:val="en-US"/>
        </w:rPr>
      </w:pPr>
      <w:r w:rsidRPr="00682789">
        <w:rPr>
          <w:lang w:val="en-US"/>
        </w:rPr>
        <w:t>This group shows one of the highest approval rates, suggesting that loans in this range are perceived as affordable by lenders.</w:t>
      </w:r>
    </w:p>
    <w:p w14:paraId="23484969" w14:textId="4C0B056A" w:rsidR="00682789" w:rsidRPr="00682789" w:rsidRDefault="00682789" w:rsidP="00682789">
      <w:pPr>
        <w:rPr>
          <w:lang w:val="en-US"/>
        </w:rPr>
      </w:pPr>
      <w:r w:rsidRPr="00682789">
        <w:rPr>
          <w:lang w:val="en-US"/>
        </w:rPr>
        <w:t>40–50%:</w:t>
      </w:r>
    </w:p>
    <w:p w14:paraId="2734F6B8" w14:textId="77777777" w:rsidR="00682789" w:rsidRPr="00682789" w:rsidRDefault="00682789" w:rsidP="00682789">
      <w:pPr>
        <w:rPr>
          <w:lang w:val="en-US"/>
        </w:rPr>
      </w:pPr>
      <w:r w:rsidRPr="00682789">
        <w:rPr>
          <w:lang w:val="en-US"/>
        </w:rPr>
        <w:t>Approval Rate: 75.6%</w:t>
      </w:r>
    </w:p>
    <w:p w14:paraId="35E9C5D0" w14:textId="77777777" w:rsidR="00682789" w:rsidRPr="00682789" w:rsidRDefault="00682789" w:rsidP="00682789">
      <w:pPr>
        <w:rPr>
          <w:lang w:val="en-US"/>
        </w:rPr>
      </w:pPr>
      <w:r w:rsidRPr="00682789">
        <w:rPr>
          <w:lang w:val="en-US"/>
        </w:rPr>
        <w:t>Denial Rate: 24.4%</w:t>
      </w:r>
    </w:p>
    <w:p w14:paraId="645695A6" w14:textId="77777777" w:rsidR="00682789" w:rsidRPr="00682789" w:rsidRDefault="00682789" w:rsidP="00682789">
      <w:pPr>
        <w:rPr>
          <w:lang w:val="en-US"/>
        </w:rPr>
      </w:pPr>
      <w:r w:rsidRPr="00682789">
        <w:rPr>
          <w:lang w:val="en-US"/>
        </w:rPr>
        <w:t>Similar to the 30–40% group, this range enjoys a high approval rate, reinforcing the notion that loans within 30–50% of income are generally viewed as manageable.</w:t>
      </w:r>
    </w:p>
    <w:p w14:paraId="75F38BD6" w14:textId="5DDB86D4" w:rsidR="00682789" w:rsidRPr="00682789" w:rsidRDefault="00682789" w:rsidP="00682789">
      <w:pPr>
        <w:rPr>
          <w:lang w:val="en-US"/>
        </w:rPr>
      </w:pPr>
      <w:r w:rsidRPr="00682789">
        <w:rPr>
          <w:lang w:val="en-US"/>
        </w:rPr>
        <w:t>50–60%:</w:t>
      </w:r>
    </w:p>
    <w:p w14:paraId="1B488196" w14:textId="77777777" w:rsidR="00682789" w:rsidRPr="00682789" w:rsidRDefault="00682789" w:rsidP="00682789">
      <w:pPr>
        <w:rPr>
          <w:lang w:val="en-US"/>
        </w:rPr>
      </w:pPr>
      <w:r w:rsidRPr="00682789">
        <w:rPr>
          <w:lang w:val="en-US"/>
        </w:rPr>
        <w:t>Approval Rate: 71.9%</w:t>
      </w:r>
    </w:p>
    <w:p w14:paraId="47A0203F" w14:textId="77777777" w:rsidR="00682789" w:rsidRPr="00682789" w:rsidRDefault="00682789" w:rsidP="00682789">
      <w:pPr>
        <w:rPr>
          <w:lang w:val="en-US"/>
        </w:rPr>
      </w:pPr>
      <w:r w:rsidRPr="00682789">
        <w:rPr>
          <w:lang w:val="en-US"/>
        </w:rPr>
        <w:t>Denial Rate: 28.1%</w:t>
      </w:r>
    </w:p>
    <w:p w14:paraId="6501F909" w14:textId="77777777" w:rsidR="00682789" w:rsidRPr="00682789" w:rsidRDefault="00682789" w:rsidP="00682789">
      <w:pPr>
        <w:rPr>
          <w:lang w:val="en-US"/>
        </w:rPr>
      </w:pPr>
      <w:r w:rsidRPr="00682789">
        <w:rPr>
          <w:lang w:val="en-US"/>
        </w:rPr>
        <w:lastRenderedPageBreak/>
        <w:t>Approval rates remain strong but dip slightly compared to the 40–50% group, likely reflecting an increased risk associated with higher loan-to-income ratios.</w:t>
      </w:r>
    </w:p>
    <w:p w14:paraId="17F02C08" w14:textId="49D04C41" w:rsidR="00682789" w:rsidRPr="00682789" w:rsidRDefault="00682789" w:rsidP="00682789">
      <w:pPr>
        <w:rPr>
          <w:lang w:val="en-US"/>
        </w:rPr>
      </w:pPr>
      <w:r w:rsidRPr="00682789">
        <w:rPr>
          <w:lang w:val="en-US"/>
        </w:rPr>
        <w:t>60–70%:</w:t>
      </w:r>
    </w:p>
    <w:p w14:paraId="73D5F7F5" w14:textId="77777777" w:rsidR="00682789" w:rsidRPr="00682789" w:rsidRDefault="00682789" w:rsidP="00682789">
      <w:pPr>
        <w:rPr>
          <w:lang w:val="en-US"/>
        </w:rPr>
      </w:pPr>
      <w:r w:rsidRPr="00682789">
        <w:rPr>
          <w:lang w:val="en-US"/>
        </w:rPr>
        <w:t>Approval Rate: 66.7%</w:t>
      </w:r>
    </w:p>
    <w:p w14:paraId="72967606" w14:textId="77777777" w:rsidR="00682789" w:rsidRPr="00682789" w:rsidRDefault="00682789" w:rsidP="00682789">
      <w:pPr>
        <w:rPr>
          <w:lang w:val="en-US"/>
        </w:rPr>
      </w:pPr>
      <w:r w:rsidRPr="00682789">
        <w:rPr>
          <w:lang w:val="en-US"/>
        </w:rPr>
        <w:t>Denial Rate: 33.3%</w:t>
      </w:r>
    </w:p>
    <w:p w14:paraId="113AC67C" w14:textId="77777777" w:rsidR="00682789" w:rsidRPr="00682789" w:rsidRDefault="00682789" w:rsidP="00682789">
      <w:pPr>
        <w:rPr>
          <w:lang w:val="en-US"/>
        </w:rPr>
      </w:pPr>
      <w:r w:rsidRPr="00682789">
        <w:rPr>
          <w:lang w:val="en-US"/>
        </w:rPr>
        <w:t>Approval rates begin to decline as loan amounts become a larger proportion of income.</w:t>
      </w:r>
    </w:p>
    <w:p w14:paraId="16DD31BB" w14:textId="77777777" w:rsidR="00682789" w:rsidRPr="00682789" w:rsidRDefault="00682789" w:rsidP="00682789">
      <w:pPr>
        <w:rPr>
          <w:lang w:val="en-US"/>
        </w:rPr>
      </w:pPr>
      <w:r w:rsidRPr="00682789">
        <w:rPr>
          <w:lang w:val="en-US"/>
        </w:rPr>
        <w:t>3. Key Observations</w:t>
      </w:r>
    </w:p>
    <w:p w14:paraId="5524D115" w14:textId="570A4044" w:rsidR="00682789" w:rsidRPr="00682789" w:rsidRDefault="00682789" w:rsidP="00682789">
      <w:pPr>
        <w:rPr>
          <w:lang w:val="en-US"/>
        </w:rPr>
      </w:pPr>
      <w:r w:rsidRPr="00682789">
        <w:rPr>
          <w:lang w:val="en-US"/>
        </w:rPr>
        <w:t>Counterintuitive Denial Rates at Lower Loan Percentages:</w:t>
      </w:r>
    </w:p>
    <w:p w14:paraId="0075EF3F" w14:textId="77777777" w:rsidR="00682789" w:rsidRPr="00682789" w:rsidRDefault="00682789" w:rsidP="00682789">
      <w:pPr>
        <w:rPr>
          <w:lang w:val="en-US"/>
        </w:rPr>
      </w:pPr>
      <w:r w:rsidRPr="00682789">
        <w:rPr>
          <w:lang w:val="en-US"/>
        </w:rPr>
        <w:t>Applicants in the 0–10% and 10–20% income groups face surprisingly high denial rates. This may be influenced by:</w:t>
      </w:r>
    </w:p>
    <w:p w14:paraId="4767E47B" w14:textId="77777777" w:rsidR="00682789" w:rsidRPr="00682789" w:rsidRDefault="00682789" w:rsidP="00682789">
      <w:pPr>
        <w:rPr>
          <w:lang w:val="en-US"/>
        </w:rPr>
      </w:pPr>
      <w:r w:rsidRPr="00682789">
        <w:rPr>
          <w:lang w:val="en-US"/>
        </w:rPr>
        <w:t>Poor credit histories.</w:t>
      </w:r>
    </w:p>
    <w:p w14:paraId="77B51D0C" w14:textId="77777777" w:rsidR="00682789" w:rsidRPr="00682789" w:rsidRDefault="00682789" w:rsidP="00682789">
      <w:pPr>
        <w:rPr>
          <w:lang w:val="en-US"/>
        </w:rPr>
      </w:pPr>
      <w:r w:rsidRPr="00682789">
        <w:rPr>
          <w:lang w:val="en-US"/>
        </w:rPr>
        <w:t>Low income despite the low loan request amount.</w:t>
      </w:r>
    </w:p>
    <w:p w14:paraId="7A283CE8" w14:textId="77777777" w:rsidR="00682789" w:rsidRPr="00682789" w:rsidRDefault="00682789" w:rsidP="00682789">
      <w:pPr>
        <w:rPr>
          <w:lang w:val="en-US"/>
        </w:rPr>
      </w:pPr>
      <w:r w:rsidRPr="00682789">
        <w:rPr>
          <w:lang w:val="en-US"/>
        </w:rPr>
        <w:t>Other unfavorable financial metrics not reflected in the loan percent income alone.</w:t>
      </w:r>
    </w:p>
    <w:p w14:paraId="74A2B4B9" w14:textId="3F5044B3" w:rsidR="00682789" w:rsidRPr="00682789" w:rsidRDefault="00682789" w:rsidP="00682789">
      <w:pPr>
        <w:rPr>
          <w:lang w:val="en-US"/>
        </w:rPr>
      </w:pPr>
      <w:r w:rsidRPr="00682789">
        <w:rPr>
          <w:lang w:val="en-US"/>
        </w:rPr>
        <w:t>Optimal Approval Ranges:</w:t>
      </w:r>
    </w:p>
    <w:p w14:paraId="20FC086F" w14:textId="77777777" w:rsidR="00682789" w:rsidRPr="00682789" w:rsidRDefault="00682789" w:rsidP="00682789">
      <w:pPr>
        <w:rPr>
          <w:lang w:val="en-US"/>
        </w:rPr>
      </w:pPr>
      <w:r w:rsidRPr="00682789">
        <w:rPr>
          <w:lang w:val="en-US"/>
        </w:rPr>
        <w:t>Loan amounts that are 20–50% of income appear to strike a balance between affordability and lender risk, yielding the highest approval rates.</w:t>
      </w:r>
    </w:p>
    <w:p w14:paraId="3ED437CD" w14:textId="05685242" w:rsidR="00682789" w:rsidRPr="00682789" w:rsidRDefault="00682789" w:rsidP="00682789">
      <w:pPr>
        <w:rPr>
          <w:lang w:val="en-US"/>
        </w:rPr>
      </w:pPr>
      <w:r w:rsidRPr="00682789">
        <w:rPr>
          <w:lang w:val="en-US"/>
        </w:rPr>
        <w:t>Declining Approval Rates Beyond 50%:</w:t>
      </w:r>
    </w:p>
    <w:p w14:paraId="6E6D87EA" w14:textId="77777777" w:rsidR="00682789" w:rsidRPr="00682789" w:rsidRDefault="00682789" w:rsidP="00682789">
      <w:pPr>
        <w:rPr>
          <w:lang w:val="en-US"/>
        </w:rPr>
      </w:pPr>
      <w:r w:rsidRPr="00682789">
        <w:rPr>
          <w:lang w:val="en-US"/>
        </w:rPr>
        <w:t>As the loan percent income exceeds 50%, approval rates begin to drop, reflecting lender concerns about the borrower’s ability to manage repayment alongside existing financial obligations.</w:t>
      </w:r>
    </w:p>
    <w:p w14:paraId="7B04110B" w14:textId="77777777" w:rsidR="00682789" w:rsidRPr="00682789" w:rsidRDefault="00682789" w:rsidP="00682789">
      <w:pPr>
        <w:rPr>
          <w:lang w:val="en-US"/>
        </w:rPr>
      </w:pPr>
      <w:r w:rsidRPr="00682789">
        <w:rPr>
          <w:lang w:val="en-US"/>
        </w:rPr>
        <w:t>4. Implications</w:t>
      </w:r>
    </w:p>
    <w:p w14:paraId="660EC8B5" w14:textId="77777777" w:rsidR="00682789" w:rsidRPr="00682789" w:rsidRDefault="00682789" w:rsidP="00682789">
      <w:pPr>
        <w:rPr>
          <w:lang w:val="en-US"/>
        </w:rPr>
      </w:pPr>
      <w:r w:rsidRPr="00682789">
        <w:rPr>
          <w:lang w:val="en-US"/>
        </w:rPr>
        <w:t>The relationship between loan percent income and approval status is not linear, suggesting that other factors (e.g., credit score, employment stability, existing debt) heavily influence approval decisions.</w:t>
      </w:r>
    </w:p>
    <w:p w14:paraId="6036AF61" w14:textId="77777777" w:rsidR="00682789" w:rsidRPr="00682789" w:rsidRDefault="00682789" w:rsidP="00682789">
      <w:pPr>
        <w:rPr>
          <w:lang w:val="en-US"/>
        </w:rPr>
      </w:pPr>
      <w:r w:rsidRPr="00682789">
        <w:rPr>
          <w:lang w:val="en-US"/>
        </w:rPr>
        <w:t>Lower approval rates at both ends of the spectrum (0–10% and &gt;60%) highlight that both excessively conservative and ambitious loan requests are viewed less favorably.</w:t>
      </w:r>
    </w:p>
    <w:p w14:paraId="2CF2FE19" w14:textId="77777777" w:rsidR="00682789" w:rsidRPr="00682789" w:rsidRDefault="00682789" w:rsidP="00682789">
      <w:pPr>
        <w:rPr>
          <w:lang w:val="en-US"/>
        </w:rPr>
      </w:pPr>
    </w:p>
    <w:p w14:paraId="09C3E0BE" w14:textId="77777777" w:rsidR="00F400B1" w:rsidRPr="00F400B1" w:rsidRDefault="00F400B1" w:rsidP="00F400B1">
      <w:pPr>
        <w:pStyle w:val="Heading2"/>
        <w:rPr>
          <w:lang w:val="en-US"/>
        </w:rPr>
      </w:pPr>
      <w:r w:rsidRPr="00F400B1">
        <w:rPr>
          <w:lang w:val="en-US"/>
        </w:rPr>
        <w:t>Analysis of Feature Importances in Predicting Loan Approval</w:t>
      </w:r>
    </w:p>
    <w:p w14:paraId="7DE18F7F" w14:textId="4C42E276" w:rsidR="00F400B1" w:rsidRPr="00F400B1" w:rsidRDefault="00F400B1" w:rsidP="00F400B1">
      <w:pPr>
        <w:rPr>
          <w:lang w:val="en-US"/>
        </w:rPr>
      </w:pPr>
      <w:r w:rsidRPr="00F400B1">
        <w:rPr>
          <w:lang w:val="en-US"/>
        </w:rPr>
        <w:t xml:space="preserve">This visualization and table depict the relative importance of various features in determining loan approval outcomes. The features are ranked based on their </w:t>
      </w:r>
      <w:r w:rsidRPr="00F400B1">
        <w:rPr>
          <w:lang w:val="en-US"/>
        </w:rPr>
        <w:lastRenderedPageBreak/>
        <w:t>importance percentage, with higher values indicating greater influence on the predictive model. Here’s a detailed analysis:</w:t>
      </w:r>
    </w:p>
    <w:p w14:paraId="514AE6A8" w14:textId="77777777" w:rsidR="00F400B1" w:rsidRPr="00F400B1" w:rsidRDefault="00F400B1" w:rsidP="00F400B1">
      <w:pPr>
        <w:rPr>
          <w:lang w:val="en-US"/>
        </w:rPr>
      </w:pPr>
      <w:r w:rsidRPr="00F400B1">
        <w:rPr>
          <w:lang w:val="en-US"/>
        </w:rPr>
        <w:t>1. Key Observations</w:t>
      </w:r>
    </w:p>
    <w:p w14:paraId="5A44D53B" w14:textId="3CF69C0A" w:rsidR="00F400B1" w:rsidRPr="00F400B1" w:rsidRDefault="00F400B1" w:rsidP="00F400B1">
      <w:pPr>
        <w:rPr>
          <w:lang w:val="en-US"/>
        </w:rPr>
      </w:pPr>
      <w:r w:rsidRPr="00F400B1">
        <w:rPr>
          <w:lang w:val="en-US"/>
        </w:rPr>
        <w:t>Dominant Importance of Previous Loan Defaults:</w:t>
      </w:r>
    </w:p>
    <w:p w14:paraId="1DB50E3B" w14:textId="77777777" w:rsidR="00F400B1" w:rsidRPr="00F400B1" w:rsidRDefault="00F400B1" w:rsidP="00F400B1">
      <w:pPr>
        <w:rPr>
          <w:lang w:val="en-US"/>
        </w:rPr>
      </w:pPr>
      <w:r w:rsidRPr="00F400B1">
        <w:rPr>
          <w:lang w:val="en-US"/>
        </w:rPr>
        <w:t>The feature Previous_Loan_Defaults stands out as the most critical determinant, accounting for 77.28% of the importance.</w:t>
      </w:r>
    </w:p>
    <w:p w14:paraId="45EFA016" w14:textId="77777777" w:rsidR="00F400B1" w:rsidRPr="00F400B1" w:rsidRDefault="00F400B1" w:rsidP="00F400B1">
      <w:pPr>
        <w:rPr>
          <w:lang w:val="en-US"/>
        </w:rPr>
      </w:pPr>
      <w:r w:rsidRPr="00F400B1">
        <w:rPr>
          <w:lang w:val="en-US"/>
        </w:rPr>
        <w:t>This indicates that the history of loan defaults is overwhelmingly influential in predicting loan approval. Applicants with prior defaults likely face significantly higher rejection rates.</w:t>
      </w:r>
    </w:p>
    <w:p w14:paraId="06965C06" w14:textId="5BCCF6EF" w:rsidR="00F400B1" w:rsidRPr="00F400B1" w:rsidRDefault="00F400B1" w:rsidP="00F400B1">
      <w:pPr>
        <w:rPr>
          <w:lang w:val="en-US"/>
        </w:rPr>
      </w:pPr>
      <w:r w:rsidRPr="00F400B1">
        <w:rPr>
          <w:lang w:val="en-US"/>
        </w:rPr>
        <w:t>Person Home Ownership:</w:t>
      </w:r>
    </w:p>
    <w:p w14:paraId="5154F5EB" w14:textId="77777777" w:rsidR="00F400B1" w:rsidRPr="00F400B1" w:rsidRDefault="00F400B1" w:rsidP="00F400B1">
      <w:pPr>
        <w:rPr>
          <w:lang w:val="en-US"/>
        </w:rPr>
      </w:pPr>
      <w:r w:rsidRPr="00F400B1">
        <w:rPr>
          <w:lang w:val="en-US"/>
        </w:rPr>
        <w:t>Person_Home_Ownership ranks second, contributing 17.47% to the model's predictive power.</w:t>
      </w:r>
    </w:p>
    <w:p w14:paraId="436B2ADD" w14:textId="77777777" w:rsidR="00F400B1" w:rsidRPr="00F400B1" w:rsidRDefault="00F400B1" w:rsidP="00F400B1">
      <w:pPr>
        <w:rPr>
          <w:lang w:val="en-US"/>
        </w:rPr>
      </w:pPr>
      <w:r w:rsidRPr="00F400B1">
        <w:rPr>
          <w:lang w:val="en-US"/>
        </w:rPr>
        <w:t>This suggests that the type of home ownership (e.g., rent, mortgage, own) plays a substantial role in influencing loan decisions, possibly due to its correlation with financial stability and collateral availability.</w:t>
      </w:r>
    </w:p>
    <w:p w14:paraId="2E1FCD4D" w14:textId="612A1DB7" w:rsidR="00F400B1" w:rsidRPr="00F400B1" w:rsidRDefault="00F400B1" w:rsidP="00F400B1">
      <w:pPr>
        <w:rPr>
          <w:lang w:val="en-US"/>
        </w:rPr>
      </w:pPr>
      <w:r w:rsidRPr="00F400B1">
        <w:rPr>
          <w:lang w:val="en-US"/>
        </w:rPr>
        <w:t>Loan Intent:</w:t>
      </w:r>
    </w:p>
    <w:p w14:paraId="1513D95E" w14:textId="77777777" w:rsidR="00F400B1" w:rsidRPr="00F400B1" w:rsidRDefault="00F400B1" w:rsidP="00F400B1">
      <w:pPr>
        <w:rPr>
          <w:lang w:val="en-US"/>
        </w:rPr>
      </w:pPr>
      <w:r w:rsidRPr="00F400B1">
        <w:rPr>
          <w:lang w:val="en-US"/>
        </w:rPr>
        <w:t>Loan_Intent ranks third with 5.30% importance.</w:t>
      </w:r>
    </w:p>
    <w:p w14:paraId="3586BAB0" w14:textId="77777777" w:rsidR="00F400B1" w:rsidRPr="00F400B1" w:rsidRDefault="00F400B1" w:rsidP="00F400B1">
      <w:pPr>
        <w:rPr>
          <w:lang w:val="en-US"/>
        </w:rPr>
      </w:pPr>
      <w:r w:rsidRPr="00F400B1">
        <w:rPr>
          <w:lang w:val="en-US"/>
        </w:rPr>
        <w:t>The purpose of the loan (e.g., education, medical, debt consolidation) moderately impacts approval outcomes, reflecting lender preferences for specific loan intents that align with lower risk profiles.</w:t>
      </w:r>
    </w:p>
    <w:p w14:paraId="0B052098" w14:textId="27C2EF17" w:rsidR="00F400B1" w:rsidRPr="00F400B1" w:rsidRDefault="00F400B1" w:rsidP="00F400B1">
      <w:pPr>
        <w:rPr>
          <w:lang w:val="en-US"/>
        </w:rPr>
      </w:pPr>
      <w:r w:rsidRPr="00F400B1">
        <w:rPr>
          <w:lang w:val="en-US"/>
        </w:rPr>
        <w:t>Negligible Influence of Other Features:</w:t>
      </w:r>
    </w:p>
    <w:p w14:paraId="5EC01898" w14:textId="77777777" w:rsidR="00F400B1" w:rsidRPr="00F400B1" w:rsidRDefault="00F400B1" w:rsidP="00F400B1">
      <w:pPr>
        <w:rPr>
          <w:lang w:val="en-US"/>
        </w:rPr>
      </w:pPr>
      <w:r w:rsidRPr="00F400B1">
        <w:rPr>
          <w:lang w:val="en-US"/>
        </w:rPr>
        <w:t>All remaining features, including Credit_Score, Loan_Amount, and Person_Income, contribute less than 1% each to the model's predictive power.</w:t>
      </w:r>
    </w:p>
    <w:p w14:paraId="0A7C73F6" w14:textId="77777777" w:rsidR="00F400B1" w:rsidRPr="00F400B1" w:rsidRDefault="00F400B1" w:rsidP="00F400B1">
      <w:pPr>
        <w:rPr>
          <w:lang w:val="en-US"/>
        </w:rPr>
      </w:pPr>
      <w:r w:rsidRPr="00F400B1">
        <w:rPr>
          <w:lang w:val="en-US"/>
        </w:rPr>
        <w:t>Surprisingly, Credit_Score, often considered a critical metric for loan decisions, has almost no impact (0.00045%). This suggests that the dataset or lending policies prioritize other factors over credit scores.</w:t>
      </w:r>
    </w:p>
    <w:p w14:paraId="637957B1" w14:textId="77777777" w:rsidR="00F400B1" w:rsidRPr="00F400B1" w:rsidRDefault="00F400B1" w:rsidP="00F400B1">
      <w:pPr>
        <w:rPr>
          <w:lang w:val="en-US"/>
        </w:rPr>
      </w:pPr>
      <w:r w:rsidRPr="00F400B1">
        <w:rPr>
          <w:lang w:val="en-US"/>
        </w:rPr>
        <w:t>2. Implications</w:t>
      </w:r>
    </w:p>
    <w:p w14:paraId="6B9029AF" w14:textId="4CA60486" w:rsidR="00F400B1" w:rsidRPr="00F400B1" w:rsidRDefault="00F400B1" w:rsidP="00F400B1">
      <w:pPr>
        <w:rPr>
          <w:lang w:val="en-US"/>
        </w:rPr>
      </w:pPr>
      <w:r w:rsidRPr="00F400B1">
        <w:rPr>
          <w:lang w:val="en-US"/>
        </w:rPr>
        <w:t>Overwhelming Reliance on Defaults:</w:t>
      </w:r>
    </w:p>
    <w:p w14:paraId="149C126B" w14:textId="77777777" w:rsidR="00F400B1" w:rsidRPr="00F400B1" w:rsidRDefault="00F400B1" w:rsidP="00F400B1">
      <w:pPr>
        <w:rPr>
          <w:lang w:val="en-US"/>
        </w:rPr>
      </w:pPr>
      <w:r w:rsidRPr="00F400B1">
        <w:rPr>
          <w:lang w:val="en-US"/>
        </w:rPr>
        <w:t>Lenders heavily rely on the history of loan defaults, which might overshadow other potentially significant indicators like income or credit score.</w:t>
      </w:r>
    </w:p>
    <w:p w14:paraId="427B3F74" w14:textId="77777777" w:rsidR="00F400B1" w:rsidRPr="00F400B1" w:rsidRDefault="00F400B1" w:rsidP="00F400B1">
      <w:pPr>
        <w:rPr>
          <w:lang w:val="en-US"/>
        </w:rPr>
      </w:pPr>
      <w:r w:rsidRPr="00F400B1">
        <w:rPr>
          <w:lang w:val="en-US"/>
        </w:rPr>
        <w:t>This reliance could lead to challenges for applicants with a past default but an otherwise strong financial profile.</w:t>
      </w:r>
    </w:p>
    <w:p w14:paraId="23A76FD0" w14:textId="4DA63FE6" w:rsidR="00F400B1" w:rsidRPr="00F400B1" w:rsidRDefault="00F400B1" w:rsidP="00F400B1">
      <w:pPr>
        <w:rPr>
          <w:lang w:val="en-US"/>
        </w:rPr>
      </w:pPr>
      <w:r w:rsidRPr="00F400B1">
        <w:rPr>
          <w:lang w:val="en-US"/>
        </w:rPr>
        <w:lastRenderedPageBreak/>
        <w:t>Role of Home Ownership:</w:t>
      </w:r>
    </w:p>
    <w:p w14:paraId="697950AF" w14:textId="77777777" w:rsidR="00F400B1" w:rsidRPr="00F400B1" w:rsidRDefault="00F400B1" w:rsidP="00F400B1">
      <w:pPr>
        <w:rPr>
          <w:lang w:val="en-US"/>
        </w:rPr>
      </w:pPr>
      <w:r w:rsidRPr="00F400B1">
        <w:rPr>
          <w:lang w:val="en-US"/>
        </w:rPr>
        <w:t>The prominence of home ownership underscores its importance as a proxy for financial stability or collateral. Applicants with favorable ownership statuses (e.g., owning a home) are likely viewed as less risky.</w:t>
      </w:r>
    </w:p>
    <w:p w14:paraId="55E36601" w14:textId="7C5B17A0" w:rsidR="00F400B1" w:rsidRPr="00F400B1" w:rsidRDefault="00F400B1" w:rsidP="00F400B1">
      <w:pPr>
        <w:rPr>
          <w:lang w:val="en-US"/>
        </w:rPr>
      </w:pPr>
      <w:r w:rsidRPr="00F400B1">
        <w:rPr>
          <w:lang w:val="en-US"/>
        </w:rPr>
        <w:t>Underuse of Traditional Metrics:</w:t>
      </w:r>
    </w:p>
    <w:p w14:paraId="27E7D017" w14:textId="0FCD28E1" w:rsidR="00682789" w:rsidRPr="00F743EE" w:rsidRDefault="00F400B1" w:rsidP="00F400B1">
      <w:pPr>
        <w:rPr>
          <w:lang w:val="en-US"/>
        </w:rPr>
      </w:pPr>
      <w:r w:rsidRPr="00F400B1">
        <w:rPr>
          <w:lang w:val="en-US"/>
        </w:rPr>
        <w:t>Features like Credit_Score and Person_Income, which are typically considered cornerstones of credit risk assessment, appear underweighted. This may indicate an unconventional or limited dataset or an alternative decision-making approach by lenders.</w:t>
      </w:r>
    </w:p>
    <w:sectPr w:rsidR="00682789" w:rsidRPr="00F74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70C55"/>
    <w:multiLevelType w:val="multilevel"/>
    <w:tmpl w:val="7E504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B7F2D"/>
    <w:multiLevelType w:val="multilevel"/>
    <w:tmpl w:val="5DDAD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092016">
    <w:abstractNumId w:val="0"/>
  </w:num>
  <w:num w:numId="2" w16cid:durableId="109663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F1"/>
    <w:rsid w:val="002D3006"/>
    <w:rsid w:val="002E2664"/>
    <w:rsid w:val="003E28D9"/>
    <w:rsid w:val="003F451A"/>
    <w:rsid w:val="0045166D"/>
    <w:rsid w:val="00553D16"/>
    <w:rsid w:val="00682789"/>
    <w:rsid w:val="00793019"/>
    <w:rsid w:val="009011C4"/>
    <w:rsid w:val="009611B3"/>
    <w:rsid w:val="00A94CA4"/>
    <w:rsid w:val="00B874F4"/>
    <w:rsid w:val="00D214F1"/>
    <w:rsid w:val="00E167E2"/>
    <w:rsid w:val="00F400B1"/>
    <w:rsid w:val="00F63453"/>
    <w:rsid w:val="00F74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5EBE"/>
  <w15:chartTrackingRefBased/>
  <w15:docId w15:val="{D6CC7C3C-5969-481F-AEF6-B477FFFF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1C4"/>
  </w:style>
  <w:style w:type="paragraph" w:styleId="Heading1">
    <w:name w:val="heading 1"/>
    <w:basedOn w:val="Normal"/>
    <w:next w:val="Normal"/>
    <w:link w:val="Heading1Char"/>
    <w:uiPriority w:val="9"/>
    <w:qFormat/>
    <w:rsid w:val="00D2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A94CA4"/>
    <w:pPr>
      <w:spacing w:after="40"/>
    </w:pPr>
    <w:rPr>
      <w:rFonts w:ascii="JetBrains Mono" w:hAnsi="JetBrains Mono"/>
      <w:sz w:val="20"/>
      <w:lang w:val="en-US"/>
    </w:rPr>
  </w:style>
  <w:style w:type="character" w:customStyle="1" w:styleId="Heading1Char">
    <w:name w:val="Heading 1 Char"/>
    <w:basedOn w:val="DefaultParagraphFont"/>
    <w:link w:val="Heading1"/>
    <w:uiPriority w:val="9"/>
    <w:rsid w:val="00D21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4F1"/>
    <w:rPr>
      <w:rFonts w:eastAsiaTheme="majorEastAsia" w:cstheme="majorBidi"/>
      <w:color w:val="272727" w:themeColor="text1" w:themeTint="D8"/>
    </w:rPr>
  </w:style>
  <w:style w:type="paragraph" w:styleId="Title">
    <w:name w:val="Title"/>
    <w:basedOn w:val="Normal"/>
    <w:next w:val="Normal"/>
    <w:link w:val="TitleChar"/>
    <w:uiPriority w:val="10"/>
    <w:qFormat/>
    <w:rsid w:val="00D2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4F1"/>
    <w:pPr>
      <w:spacing w:before="160"/>
      <w:jc w:val="center"/>
    </w:pPr>
    <w:rPr>
      <w:i/>
      <w:iCs/>
      <w:color w:val="404040" w:themeColor="text1" w:themeTint="BF"/>
    </w:rPr>
  </w:style>
  <w:style w:type="character" w:customStyle="1" w:styleId="QuoteChar">
    <w:name w:val="Quote Char"/>
    <w:basedOn w:val="DefaultParagraphFont"/>
    <w:link w:val="Quote"/>
    <w:uiPriority w:val="29"/>
    <w:rsid w:val="00D214F1"/>
    <w:rPr>
      <w:i/>
      <w:iCs/>
      <w:color w:val="404040" w:themeColor="text1" w:themeTint="BF"/>
    </w:rPr>
  </w:style>
  <w:style w:type="paragraph" w:styleId="ListParagraph">
    <w:name w:val="List Paragraph"/>
    <w:basedOn w:val="Normal"/>
    <w:uiPriority w:val="34"/>
    <w:qFormat/>
    <w:rsid w:val="00D214F1"/>
    <w:pPr>
      <w:ind w:left="720"/>
      <w:contextualSpacing/>
    </w:pPr>
  </w:style>
  <w:style w:type="character" w:styleId="IntenseEmphasis">
    <w:name w:val="Intense Emphasis"/>
    <w:basedOn w:val="DefaultParagraphFont"/>
    <w:uiPriority w:val="21"/>
    <w:qFormat/>
    <w:rsid w:val="00D214F1"/>
    <w:rPr>
      <w:i/>
      <w:iCs/>
      <w:color w:val="0F4761" w:themeColor="accent1" w:themeShade="BF"/>
    </w:rPr>
  </w:style>
  <w:style w:type="paragraph" w:styleId="IntenseQuote">
    <w:name w:val="Intense Quote"/>
    <w:basedOn w:val="Normal"/>
    <w:next w:val="Normal"/>
    <w:link w:val="IntenseQuoteChar"/>
    <w:uiPriority w:val="30"/>
    <w:qFormat/>
    <w:rsid w:val="00D2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4F1"/>
    <w:rPr>
      <w:i/>
      <w:iCs/>
      <w:color w:val="0F4761" w:themeColor="accent1" w:themeShade="BF"/>
    </w:rPr>
  </w:style>
  <w:style w:type="character" w:styleId="IntenseReference">
    <w:name w:val="Intense Reference"/>
    <w:basedOn w:val="DefaultParagraphFont"/>
    <w:uiPriority w:val="32"/>
    <w:qFormat/>
    <w:rsid w:val="00D21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0580">
      <w:bodyDiv w:val="1"/>
      <w:marLeft w:val="0"/>
      <w:marRight w:val="0"/>
      <w:marTop w:val="0"/>
      <w:marBottom w:val="0"/>
      <w:divBdr>
        <w:top w:val="none" w:sz="0" w:space="0" w:color="auto"/>
        <w:left w:val="none" w:sz="0" w:space="0" w:color="auto"/>
        <w:bottom w:val="none" w:sz="0" w:space="0" w:color="auto"/>
        <w:right w:val="none" w:sz="0" w:space="0" w:color="auto"/>
      </w:divBdr>
    </w:div>
    <w:div w:id="178931454">
      <w:bodyDiv w:val="1"/>
      <w:marLeft w:val="0"/>
      <w:marRight w:val="0"/>
      <w:marTop w:val="0"/>
      <w:marBottom w:val="0"/>
      <w:divBdr>
        <w:top w:val="none" w:sz="0" w:space="0" w:color="auto"/>
        <w:left w:val="none" w:sz="0" w:space="0" w:color="auto"/>
        <w:bottom w:val="none" w:sz="0" w:space="0" w:color="auto"/>
        <w:right w:val="none" w:sz="0" w:space="0" w:color="auto"/>
      </w:divBdr>
      <w:divsChild>
        <w:div w:id="330110748">
          <w:marLeft w:val="0"/>
          <w:marRight w:val="0"/>
          <w:marTop w:val="0"/>
          <w:marBottom w:val="0"/>
          <w:divBdr>
            <w:top w:val="none" w:sz="0" w:space="0" w:color="auto"/>
            <w:left w:val="none" w:sz="0" w:space="0" w:color="auto"/>
            <w:bottom w:val="none" w:sz="0" w:space="0" w:color="auto"/>
            <w:right w:val="none" w:sz="0" w:space="0" w:color="auto"/>
          </w:divBdr>
          <w:divsChild>
            <w:div w:id="964431532">
              <w:marLeft w:val="0"/>
              <w:marRight w:val="0"/>
              <w:marTop w:val="0"/>
              <w:marBottom w:val="0"/>
              <w:divBdr>
                <w:top w:val="none" w:sz="0" w:space="0" w:color="auto"/>
                <w:left w:val="none" w:sz="0" w:space="0" w:color="auto"/>
                <w:bottom w:val="none" w:sz="0" w:space="0" w:color="auto"/>
                <w:right w:val="none" w:sz="0" w:space="0" w:color="auto"/>
              </w:divBdr>
            </w:div>
            <w:div w:id="1627542549">
              <w:marLeft w:val="0"/>
              <w:marRight w:val="0"/>
              <w:marTop w:val="0"/>
              <w:marBottom w:val="0"/>
              <w:divBdr>
                <w:top w:val="none" w:sz="0" w:space="0" w:color="auto"/>
                <w:left w:val="none" w:sz="0" w:space="0" w:color="auto"/>
                <w:bottom w:val="none" w:sz="0" w:space="0" w:color="auto"/>
                <w:right w:val="none" w:sz="0" w:space="0" w:color="auto"/>
              </w:divBdr>
            </w:div>
            <w:div w:id="1023214102">
              <w:marLeft w:val="0"/>
              <w:marRight w:val="0"/>
              <w:marTop w:val="0"/>
              <w:marBottom w:val="0"/>
              <w:divBdr>
                <w:top w:val="none" w:sz="0" w:space="0" w:color="auto"/>
                <w:left w:val="none" w:sz="0" w:space="0" w:color="auto"/>
                <w:bottom w:val="none" w:sz="0" w:space="0" w:color="auto"/>
                <w:right w:val="none" w:sz="0" w:space="0" w:color="auto"/>
              </w:divBdr>
            </w:div>
            <w:div w:id="2146702853">
              <w:marLeft w:val="0"/>
              <w:marRight w:val="0"/>
              <w:marTop w:val="0"/>
              <w:marBottom w:val="0"/>
              <w:divBdr>
                <w:top w:val="none" w:sz="0" w:space="0" w:color="auto"/>
                <w:left w:val="none" w:sz="0" w:space="0" w:color="auto"/>
                <w:bottom w:val="none" w:sz="0" w:space="0" w:color="auto"/>
                <w:right w:val="none" w:sz="0" w:space="0" w:color="auto"/>
              </w:divBdr>
            </w:div>
            <w:div w:id="1046950106">
              <w:marLeft w:val="0"/>
              <w:marRight w:val="0"/>
              <w:marTop w:val="0"/>
              <w:marBottom w:val="0"/>
              <w:divBdr>
                <w:top w:val="none" w:sz="0" w:space="0" w:color="auto"/>
                <w:left w:val="none" w:sz="0" w:space="0" w:color="auto"/>
                <w:bottom w:val="none" w:sz="0" w:space="0" w:color="auto"/>
                <w:right w:val="none" w:sz="0" w:space="0" w:color="auto"/>
              </w:divBdr>
            </w:div>
            <w:div w:id="925651529">
              <w:marLeft w:val="0"/>
              <w:marRight w:val="0"/>
              <w:marTop w:val="0"/>
              <w:marBottom w:val="0"/>
              <w:divBdr>
                <w:top w:val="none" w:sz="0" w:space="0" w:color="auto"/>
                <w:left w:val="none" w:sz="0" w:space="0" w:color="auto"/>
                <w:bottom w:val="none" w:sz="0" w:space="0" w:color="auto"/>
                <w:right w:val="none" w:sz="0" w:space="0" w:color="auto"/>
              </w:divBdr>
            </w:div>
            <w:div w:id="1384791763">
              <w:marLeft w:val="0"/>
              <w:marRight w:val="0"/>
              <w:marTop w:val="0"/>
              <w:marBottom w:val="0"/>
              <w:divBdr>
                <w:top w:val="none" w:sz="0" w:space="0" w:color="auto"/>
                <w:left w:val="none" w:sz="0" w:space="0" w:color="auto"/>
                <w:bottom w:val="none" w:sz="0" w:space="0" w:color="auto"/>
                <w:right w:val="none" w:sz="0" w:space="0" w:color="auto"/>
              </w:divBdr>
            </w:div>
            <w:div w:id="921909475">
              <w:marLeft w:val="0"/>
              <w:marRight w:val="0"/>
              <w:marTop w:val="0"/>
              <w:marBottom w:val="0"/>
              <w:divBdr>
                <w:top w:val="none" w:sz="0" w:space="0" w:color="auto"/>
                <w:left w:val="none" w:sz="0" w:space="0" w:color="auto"/>
                <w:bottom w:val="none" w:sz="0" w:space="0" w:color="auto"/>
                <w:right w:val="none" w:sz="0" w:space="0" w:color="auto"/>
              </w:divBdr>
            </w:div>
            <w:div w:id="2068414366">
              <w:marLeft w:val="0"/>
              <w:marRight w:val="0"/>
              <w:marTop w:val="0"/>
              <w:marBottom w:val="0"/>
              <w:divBdr>
                <w:top w:val="none" w:sz="0" w:space="0" w:color="auto"/>
                <w:left w:val="none" w:sz="0" w:space="0" w:color="auto"/>
                <w:bottom w:val="none" w:sz="0" w:space="0" w:color="auto"/>
                <w:right w:val="none" w:sz="0" w:space="0" w:color="auto"/>
              </w:divBdr>
            </w:div>
            <w:div w:id="1912618646">
              <w:marLeft w:val="0"/>
              <w:marRight w:val="0"/>
              <w:marTop w:val="0"/>
              <w:marBottom w:val="0"/>
              <w:divBdr>
                <w:top w:val="none" w:sz="0" w:space="0" w:color="auto"/>
                <w:left w:val="none" w:sz="0" w:space="0" w:color="auto"/>
                <w:bottom w:val="none" w:sz="0" w:space="0" w:color="auto"/>
                <w:right w:val="none" w:sz="0" w:space="0" w:color="auto"/>
              </w:divBdr>
            </w:div>
            <w:div w:id="159931849">
              <w:marLeft w:val="0"/>
              <w:marRight w:val="0"/>
              <w:marTop w:val="0"/>
              <w:marBottom w:val="0"/>
              <w:divBdr>
                <w:top w:val="none" w:sz="0" w:space="0" w:color="auto"/>
                <w:left w:val="none" w:sz="0" w:space="0" w:color="auto"/>
                <w:bottom w:val="none" w:sz="0" w:space="0" w:color="auto"/>
                <w:right w:val="none" w:sz="0" w:space="0" w:color="auto"/>
              </w:divBdr>
            </w:div>
            <w:div w:id="2136365661">
              <w:marLeft w:val="0"/>
              <w:marRight w:val="0"/>
              <w:marTop w:val="0"/>
              <w:marBottom w:val="0"/>
              <w:divBdr>
                <w:top w:val="none" w:sz="0" w:space="0" w:color="auto"/>
                <w:left w:val="none" w:sz="0" w:space="0" w:color="auto"/>
                <w:bottom w:val="none" w:sz="0" w:space="0" w:color="auto"/>
                <w:right w:val="none" w:sz="0" w:space="0" w:color="auto"/>
              </w:divBdr>
            </w:div>
            <w:div w:id="922026427">
              <w:marLeft w:val="0"/>
              <w:marRight w:val="0"/>
              <w:marTop w:val="0"/>
              <w:marBottom w:val="0"/>
              <w:divBdr>
                <w:top w:val="none" w:sz="0" w:space="0" w:color="auto"/>
                <w:left w:val="none" w:sz="0" w:space="0" w:color="auto"/>
                <w:bottom w:val="none" w:sz="0" w:space="0" w:color="auto"/>
                <w:right w:val="none" w:sz="0" w:space="0" w:color="auto"/>
              </w:divBdr>
            </w:div>
            <w:div w:id="2075352765">
              <w:marLeft w:val="0"/>
              <w:marRight w:val="0"/>
              <w:marTop w:val="0"/>
              <w:marBottom w:val="0"/>
              <w:divBdr>
                <w:top w:val="none" w:sz="0" w:space="0" w:color="auto"/>
                <w:left w:val="none" w:sz="0" w:space="0" w:color="auto"/>
                <w:bottom w:val="none" w:sz="0" w:space="0" w:color="auto"/>
                <w:right w:val="none" w:sz="0" w:space="0" w:color="auto"/>
              </w:divBdr>
            </w:div>
            <w:div w:id="727076254">
              <w:marLeft w:val="0"/>
              <w:marRight w:val="0"/>
              <w:marTop w:val="0"/>
              <w:marBottom w:val="0"/>
              <w:divBdr>
                <w:top w:val="none" w:sz="0" w:space="0" w:color="auto"/>
                <w:left w:val="none" w:sz="0" w:space="0" w:color="auto"/>
                <w:bottom w:val="none" w:sz="0" w:space="0" w:color="auto"/>
                <w:right w:val="none" w:sz="0" w:space="0" w:color="auto"/>
              </w:divBdr>
            </w:div>
            <w:div w:id="1174612961">
              <w:marLeft w:val="0"/>
              <w:marRight w:val="0"/>
              <w:marTop w:val="0"/>
              <w:marBottom w:val="0"/>
              <w:divBdr>
                <w:top w:val="none" w:sz="0" w:space="0" w:color="auto"/>
                <w:left w:val="none" w:sz="0" w:space="0" w:color="auto"/>
                <w:bottom w:val="none" w:sz="0" w:space="0" w:color="auto"/>
                <w:right w:val="none" w:sz="0" w:space="0" w:color="auto"/>
              </w:divBdr>
            </w:div>
            <w:div w:id="1749768920">
              <w:marLeft w:val="0"/>
              <w:marRight w:val="0"/>
              <w:marTop w:val="0"/>
              <w:marBottom w:val="0"/>
              <w:divBdr>
                <w:top w:val="none" w:sz="0" w:space="0" w:color="auto"/>
                <w:left w:val="none" w:sz="0" w:space="0" w:color="auto"/>
                <w:bottom w:val="none" w:sz="0" w:space="0" w:color="auto"/>
                <w:right w:val="none" w:sz="0" w:space="0" w:color="auto"/>
              </w:divBdr>
            </w:div>
            <w:div w:id="648637429">
              <w:marLeft w:val="0"/>
              <w:marRight w:val="0"/>
              <w:marTop w:val="0"/>
              <w:marBottom w:val="0"/>
              <w:divBdr>
                <w:top w:val="none" w:sz="0" w:space="0" w:color="auto"/>
                <w:left w:val="none" w:sz="0" w:space="0" w:color="auto"/>
                <w:bottom w:val="none" w:sz="0" w:space="0" w:color="auto"/>
                <w:right w:val="none" w:sz="0" w:space="0" w:color="auto"/>
              </w:divBdr>
            </w:div>
            <w:div w:id="1056856766">
              <w:marLeft w:val="0"/>
              <w:marRight w:val="0"/>
              <w:marTop w:val="0"/>
              <w:marBottom w:val="0"/>
              <w:divBdr>
                <w:top w:val="none" w:sz="0" w:space="0" w:color="auto"/>
                <w:left w:val="none" w:sz="0" w:space="0" w:color="auto"/>
                <w:bottom w:val="none" w:sz="0" w:space="0" w:color="auto"/>
                <w:right w:val="none" w:sz="0" w:space="0" w:color="auto"/>
              </w:divBdr>
            </w:div>
            <w:div w:id="1110277133">
              <w:marLeft w:val="0"/>
              <w:marRight w:val="0"/>
              <w:marTop w:val="0"/>
              <w:marBottom w:val="0"/>
              <w:divBdr>
                <w:top w:val="none" w:sz="0" w:space="0" w:color="auto"/>
                <w:left w:val="none" w:sz="0" w:space="0" w:color="auto"/>
                <w:bottom w:val="none" w:sz="0" w:space="0" w:color="auto"/>
                <w:right w:val="none" w:sz="0" w:space="0" w:color="auto"/>
              </w:divBdr>
            </w:div>
            <w:div w:id="1045106598">
              <w:marLeft w:val="0"/>
              <w:marRight w:val="0"/>
              <w:marTop w:val="0"/>
              <w:marBottom w:val="0"/>
              <w:divBdr>
                <w:top w:val="none" w:sz="0" w:space="0" w:color="auto"/>
                <w:left w:val="none" w:sz="0" w:space="0" w:color="auto"/>
                <w:bottom w:val="none" w:sz="0" w:space="0" w:color="auto"/>
                <w:right w:val="none" w:sz="0" w:space="0" w:color="auto"/>
              </w:divBdr>
            </w:div>
            <w:div w:id="1489320339">
              <w:marLeft w:val="0"/>
              <w:marRight w:val="0"/>
              <w:marTop w:val="0"/>
              <w:marBottom w:val="0"/>
              <w:divBdr>
                <w:top w:val="none" w:sz="0" w:space="0" w:color="auto"/>
                <w:left w:val="none" w:sz="0" w:space="0" w:color="auto"/>
                <w:bottom w:val="none" w:sz="0" w:space="0" w:color="auto"/>
                <w:right w:val="none" w:sz="0" w:space="0" w:color="auto"/>
              </w:divBdr>
            </w:div>
            <w:div w:id="1534883599">
              <w:marLeft w:val="0"/>
              <w:marRight w:val="0"/>
              <w:marTop w:val="0"/>
              <w:marBottom w:val="0"/>
              <w:divBdr>
                <w:top w:val="none" w:sz="0" w:space="0" w:color="auto"/>
                <w:left w:val="none" w:sz="0" w:space="0" w:color="auto"/>
                <w:bottom w:val="none" w:sz="0" w:space="0" w:color="auto"/>
                <w:right w:val="none" w:sz="0" w:space="0" w:color="auto"/>
              </w:divBdr>
            </w:div>
            <w:div w:id="838810209">
              <w:marLeft w:val="0"/>
              <w:marRight w:val="0"/>
              <w:marTop w:val="0"/>
              <w:marBottom w:val="0"/>
              <w:divBdr>
                <w:top w:val="none" w:sz="0" w:space="0" w:color="auto"/>
                <w:left w:val="none" w:sz="0" w:space="0" w:color="auto"/>
                <w:bottom w:val="none" w:sz="0" w:space="0" w:color="auto"/>
                <w:right w:val="none" w:sz="0" w:space="0" w:color="auto"/>
              </w:divBdr>
            </w:div>
            <w:div w:id="818615473">
              <w:marLeft w:val="0"/>
              <w:marRight w:val="0"/>
              <w:marTop w:val="0"/>
              <w:marBottom w:val="0"/>
              <w:divBdr>
                <w:top w:val="none" w:sz="0" w:space="0" w:color="auto"/>
                <w:left w:val="none" w:sz="0" w:space="0" w:color="auto"/>
                <w:bottom w:val="none" w:sz="0" w:space="0" w:color="auto"/>
                <w:right w:val="none" w:sz="0" w:space="0" w:color="auto"/>
              </w:divBdr>
            </w:div>
            <w:div w:id="1615595230">
              <w:marLeft w:val="0"/>
              <w:marRight w:val="0"/>
              <w:marTop w:val="0"/>
              <w:marBottom w:val="0"/>
              <w:divBdr>
                <w:top w:val="none" w:sz="0" w:space="0" w:color="auto"/>
                <w:left w:val="none" w:sz="0" w:space="0" w:color="auto"/>
                <w:bottom w:val="none" w:sz="0" w:space="0" w:color="auto"/>
                <w:right w:val="none" w:sz="0" w:space="0" w:color="auto"/>
              </w:divBdr>
            </w:div>
            <w:div w:id="1808935583">
              <w:marLeft w:val="0"/>
              <w:marRight w:val="0"/>
              <w:marTop w:val="0"/>
              <w:marBottom w:val="0"/>
              <w:divBdr>
                <w:top w:val="none" w:sz="0" w:space="0" w:color="auto"/>
                <w:left w:val="none" w:sz="0" w:space="0" w:color="auto"/>
                <w:bottom w:val="none" w:sz="0" w:space="0" w:color="auto"/>
                <w:right w:val="none" w:sz="0" w:space="0" w:color="auto"/>
              </w:divBdr>
            </w:div>
            <w:div w:id="988244084">
              <w:marLeft w:val="0"/>
              <w:marRight w:val="0"/>
              <w:marTop w:val="0"/>
              <w:marBottom w:val="0"/>
              <w:divBdr>
                <w:top w:val="none" w:sz="0" w:space="0" w:color="auto"/>
                <w:left w:val="none" w:sz="0" w:space="0" w:color="auto"/>
                <w:bottom w:val="none" w:sz="0" w:space="0" w:color="auto"/>
                <w:right w:val="none" w:sz="0" w:space="0" w:color="auto"/>
              </w:divBdr>
            </w:div>
            <w:div w:id="1347710618">
              <w:marLeft w:val="0"/>
              <w:marRight w:val="0"/>
              <w:marTop w:val="0"/>
              <w:marBottom w:val="0"/>
              <w:divBdr>
                <w:top w:val="none" w:sz="0" w:space="0" w:color="auto"/>
                <w:left w:val="none" w:sz="0" w:space="0" w:color="auto"/>
                <w:bottom w:val="none" w:sz="0" w:space="0" w:color="auto"/>
                <w:right w:val="none" w:sz="0" w:space="0" w:color="auto"/>
              </w:divBdr>
            </w:div>
            <w:div w:id="1118794043">
              <w:marLeft w:val="0"/>
              <w:marRight w:val="0"/>
              <w:marTop w:val="0"/>
              <w:marBottom w:val="0"/>
              <w:divBdr>
                <w:top w:val="none" w:sz="0" w:space="0" w:color="auto"/>
                <w:left w:val="none" w:sz="0" w:space="0" w:color="auto"/>
                <w:bottom w:val="none" w:sz="0" w:space="0" w:color="auto"/>
                <w:right w:val="none" w:sz="0" w:space="0" w:color="auto"/>
              </w:divBdr>
            </w:div>
            <w:div w:id="146945601">
              <w:marLeft w:val="0"/>
              <w:marRight w:val="0"/>
              <w:marTop w:val="0"/>
              <w:marBottom w:val="0"/>
              <w:divBdr>
                <w:top w:val="none" w:sz="0" w:space="0" w:color="auto"/>
                <w:left w:val="none" w:sz="0" w:space="0" w:color="auto"/>
                <w:bottom w:val="none" w:sz="0" w:space="0" w:color="auto"/>
                <w:right w:val="none" w:sz="0" w:space="0" w:color="auto"/>
              </w:divBdr>
            </w:div>
            <w:div w:id="1670713269">
              <w:marLeft w:val="0"/>
              <w:marRight w:val="0"/>
              <w:marTop w:val="0"/>
              <w:marBottom w:val="0"/>
              <w:divBdr>
                <w:top w:val="none" w:sz="0" w:space="0" w:color="auto"/>
                <w:left w:val="none" w:sz="0" w:space="0" w:color="auto"/>
                <w:bottom w:val="none" w:sz="0" w:space="0" w:color="auto"/>
                <w:right w:val="none" w:sz="0" w:space="0" w:color="auto"/>
              </w:divBdr>
            </w:div>
            <w:div w:id="676227236">
              <w:marLeft w:val="0"/>
              <w:marRight w:val="0"/>
              <w:marTop w:val="0"/>
              <w:marBottom w:val="0"/>
              <w:divBdr>
                <w:top w:val="none" w:sz="0" w:space="0" w:color="auto"/>
                <w:left w:val="none" w:sz="0" w:space="0" w:color="auto"/>
                <w:bottom w:val="none" w:sz="0" w:space="0" w:color="auto"/>
                <w:right w:val="none" w:sz="0" w:space="0" w:color="auto"/>
              </w:divBdr>
            </w:div>
            <w:div w:id="2140147354">
              <w:marLeft w:val="0"/>
              <w:marRight w:val="0"/>
              <w:marTop w:val="0"/>
              <w:marBottom w:val="0"/>
              <w:divBdr>
                <w:top w:val="none" w:sz="0" w:space="0" w:color="auto"/>
                <w:left w:val="none" w:sz="0" w:space="0" w:color="auto"/>
                <w:bottom w:val="none" w:sz="0" w:space="0" w:color="auto"/>
                <w:right w:val="none" w:sz="0" w:space="0" w:color="auto"/>
              </w:divBdr>
            </w:div>
            <w:div w:id="949315508">
              <w:marLeft w:val="0"/>
              <w:marRight w:val="0"/>
              <w:marTop w:val="0"/>
              <w:marBottom w:val="0"/>
              <w:divBdr>
                <w:top w:val="none" w:sz="0" w:space="0" w:color="auto"/>
                <w:left w:val="none" w:sz="0" w:space="0" w:color="auto"/>
                <w:bottom w:val="none" w:sz="0" w:space="0" w:color="auto"/>
                <w:right w:val="none" w:sz="0" w:space="0" w:color="auto"/>
              </w:divBdr>
            </w:div>
            <w:div w:id="631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557">
      <w:bodyDiv w:val="1"/>
      <w:marLeft w:val="0"/>
      <w:marRight w:val="0"/>
      <w:marTop w:val="0"/>
      <w:marBottom w:val="0"/>
      <w:divBdr>
        <w:top w:val="none" w:sz="0" w:space="0" w:color="auto"/>
        <w:left w:val="none" w:sz="0" w:space="0" w:color="auto"/>
        <w:bottom w:val="none" w:sz="0" w:space="0" w:color="auto"/>
        <w:right w:val="none" w:sz="0" w:space="0" w:color="auto"/>
      </w:divBdr>
      <w:divsChild>
        <w:div w:id="1309244628">
          <w:marLeft w:val="0"/>
          <w:marRight w:val="0"/>
          <w:marTop w:val="0"/>
          <w:marBottom w:val="0"/>
          <w:divBdr>
            <w:top w:val="none" w:sz="0" w:space="0" w:color="auto"/>
            <w:left w:val="none" w:sz="0" w:space="0" w:color="auto"/>
            <w:bottom w:val="none" w:sz="0" w:space="0" w:color="auto"/>
            <w:right w:val="none" w:sz="0" w:space="0" w:color="auto"/>
          </w:divBdr>
          <w:divsChild>
            <w:div w:id="2055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1289">
      <w:bodyDiv w:val="1"/>
      <w:marLeft w:val="0"/>
      <w:marRight w:val="0"/>
      <w:marTop w:val="0"/>
      <w:marBottom w:val="0"/>
      <w:divBdr>
        <w:top w:val="none" w:sz="0" w:space="0" w:color="auto"/>
        <w:left w:val="none" w:sz="0" w:space="0" w:color="auto"/>
        <w:bottom w:val="none" w:sz="0" w:space="0" w:color="auto"/>
        <w:right w:val="none" w:sz="0" w:space="0" w:color="auto"/>
      </w:divBdr>
    </w:div>
    <w:div w:id="703484256">
      <w:bodyDiv w:val="1"/>
      <w:marLeft w:val="0"/>
      <w:marRight w:val="0"/>
      <w:marTop w:val="0"/>
      <w:marBottom w:val="0"/>
      <w:divBdr>
        <w:top w:val="none" w:sz="0" w:space="0" w:color="auto"/>
        <w:left w:val="none" w:sz="0" w:space="0" w:color="auto"/>
        <w:bottom w:val="none" w:sz="0" w:space="0" w:color="auto"/>
        <w:right w:val="none" w:sz="0" w:space="0" w:color="auto"/>
      </w:divBdr>
      <w:divsChild>
        <w:div w:id="536893003">
          <w:marLeft w:val="0"/>
          <w:marRight w:val="0"/>
          <w:marTop w:val="0"/>
          <w:marBottom w:val="0"/>
          <w:divBdr>
            <w:top w:val="none" w:sz="0" w:space="0" w:color="auto"/>
            <w:left w:val="none" w:sz="0" w:space="0" w:color="auto"/>
            <w:bottom w:val="none" w:sz="0" w:space="0" w:color="auto"/>
            <w:right w:val="none" w:sz="0" w:space="0" w:color="auto"/>
          </w:divBdr>
          <w:divsChild>
            <w:div w:id="691107146">
              <w:marLeft w:val="0"/>
              <w:marRight w:val="0"/>
              <w:marTop w:val="0"/>
              <w:marBottom w:val="0"/>
              <w:divBdr>
                <w:top w:val="none" w:sz="0" w:space="0" w:color="auto"/>
                <w:left w:val="none" w:sz="0" w:space="0" w:color="auto"/>
                <w:bottom w:val="none" w:sz="0" w:space="0" w:color="auto"/>
                <w:right w:val="none" w:sz="0" w:space="0" w:color="auto"/>
              </w:divBdr>
            </w:div>
            <w:div w:id="1169171873">
              <w:marLeft w:val="0"/>
              <w:marRight w:val="0"/>
              <w:marTop w:val="0"/>
              <w:marBottom w:val="0"/>
              <w:divBdr>
                <w:top w:val="none" w:sz="0" w:space="0" w:color="auto"/>
                <w:left w:val="none" w:sz="0" w:space="0" w:color="auto"/>
                <w:bottom w:val="none" w:sz="0" w:space="0" w:color="auto"/>
                <w:right w:val="none" w:sz="0" w:space="0" w:color="auto"/>
              </w:divBdr>
            </w:div>
            <w:div w:id="477840681">
              <w:marLeft w:val="0"/>
              <w:marRight w:val="0"/>
              <w:marTop w:val="0"/>
              <w:marBottom w:val="0"/>
              <w:divBdr>
                <w:top w:val="none" w:sz="0" w:space="0" w:color="auto"/>
                <w:left w:val="none" w:sz="0" w:space="0" w:color="auto"/>
                <w:bottom w:val="none" w:sz="0" w:space="0" w:color="auto"/>
                <w:right w:val="none" w:sz="0" w:space="0" w:color="auto"/>
              </w:divBdr>
            </w:div>
            <w:div w:id="1107458048">
              <w:marLeft w:val="0"/>
              <w:marRight w:val="0"/>
              <w:marTop w:val="0"/>
              <w:marBottom w:val="0"/>
              <w:divBdr>
                <w:top w:val="none" w:sz="0" w:space="0" w:color="auto"/>
                <w:left w:val="none" w:sz="0" w:space="0" w:color="auto"/>
                <w:bottom w:val="none" w:sz="0" w:space="0" w:color="auto"/>
                <w:right w:val="none" w:sz="0" w:space="0" w:color="auto"/>
              </w:divBdr>
            </w:div>
            <w:div w:id="1303120290">
              <w:marLeft w:val="0"/>
              <w:marRight w:val="0"/>
              <w:marTop w:val="0"/>
              <w:marBottom w:val="0"/>
              <w:divBdr>
                <w:top w:val="none" w:sz="0" w:space="0" w:color="auto"/>
                <w:left w:val="none" w:sz="0" w:space="0" w:color="auto"/>
                <w:bottom w:val="none" w:sz="0" w:space="0" w:color="auto"/>
                <w:right w:val="none" w:sz="0" w:space="0" w:color="auto"/>
              </w:divBdr>
            </w:div>
            <w:div w:id="306055955">
              <w:marLeft w:val="0"/>
              <w:marRight w:val="0"/>
              <w:marTop w:val="0"/>
              <w:marBottom w:val="0"/>
              <w:divBdr>
                <w:top w:val="none" w:sz="0" w:space="0" w:color="auto"/>
                <w:left w:val="none" w:sz="0" w:space="0" w:color="auto"/>
                <w:bottom w:val="none" w:sz="0" w:space="0" w:color="auto"/>
                <w:right w:val="none" w:sz="0" w:space="0" w:color="auto"/>
              </w:divBdr>
            </w:div>
            <w:div w:id="1471554983">
              <w:marLeft w:val="0"/>
              <w:marRight w:val="0"/>
              <w:marTop w:val="0"/>
              <w:marBottom w:val="0"/>
              <w:divBdr>
                <w:top w:val="none" w:sz="0" w:space="0" w:color="auto"/>
                <w:left w:val="none" w:sz="0" w:space="0" w:color="auto"/>
                <w:bottom w:val="none" w:sz="0" w:space="0" w:color="auto"/>
                <w:right w:val="none" w:sz="0" w:space="0" w:color="auto"/>
              </w:divBdr>
            </w:div>
            <w:div w:id="129179881">
              <w:marLeft w:val="0"/>
              <w:marRight w:val="0"/>
              <w:marTop w:val="0"/>
              <w:marBottom w:val="0"/>
              <w:divBdr>
                <w:top w:val="none" w:sz="0" w:space="0" w:color="auto"/>
                <w:left w:val="none" w:sz="0" w:space="0" w:color="auto"/>
                <w:bottom w:val="none" w:sz="0" w:space="0" w:color="auto"/>
                <w:right w:val="none" w:sz="0" w:space="0" w:color="auto"/>
              </w:divBdr>
            </w:div>
            <w:div w:id="296910791">
              <w:marLeft w:val="0"/>
              <w:marRight w:val="0"/>
              <w:marTop w:val="0"/>
              <w:marBottom w:val="0"/>
              <w:divBdr>
                <w:top w:val="none" w:sz="0" w:space="0" w:color="auto"/>
                <w:left w:val="none" w:sz="0" w:space="0" w:color="auto"/>
                <w:bottom w:val="none" w:sz="0" w:space="0" w:color="auto"/>
                <w:right w:val="none" w:sz="0" w:space="0" w:color="auto"/>
              </w:divBdr>
            </w:div>
            <w:div w:id="651374908">
              <w:marLeft w:val="0"/>
              <w:marRight w:val="0"/>
              <w:marTop w:val="0"/>
              <w:marBottom w:val="0"/>
              <w:divBdr>
                <w:top w:val="none" w:sz="0" w:space="0" w:color="auto"/>
                <w:left w:val="none" w:sz="0" w:space="0" w:color="auto"/>
                <w:bottom w:val="none" w:sz="0" w:space="0" w:color="auto"/>
                <w:right w:val="none" w:sz="0" w:space="0" w:color="auto"/>
              </w:divBdr>
            </w:div>
            <w:div w:id="1558664260">
              <w:marLeft w:val="0"/>
              <w:marRight w:val="0"/>
              <w:marTop w:val="0"/>
              <w:marBottom w:val="0"/>
              <w:divBdr>
                <w:top w:val="none" w:sz="0" w:space="0" w:color="auto"/>
                <w:left w:val="none" w:sz="0" w:space="0" w:color="auto"/>
                <w:bottom w:val="none" w:sz="0" w:space="0" w:color="auto"/>
                <w:right w:val="none" w:sz="0" w:space="0" w:color="auto"/>
              </w:divBdr>
            </w:div>
            <w:div w:id="1749376248">
              <w:marLeft w:val="0"/>
              <w:marRight w:val="0"/>
              <w:marTop w:val="0"/>
              <w:marBottom w:val="0"/>
              <w:divBdr>
                <w:top w:val="none" w:sz="0" w:space="0" w:color="auto"/>
                <w:left w:val="none" w:sz="0" w:space="0" w:color="auto"/>
                <w:bottom w:val="none" w:sz="0" w:space="0" w:color="auto"/>
                <w:right w:val="none" w:sz="0" w:space="0" w:color="auto"/>
              </w:divBdr>
            </w:div>
            <w:div w:id="871648222">
              <w:marLeft w:val="0"/>
              <w:marRight w:val="0"/>
              <w:marTop w:val="0"/>
              <w:marBottom w:val="0"/>
              <w:divBdr>
                <w:top w:val="none" w:sz="0" w:space="0" w:color="auto"/>
                <w:left w:val="none" w:sz="0" w:space="0" w:color="auto"/>
                <w:bottom w:val="none" w:sz="0" w:space="0" w:color="auto"/>
                <w:right w:val="none" w:sz="0" w:space="0" w:color="auto"/>
              </w:divBdr>
            </w:div>
            <w:div w:id="267006410">
              <w:marLeft w:val="0"/>
              <w:marRight w:val="0"/>
              <w:marTop w:val="0"/>
              <w:marBottom w:val="0"/>
              <w:divBdr>
                <w:top w:val="none" w:sz="0" w:space="0" w:color="auto"/>
                <w:left w:val="none" w:sz="0" w:space="0" w:color="auto"/>
                <w:bottom w:val="none" w:sz="0" w:space="0" w:color="auto"/>
                <w:right w:val="none" w:sz="0" w:space="0" w:color="auto"/>
              </w:divBdr>
            </w:div>
            <w:div w:id="464616054">
              <w:marLeft w:val="0"/>
              <w:marRight w:val="0"/>
              <w:marTop w:val="0"/>
              <w:marBottom w:val="0"/>
              <w:divBdr>
                <w:top w:val="none" w:sz="0" w:space="0" w:color="auto"/>
                <w:left w:val="none" w:sz="0" w:space="0" w:color="auto"/>
                <w:bottom w:val="none" w:sz="0" w:space="0" w:color="auto"/>
                <w:right w:val="none" w:sz="0" w:space="0" w:color="auto"/>
              </w:divBdr>
            </w:div>
            <w:div w:id="631641242">
              <w:marLeft w:val="0"/>
              <w:marRight w:val="0"/>
              <w:marTop w:val="0"/>
              <w:marBottom w:val="0"/>
              <w:divBdr>
                <w:top w:val="none" w:sz="0" w:space="0" w:color="auto"/>
                <w:left w:val="none" w:sz="0" w:space="0" w:color="auto"/>
                <w:bottom w:val="none" w:sz="0" w:space="0" w:color="auto"/>
                <w:right w:val="none" w:sz="0" w:space="0" w:color="auto"/>
              </w:divBdr>
            </w:div>
            <w:div w:id="1750887477">
              <w:marLeft w:val="0"/>
              <w:marRight w:val="0"/>
              <w:marTop w:val="0"/>
              <w:marBottom w:val="0"/>
              <w:divBdr>
                <w:top w:val="none" w:sz="0" w:space="0" w:color="auto"/>
                <w:left w:val="none" w:sz="0" w:space="0" w:color="auto"/>
                <w:bottom w:val="none" w:sz="0" w:space="0" w:color="auto"/>
                <w:right w:val="none" w:sz="0" w:space="0" w:color="auto"/>
              </w:divBdr>
            </w:div>
            <w:div w:id="1699310424">
              <w:marLeft w:val="0"/>
              <w:marRight w:val="0"/>
              <w:marTop w:val="0"/>
              <w:marBottom w:val="0"/>
              <w:divBdr>
                <w:top w:val="none" w:sz="0" w:space="0" w:color="auto"/>
                <w:left w:val="none" w:sz="0" w:space="0" w:color="auto"/>
                <w:bottom w:val="none" w:sz="0" w:space="0" w:color="auto"/>
                <w:right w:val="none" w:sz="0" w:space="0" w:color="auto"/>
              </w:divBdr>
            </w:div>
            <w:div w:id="849223392">
              <w:marLeft w:val="0"/>
              <w:marRight w:val="0"/>
              <w:marTop w:val="0"/>
              <w:marBottom w:val="0"/>
              <w:divBdr>
                <w:top w:val="none" w:sz="0" w:space="0" w:color="auto"/>
                <w:left w:val="none" w:sz="0" w:space="0" w:color="auto"/>
                <w:bottom w:val="none" w:sz="0" w:space="0" w:color="auto"/>
                <w:right w:val="none" w:sz="0" w:space="0" w:color="auto"/>
              </w:divBdr>
            </w:div>
            <w:div w:id="2021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528">
      <w:bodyDiv w:val="1"/>
      <w:marLeft w:val="0"/>
      <w:marRight w:val="0"/>
      <w:marTop w:val="0"/>
      <w:marBottom w:val="0"/>
      <w:divBdr>
        <w:top w:val="none" w:sz="0" w:space="0" w:color="auto"/>
        <w:left w:val="none" w:sz="0" w:space="0" w:color="auto"/>
        <w:bottom w:val="none" w:sz="0" w:space="0" w:color="auto"/>
        <w:right w:val="none" w:sz="0" w:space="0" w:color="auto"/>
      </w:divBdr>
      <w:divsChild>
        <w:div w:id="1870147575">
          <w:marLeft w:val="0"/>
          <w:marRight w:val="0"/>
          <w:marTop w:val="0"/>
          <w:marBottom w:val="0"/>
          <w:divBdr>
            <w:top w:val="none" w:sz="0" w:space="0" w:color="auto"/>
            <w:left w:val="none" w:sz="0" w:space="0" w:color="auto"/>
            <w:bottom w:val="none" w:sz="0" w:space="0" w:color="auto"/>
            <w:right w:val="none" w:sz="0" w:space="0" w:color="auto"/>
          </w:divBdr>
          <w:divsChild>
            <w:div w:id="150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474">
      <w:bodyDiv w:val="1"/>
      <w:marLeft w:val="0"/>
      <w:marRight w:val="0"/>
      <w:marTop w:val="0"/>
      <w:marBottom w:val="0"/>
      <w:divBdr>
        <w:top w:val="none" w:sz="0" w:space="0" w:color="auto"/>
        <w:left w:val="none" w:sz="0" w:space="0" w:color="auto"/>
        <w:bottom w:val="none" w:sz="0" w:space="0" w:color="auto"/>
        <w:right w:val="none" w:sz="0" w:space="0" w:color="auto"/>
      </w:divBdr>
      <w:divsChild>
        <w:div w:id="819149372">
          <w:marLeft w:val="0"/>
          <w:marRight w:val="0"/>
          <w:marTop w:val="0"/>
          <w:marBottom w:val="0"/>
          <w:divBdr>
            <w:top w:val="none" w:sz="0" w:space="0" w:color="auto"/>
            <w:left w:val="none" w:sz="0" w:space="0" w:color="auto"/>
            <w:bottom w:val="none" w:sz="0" w:space="0" w:color="auto"/>
            <w:right w:val="none" w:sz="0" w:space="0" w:color="auto"/>
          </w:divBdr>
          <w:divsChild>
            <w:div w:id="1367221065">
              <w:marLeft w:val="0"/>
              <w:marRight w:val="0"/>
              <w:marTop w:val="0"/>
              <w:marBottom w:val="0"/>
              <w:divBdr>
                <w:top w:val="none" w:sz="0" w:space="0" w:color="auto"/>
                <w:left w:val="none" w:sz="0" w:space="0" w:color="auto"/>
                <w:bottom w:val="none" w:sz="0" w:space="0" w:color="auto"/>
                <w:right w:val="none" w:sz="0" w:space="0" w:color="auto"/>
              </w:divBdr>
            </w:div>
            <w:div w:id="938875525">
              <w:marLeft w:val="0"/>
              <w:marRight w:val="0"/>
              <w:marTop w:val="0"/>
              <w:marBottom w:val="0"/>
              <w:divBdr>
                <w:top w:val="none" w:sz="0" w:space="0" w:color="auto"/>
                <w:left w:val="none" w:sz="0" w:space="0" w:color="auto"/>
                <w:bottom w:val="none" w:sz="0" w:space="0" w:color="auto"/>
                <w:right w:val="none" w:sz="0" w:space="0" w:color="auto"/>
              </w:divBdr>
            </w:div>
            <w:div w:id="1768499845">
              <w:marLeft w:val="0"/>
              <w:marRight w:val="0"/>
              <w:marTop w:val="0"/>
              <w:marBottom w:val="0"/>
              <w:divBdr>
                <w:top w:val="none" w:sz="0" w:space="0" w:color="auto"/>
                <w:left w:val="none" w:sz="0" w:space="0" w:color="auto"/>
                <w:bottom w:val="none" w:sz="0" w:space="0" w:color="auto"/>
                <w:right w:val="none" w:sz="0" w:space="0" w:color="auto"/>
              </w:divBdr>
            </w:div>
            <w:div w:id="977564415">
              <w:marLeft w:val="0"/>
              <w:marRight w:val="0"/>
              <w:marTop w:val="0"/>
              <w:marBottom w:val="0"/>
              <w:divBdr>
                <w:top w:val="none" w:sz="0" w:space="0" w:color="auto"/>
                <w:left w:val="none" w:sz="0" w:space="0" w:color="auto"/>
                <w:bottom w:val="none" w:sz="0" w:space="0" w:color="auto"/>
                <w:right w:val="none" w:sz="0" w:space="0" w:color="auto"/>
              </w:divBdr>
            </w:div>
            <w:div w:id="1284269900">
              <w:marLeft w:val="0"/>
              <w:marRight w:val="0"/>
              <w:marTop w:val="0"/>
              <w:marBottom w:val="0"/>
              <w:divBdr>
                <w:top w:val="none" w:sz="0" w:space="0" w:color="auto"/>
                <w:left w:val="none" w:sz="0" w:space="0" w:color="auto"/>
                <w:bottom w:val="none" w:sz="0" w:space="0" w:color="auto"/>
                <w:right w:val="none" w:sz="0" w:space="0" w:color="auto"/>
              </w:divBdr>
            </w:div>
            <w:div w:id="1734504606">
              <w:marLeft w:val="0"/>
              <w:marRight w:val="0"/>
              <w:marTop w:val="0"/>
              <w:marBottom w:val="0"/>
              <w:divBdr>
                <w:top w:val="none" w:sz="0" w:space="0" w:color="auto"/>
                <w:left w:val="none" w:sz="0" w:space="0" w:color="auto"/>
                <w:bottom w:val="none" w:sz="0" w:space="0" w:color="auto"/>
                <w:right w:val="none" w:sz="0" w:space="0" w:color="auto"/>
              </w:divBdr>
            </w:div>
            <w:div w:id="414017223">
              <w:marLeft w:val="0"/>
              <w:marRight w:val="0"/>
              <w:marTop w:val="0"/>
              <w:marBottom w:val="0"/>
              <w:divBdr>
                <w:top w:val="none" w:sz="0" w:space="0" w:color="auto"/>
                <w:left w:val="none" w:sz="0" w:space="0" w:color="auto"/>
                <w:bottom w:val="none" w:sz="0" w:space="0" w:color="auto"/>
                <w:right w:val="none" w:sz="0" w:space="0" w:color="auto"/>
              </w:divBdr>
            </w:div>
            <w:div w:id="422072997">
              <w:marLeft w:val="0"/>
              <w:marRight w:val="0"/>
              <w:marTop w:val="0"/>
              <w:marBottom w:val="0"/>
              <w:divBdr>
                <w:top w:val="none" w:sz="0" w:space="0" w:color="auto"/>
                <w:left w:val="none" w:sz="0" w:space="0" w:color="auto"/>
                <w:bottom w:val="none" w:sz="0" w:space="0" w:color="auto"/>
                <w:right w:val="none" w:sz="0" w:space="0" w:color="auto"/>
              </w:divBdr>
            </w:div>
            <w:div w:id="725300456">
              <w:marLeft w:val="0"/>
              <w:marRight w:val="0"/>
              <w:marTop w:val="0"/>
              <w:marBottom w:val="0"/>
              <w:divBdr>
                <w:top w:val="none" w:sz="0" w:space="0" w:color="auto"/>
                <w:left w:val="none" w:sz="0" w:space="0" w:color="auto"/>
                <w:bottom w:val="none" w:sz="0" w:space="0" w:color="auto"/>
                <w:right w:val="none" w:sz="0" w:space="0" w:color="auto"/>
              </w:divBdr>
            </w:div>
            <w:div w:id="1355418263">
              <w:marLeft w:val="0"/>
              <w:marRight w:val="0"/>
              <w:marTop w:val="0"/>
              <w:marBottom w:val="0"/>
              <w:divBdr>
                <w:top w:val="none" w:sz="0" w:space="0" w:color="auto"/>
                <w:left w:val="none" w:sz="0" w:space="0" w:color="auto"/>
                <w:bottom w:val="none" w:sz="0" w:space="0" w:color="auto"/>
                <w:right w:val="none" w:sz="0" w:space="0" w:color="auto"/>
              </w:divBdr>
            </w:div>
            <w:div w:id="1580093290">
              <w:marLeft w:val="0"/>
              <w:marRight w:val="0"/>
              <w:marTop w:val="0"/>
              <w:marBottom w:val="0"/>
              <w:divBdr>
                <w:top w:val="none" w:sz="0" w:space="0" w:color="auto"/>
                <w:left w:val="none" w:sz="0" w:space="0" w:color="auto"/>
                <w:bottom w:val="none" w:sz="0" w:space="0" w:color="auto"/>
                <w:right w:val="none" w:sz="0" w:space="0" w:color="auto"/>
              </w:divBdr>
            </w:div>
            <w:div w:id="1003975854">
              <w:marLeft w:val="0"/>
              <w:marRight w:val="0"/>
              <w:marTop w:val="0"/>
              <w:marBottom w:val="0"/>
              <w:divBdr>
                <w:top w:val="none" w:sz="0" w:space="0" w:color="auto"/>
                <w:left w:val="none" w:sz="0" w:space="0" w:color="auto"/>
                <w:bottom w:val="none" w:sz="0" w:space="0" w:color="auto"/>
                <w:right w:val="none" w:sz="0" w:space="0" w:color="auto"/>
              </w:divBdr>
            </w:div>
            <w:div w:id="1888642227">
              <w:marLeft w:val="0"/>
              <w:marRight w:val="0"/>
              <w:marTop w:val="0"/>
              <w:marBottom w:val="0"/>
              <w:divBdr>
                <w:top w:val="none" w:sz="0" w:space="0" w:color="auto"/>
                <w:left w:val="none" w:sz="0" w:space="0" w:color="auto"/>
                <w:bottom w:val="none" w:sz="0" w:space="0" w:color="auto"/>
                <w:right w:val="none" w:sz="0" w:space="0" w:color="auto"/>
              </w:divBdr>
            </w:div>
            <w:div w:id="1072116348">
              <w:marLeft w:val="0"/>
              <w:marRight w:val="0"/>
              <w:marTop w:val="0"/>
              <w:marBottom w:val="0"/>
              <w:divBdr>
                <w:top w:val="none" w:sz="0" w:space="0" w:color="auto"/>
                <w:left w:val="none" w:sz="0" w:space="0" w:color="auto"/>
                <w:bottom w:val="none" w:sz="0" w:space="0" w:color="auto"/>
                <w:right w:val="none" w:sz="0" w:space="0" w:color="auto"/>
              </w:divBdr>
            </w:div>
            <w:div w:id="1176458408">
              <w:marLeft w:val="0"/>
              <w:marRight w:val="0"/>
              <w:marTop w:val="0"/>
              <w:marBottom w:val="0"/>
              <w:divBdr>
                <w:top w:val="none" w:sz="0" w:space="0" w:color="auto"/>
                <w:left w:val="none" w:sz="0" w:space="0" w:color="auto"/>
                <w:bottom w:val="none" w:sz="0" w:space="0" w:color="auto"/>
                <w:right w:val="none" w:sz="0" w:space="0" w:color="auto"/>
              </w:divBdr>
            </w:div>
            <w:div w:id="1197741403">
              <w:marLeft w:val="0"/>
              <w:marRight w:val="0"/>
              <w:marTop w:val="0"/>
              <w:marBottom w:val="0"/>
              <w:divBdr>
                <w:top w:val="none" w:sz="0" w:space="0" w:color="auto"/>
                <w:left w:val="none" w:sz="0" w:space="0" w:color="auto"/>
                <w:bottom w:val="none" w:sz="0" w:space="0" w:color="auto"/>
                <w:right w:val="none" w:sz="0" w:space="0" w:color="auto"/>
              </w:divBdr>
            </w:div>
            <w:div w:id="1106390594">
              <w:marLeft w:val="0"/>
              <w:marRight w:val="0"/>
              <w:marTop w:val="0"/>
              <w:marBottom w:val="0"/>
              <w:divBdr>
                <w:top w:val="none" w:sz="0" w:space="0" w:color="auto"/>
                <w:left w:val="none" w:sz="0" w:space="0" w:color="auto"/>
                <w:bottom w:val="none" w:sz="0" w:space="0" w:color="auto"/>
                <w:right w:val="none" w:sz="0" w:space="0" w:color="auto"/>
              </w:divBdr>
            </w:div>
            <w:div w:id="491412520">
              <w:marLeft w:val="0"/>
              <w:marRight w:val="0"/>
              <w:marTop w:val="0"/>
              <w:marBottom w:val="0"/>
              <w:divBdr>
                <w:top w:val="none" w:sz="0" w:space="0" w:color="auto"/>
                <w:left w:val="none" w:sz="0" w:space="0" w:color="auto"/>
                <w:bottom w:val="none" w:sz="0" w:space="0" w:color="auto"/>
                <w:right w:val="none" w:sz="0" w:space="0" w:color="auto"/>
              </w:divBdr>
            </w:div>
            <w:div w:id="410078612">
              <w:marLeft w:val="0"/>
              <w:marRight w:val="0"/>
              <w:marTop w:val="0"/>
              <w:marBottom w:val="0"/>
              <w:divBdr>
                <w:top w:val="none" w:sz="0" w:space="0" w:color="auto"/>
                <w:left w:val="none" w:sz="0" w:space="0" w:color="auto"/>
                <w:bottom w:val="none" w:sz="0" w:space="0" w:color="auto"/>
                <w:right w:val="none" w:sz="0" w:space="0" w:color="auto"/>
              </w:divBdr>
            </w:div>
            <w:div w:id="1259366903">
              <w:marLeft w:val="0"/>
              <w:marRight w:val="0"/>
              <w:marTop w:val="0"/>
              <w:marBottom w:val="0"/>
              <w:divBdr>
                <w:top w:val="none" w:sz="0" w:space="0" w:color="auto"/>
                <w:left w:val="none" w:sz="0" w:space="0" w:color="auto"/>
                <w:bottom w:val="none" w:sz="0" w:space="0" w:color="auto"/>
                <w:right w:val="none" w:sz="0" w:space="0" w:color="auto"/>
              </w:divBdr>
            </w:div>
            <w:div w:id="1322346482">
              <w:marLeft w:val="0"/>
              <w:marRight w:val="0"/>
              <w:marTop w:val="0"/>
              <w:marBottom w:val="0"/>
              <w:divBdr>
                <w:top w:val="none" w:sz="0" w:space="0" w:color="auto"/>
                <w:left w:val="none" w:sz="0" w:space="0" w:color="auto"/>
                <w:bottom w:val="none" w:sz="0" w:space="0" w:color="auto"/>
                <w:right w:val="none" w:sz="0" w:space="0" w:color="auto"/>
              </w:divBdr>
            </w:div>
            <w:div w:id="1731801455">
              <w:marLeft w:val="0"/>
              <w:marRight w:val="0"/>
              <w:marTop w:val="0"/>
              <w:marBottom w:val="0"/>
              <w:divBdr>
                <w:top w:val="none" w:sz="0" w:space="0" w:color="auto"/>
                <w:left w:val="none" w:sz="0" w:space="0" w:color="auto"/>
                <w:bottom w:val="none" w:sz="0" w:space="0" w:color="auto"/>
                <w:right w:val="none" w:sz="0" w:space="0" w:color="auto"/>
              </w:divBdr>
            </w:div>
            <w:div w:id="134033989">
              <w:marLeft w:val="0"/>
              <w:marRight w:val="0"/>
              <w:marTop w:val="0"/>
              <w:marBottom w:val="0"/>
              <w:divBdr>
                <w:top w:val="none" w:sz="0" w:space="0" w:color="auto"/>
                <w:left w:val="none" w:sz="0" w:space="0" w:color="auto"/>
                <w:bottom w:val="none" w:sz="0" w:space="0" w:color="auto"/>
                <w:right w:val="none" w:sz="0" w:space="0" w:color="auto"/>
              </w:divBdr>
            </w:div>
            <w:div w:id="408960796">
              <w:marLeft w:val="0"/>
              <w:marRight w:val="0"/>
              <w:marTop w:val="0"/>
              <w:marBottom w:val="0"/>
              <w:divBdr>
                <w:top w:val="none" w:sz="0" w:space="0" w:color="auto"/>
                <w:left w:val="none" w:sz="0" w:space="0" w:color="auto"/>
                <w:bottom w:val="none" w:sz="0" w:space="0" w:color="auto"/>
                <w:right w:val="none" w:sz="0" w:space="0" w:color="auto"/>
              </w:divBdr>
            </w:div>
            <w:div w:id="618030250">
              <w:marLeft w:val="0"/>
              <w:marRight w:val="0"/>
              <w:marTop w:val="0"/>
              <w:marBottom w:val="0"/>
              <w:divBdr>
                <w:top w:val="none" w:sz="0" w:space="0" w:color="auto"/>
                <w:left w:val="none" w:sz="0" w:space="0" w:color="auto"/>
                <w:bottom w:val="none" w:sz="0" w:space="0" w:color="auto"/>
                <w:right w:val="none" w:sz="0" w:space="0" w:color="auto"/>
              </w:divBdr>
            </w:div>
            <w:div w:id="1774665129">
              <w:marLeft w:val="0"/>
              <w:marRight w:val="0"/>
              <w:marTop w:val="0"/>
              <w:marBottom w:val="0"/>
              <w:divBdr>
                <w:top w:val="none" w:sz="0" w:space="0" w:color="auto"/>
                <w:left w:val="none" w:sz="0" w:space="0" w:color="auto"/>
                <w:bottom w:val="none" w:sz="0" w:space="0" w:color="auto"/>
                <w:right w:val="none" w:sz="0" w:space="0" w:color="auto"/>
              </w:divBdr>
            </w:div>
            <w:div w:id="468715159">
              <w:marLeft w:val="0"/>
              <w:marRight w:val="0"/>
              <w:marTop w:val="0"/>
              <w:marBottom w:val="0"/>
              <w:divBdr>
                <w:top w:val="none" w:sz="0" w:space="0" w:color="auto"/>
                <w:left w:val="none" w:sz="0" w:space="0" w:color="auto"/>
                <w:bottom w:val="none" w:sz="0" w:space="0" w:color="auto"/>
                <w:right w:val="none" w:sz="0" w:space="0" w:color="auto"/>
              </w:divBdr>
            </w:div>
            <w:div w:id="1318455374">
              <w:marLeft w:val="0"/>
              <w:marRight w:val="0"/>
              <w:marTop w:val="0"/>
              <w:marBottom w:val="0"/>
              <w:divBdr>
                <w:top w:val="none" w:sz="0" w:space="0" w:color="auto"/>
                <w:left w:val="none" w:sz="0" w:space="0" w:color="auto"/>
                <w:bottom w:val="none" w:sz="0" w:space="0" w:color="auto"/>
                <w:right w:val="none" w:sz="0" w:space="0" w:color="auto"/>
              </w:divBdr>
            </w:div>
            <w:div w:id="817112382">
              <w:marLeft w:val="0"/>
              <w:marRight w:val="0"/>
              <w:marTop w:val="0"/>
              <w:marBottom w:val="0"/>
              <w:divBdr>
                <w:top w:val="none" w:sz="0" w:space="0" w:color="auto"/>
                <w:left w:val="none" w:sz="0" w:space="0" w:color="auto"/>
                <w:bottom w:val="none" w:sz="0" w:space="0" w:color="auto"/>
                <w:right w:val="none" w:sz="0" w:space="0" w:color="auto"/>
              </w:divBdr>
            </w:div>
            <w:div w:id="1224565578">
              <w:marLeft w:val="0"/>
              <w:marRight w:val="0"/>
              <w:marTop w:val="0"/>
              <w:marBottom w:val="0"/>
              <w:divBdr>
                <w:top w:val="none" w:sz="0" w:space="0" w:color="auto"/>
                <w:left w:val="none" w:sz="0" w:space="0" w:color="auto"/>
                <w:bottom w:val="none" w:sz="0" w:space="0" w:color="auto"/>
                <w:right w:val="none" w:sz="0" w:space="0" w:color="auto"/>
              </w:divBdr>
            </w:div>
            <w:div w:id="1124470463">
              <w:marLeft w:val="0"/>
              <w:marRight w:val="0"/>
              <w:marTop w:val="0"/>
              <w:marBottom w:val="0"/>
              <w:divBdr>
                <w:top w:val="none" w:sz="0" w:space="0" w:color="auto"/>
                <w:left w:val="none" w:sz="0" w:space="0" w:color="auto"/>
                <w:bottom w:val="none" w:sz="0" w:space="0" w:color="auto"/>
                <w:right w:val="none" w:sz="0" w:space="0" w:color="auto"/>
              </w:divBdr>
            </w:div>
            <w:div w:id="1019627517">
              <w:marLeft w:val="0"/>
              <w:marRight w:val="0"/>
              <w:marTop w:val="0"/>
              <w:marBottom w:val="0"/>
              <w:divBdr>
                <w:top w:val="none" w:sz="0" w:space="0" w:color="auto"/>
                <w:left w:val="none" w:sz="0" w:space="0" w:color="auto"/>
                <w:bottom w:val="none" w:sz="0" w:space="0" w:color="auto"/>
                <w:right w:val="none" w:sz="0" w:space="0" w:color="auto"/>
              </w:divBdr>
            </w:div>
            <w:div w:id="1269696286">
              <w:marLeft w:val="0"/>
              <w:marRight w:val="0"/>
              <w:marTop w:val="0"/>
              <w:marBottom w:val="0"/>
              <w:divBdr>
                <w:top w:val="none" w:sz="0" w:space="0" w:color="auto"/>
                <w:left w:val="none" w:sz="0" w:space="0" w:color="auto"/>
                <w:bottom w:val="none" w:sz="0" w:space="0" w:color="auto"/>
                <w:right w:val="none" w:sz="0" w:space="0" w:color="auto"/>
              </w:divBdr>
            </w:div>
            <w:div w:id="549419432">
              <w:marLeft w:val="0"/>
              <w:marRight w:val="0"/>
              <w:marTop w:val="0"/>
              <w:marBottom w:val="0"/>
              <w:divBdr>
                <w:top w:val="none" w:sz="0" w:space="0" w:color="auto"/>
                <w:left w:val="none" w:sz="0" w:space="0" w:color="auto"/>
                <w:bottom w:val="none" w:sz="0" w:space="0" w:color="auto"/>
                <w:right w:val="none" w:sz="0" w:space="0" w:color="auto"/>
              </w:divBdr>
            </w:div>
            <w:div w:id="1590577351">
              <w:marLeft w:val="0"/>
              <w:marRight w:val="0"/>
              <w:marTop w:val="0"/>
              <w:marBottom w:val="0"/>
              <w:divBdr>
                <w:top w:val="none" w:sz="0" w:space="0" w:color="auto"/>
                <w:left w:val="none" w:sz="0" w:space="0" w:color="auto"/>
                <w:bottom w:val="none" w:sz="0" w:space="0" w:color="auto"/>
                <w:right w:val="none" w:sz="0" w:space="0" w:color="auto"/>
              </w:divBdr>
            </w:div>
            <w:div w:id="683630594">
              <w:marLeft w:val="0"/>
              <w:marRight w:val="0"/>
              <w:marTop w:val="0"/>
              <w:marBottom w:val="0"/>
              <w:divBdr>
                <w:top w:val="none" w:sz="0" w:space="0" w:color="auto"/>
                <w:left w:val="none" w:sz="0" w:space="0" w:color="auto"/>
                <w:bottom w:val="none" w:sz="0" w:space="0" w:color="auto"/>
                <w:right w:val="none" w:sz="0" w:space="0" w:color="auto"/>
              </w:divBdr>
            </w:div>
            <w:div w:id="1615210372">
              <w:marLeft w:val="0"/>
              <w:marRight w:val="0"/>
              <w:marTop w:val="0"/>
              <w:marBottom w:val="0"/>
              <w:divBdr>
                <w:top w:val="none" w:sz="0" w:space="0" w:color="auto"/>
                <w:left w:val="none" w:sz="0" w:space="0" w:color="auto"/>
                <w:bottom w:val="none" w:sz="0" w:space="0" w:color="auto"/>
                <w:right w:val="none" w:sz="0" w:space="0" w:color="auto"/>
              </w:divBdr>
            </w:div>
            <w:div w:id="173881600">
              <w:marLeft w:val="0"/>
              <w:marRight w:val="0"/>
              <w:marTop w:val="0"/>
              <w:marBottom w:val="0"/>
              <w:divBdr>
                <w:top w:val="none" w:sz="0" w:space="0" w:color="auto"/>
                <w:left w:val="none" w:sz="0" w:space="0" w:color="auto"/>
                <w:bottom w:val="none" w:sz="0" w:space="0" w:color="auto"/>
                <w:right w:val="none" w:sz="0" w:space="0" w:color="auto"/>
              </w:divBdr>
            </w:div>
            <w:div w:id="1065177294">
              <w:marLeft w:val="0"/>
              <w:marRight w:val="0"/>
              <w:marTop w:val="0"/>
              <w:marBottom w:val="0"/>
              <w:divBdr>
                <w:top w:val="none" w:sz="0" w:space="0" w:color="auto"/>
                <w:left w:val="none" w:sz="0" w:space="0" w:color="auto"/>
                <w:bottom w:val="none" w:sz="0" w:space="0" w:color="auto"/>
                <w:right w:val="none" w:sz="0" w:space="0" w:color="auto"/>
              </w:divBdr>
            </w:div>
            <w:div w:id="428240732">
              <w:marLeft w:val="0"/>
              <w:marRight w:val="0"/>
              <w:marTop w:val="0"/>
              <w:marBottom w:val="0"/>
              <w:divBdr>
                <w:top w:val="none" w:sz="0" w:space="0" w:color="auto"/>
                <w:left w:val="none" w:sz="0" w:space="0" w:color="auto"/>
                <w:bottom w:val="none" w:sz="0" w:space="0" w:color="auto"/>
                <w:right w:val="none" w:sz="0" w:space="0" w:color="auto"/>
              </w:divBdr>
            </w:div>
            <w:div w:id="873225683">
              <w:marLeft w:val="0"/>
              <w:marRight w:val="0"/>
              <w:marTop w:val="0"/>
              <w:marBottom w:val="0"/>
              <w:divBdr>
                <w:top w:val="none" w:sz="0" w:space="0" w:color="auto"/>
                <w:left w:val="none" w:sz="0" w:space="0" w:color="auto"/>
                <w:bottom w:val="none" w:sz="0" w:space="0" w:color="auto"/>
                <w:right w:val="none" w:sz="0" w:space="0" w:color="auto"/>
              </w:divBdr>
            </w:div>
            <w:div w:id="436557153">
              <w:marLeft w:val="0"/>
              <w:marRight w:val="0"/>
              <w:marTop w:val="0"/>
              <w:marBottom w:val="0"/>
              <w:divBdr>
                <w:top w:val="none" w:sz="0" w:space="0" w:color="auto"/>
                <w:left w:val="none" w:sz="0" w:space="0" w:color="auto"/>
                <w:bottom w:val="none" w:sz="0" w:space="0" w:color="auto"/>
                <w:right w:val="none" w:sz="0" w:space="0" w:color="auto"/>
              </w:divBdr>
            </w:div>
            <w:div w:id="338970275">
              <w:marLeft w:val="0"/>
              <w:marRight w:val="0"/>
              <w:marTop w:val="0"/>
              <w:marBottom w:val="0"/>
              <w:divBdr>
                <w:top w:val="none" w:sz="0" w:space="0" w:color="auto"/>
                <w:left w:val="none" w:sz="0" w:space="0" w:color="auto"/>
                <w:bottom w:val="none" w:sz="0" w:space="0" w:color="auto"/>
                <w:right w:val="none" w:sz="0" w:space="0" w:color="auto"/>
              </w:divBdr>
            </w:div>
            <w:div w:id="1885481291">
              <w:marLeft w:val="0"/>
              <w:marRight w:val="0"/>
              <w:marTop w:val="0"/>
              <w:marBottom w:val="0"/>
              <w:divBdr>
                <w:top w:val="none" w:sz="0" w:space="0" w:color="auto"/>
                <w:left w:val="none" w:sz="0" w:space="0" w:color="auto"/>
                <w:bottom w:val="none" w:sz="0" w:space="0" w:color="auto"/>
                <w:right w:val="none" w:sz="0" w:space="0" w:color="auto"/>
              </w:divBdr>
            </w:div>
            <w:div w:id="1020929380">
              <w:marLeft w:val="0"/>
              <w:marRight w:val="0"/>
              <w:marTop w:val="0"/>
              <w:marBottom w:val="0"/>
              <w:divBdr>
                <w:top w:val="none" w:sz="0" w:space="0" w:color="auto"/>
                <w:left w:val="none" w:sz="0" w:space="0" w:color="auto"/>
                <w:bottom w:val="none" w:sz="0" w:space="0" w:color="auto"/>
                <w:right w:val="none" w:sz="0" w:space="0" w:color="auto"/>
              </w:divBdr>
            </w:div>
            <w:div w:id="311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4950">
      <w:bodyDiv w:val="1"/>
      <w:marLeft w:val="0"/>
      <w:marRight w:val="0"/>
      <w:marTop w:val="0"/>
      <w:marBottom w:val="0"/>
      <w:divBdr>
        <w:top w:val="none" w:sz="0" w:space="0" w:color="auto"/>
        <w:left w:val="none" w:sz="0" w:space="0" w:color="auto"/>
        <w:bottom w:val="none" w:sz="0" w:space="0" w:color="auto"/>
        <w:right w:val="none" w:sz="0" w:space="0" w:color="auto"/>
      </w:divBdr>
    </w:div>
    <w:div w:id="845099440">
      <w:bodyDiv w:val="1"/>
      <w:marLeft w:val="0"/>
      <w:marRight w:val="0"/>
      <w:marTop w:val="0"/>
      <w:marBottom w:val="0"/>
      <w:divBdr>
        <w:top w:val="none" w:sz="0" w:space="0" w:color="auto"/>
        <w:left w:val="none" w:sz="0" w:space="0" w:color="auto"/>
        <w:bottom w:val="none" w:sz="0" w:space="0" w:color="auto"/>
        <w:right w:val="none" w:sz="0" w:space="0" w:color="auto"/>
      </w:divBdr>
      <w:divsChild>
        <w:div w:id="1044645543">
          <w:marLeft w:val="0"/>
          <w:marRight w:val="0"/>
          <w:marTop w:val="0"/>
          <w:marBottom w:val="0"/>
          <w:divBdr>
            <w:top w:val="none" w:sz="0" w:space="0" w:color="auto"/>
            <w:left w:val="none" w:sz="0" w:space="0" w:color="auto"/>
            <w:bottom w:val="none" w:sz="0" w:space="0" w:color="auto"/>
            <w:right w:val="none" w:sz="0" w:space="0" w:color="auto"/>
          </w:divBdr>
          <w:divsChild>
            <w:div w:id="1108505172">
              <w:marLeft w:val="0"/>
              <w:marRight w:val="0"/>
              <w:marTop w:val="0"/>
              <w:marBottom w:val="0"/>
              <w:divBdr>
                <w:top w:val="none" w:sz="0" w:space="0" w:color="auto"/>
                <w:left w:val="none" w:sz="0" w:space="0" w:color="auto"/>
                <w:bottom w:val="none" w:sz="0" w:space="0" w:color="auto"/>
                <w:right w:val="none" w:sz="0" w:space="0" w:color="auto"/>
              </w:divBdr>
            </w:div>
            <w:div w:id="506212668">
              <w:marLeft w:val="0"/>
              <w:marRight w:val="0"/>
              <w:marTop w:val="0"/>
              <w:marBottom w:val="0"/>
              <w:divBdr>
                <w:top w:val="none" w:sz="0" w:space="0" w:color="auto"/>
                <w:left w:val="none" w:sz="0" w:space="0" w:color="auto"/>
                <w:bottom w:val="none" w:sz="0" w:space="0" w:color="auto"/>
                <w:right w:val="none" w:sz="0" w:space="0" w:color="auto"/>
              </w:divBdr>
            </w:div>
            <w:div w:id="1811753174">
              <w:marLeft w:val="0"/>
              <w:marRight w:val="0"/>
              <w:marTop w:val="0"/>
              <w:marBottom w:val="0"/>
              <w:divBdr>
                <w:top w:val="none" w:sz="0" w:space="0" w:color="auto"/>
                <w:left w:val="none" w:sz="0" w:space="0" w:color="auto"/>
                <w:bottom w:val="none" w:sz="0" w:space="0" w:color="auto"/>
                <w:right w:val="none" w:sz="0" w:space="0" w:color="auto"/>
              </w:divBdr>
            </w:div>
            <w:div w:id="804930746">
              <w:marLeft w:val="0"/>
              <w:marRight w:val="0"/>
              <w:marTop w:val="0"/>
              <w:marBottom w:val="0"/>
              <w:divBdr>
                <w:top w:val="none" w:sz="0" w:space="0" w:color="auto"/>
                <w:left w:val="none" w:sz="0" w:space="0" w:color="auto"/>
                <w:bottom w:val="none" w:sz="0" w:space="0" w:color="auto"/>
                <w:right w:val="none" w:sz="0" w:space="0" w:color="auto"/>
              </w:divBdr>
            </w:div>
            <w:div w:id="513110197">
              <w:marLeft w:val="0"/>
              <w:marRight w:val="0"/>
              <w:marTop w:val="0"/>
              <w:marBottom w:val="0"/>
              <w:divBdr>
                <w:top w:val="none" w:sz="0" w:space="0" w:color="auto"/>
                <w:left w:val="none" w:sz="0" w:space="0" w:color="auto"/>
                <w:bottom w:val="none" w:sz="0" w:space="0" w:color="auto"/>
                <w:right w:val="none" w:sz="0" w:space="0" w:color="auto"/>
              </w:divBdr>
            </w:div>
            <w:div w:id="1992057647">
              <w:marLeft w:val="0"/>
              <w:marRight w:val="0"/>
              <w:marTop w:val="0"/>
              <w:marBottom w:val="0"/>
              <w:divBdr>
                <w:top w:val="none" w:sz="0" w:space="0" w:color="auto"/>
                <w:left w:val="none" w:sz="0" w:space="0" w:color="auto"/>
                <w:bottom w:val="none" w:sz="0" w:space="0" w:color="auto"/>
                <w:right w:val="none" w:sz="0" w:space="0" w:color="auto"/>
              </w:divBdr>
            </w:div>
            <w:div w:id="740519916">
              <w:marLeft w:val="0"/>
              <w:marRight w:val="0"/>
              <w:marTop w:val="0"/>
              <w:marBottom w:val="0"/>
              <w:divBdr>
                <w:top w:val="none" w:sz="0" w:space="0" w:color="auto"/>
                <w:left w:val="none" w:sz="0" w:space="0" w:color="auto"/>
                <w:bottom w:val="none" w:sz="0" w:space="0" w:color="auto"/>
                <w:right w:val="none" w:sz="0" w:space="0" w:color="auto"/>
              </w:divBdr>
            </w:div>
            <w:div w:id="1391153718">
              <w:marLeft w:val="0"/>
              <w:marRight w:val="0"/>
              <w:marTop w:val="0"/>
              <w:marBottom w:val="0"/>
              <w:divBdr>
                <w:top w:val="none" w:sz="0" w:space="0" w:color="auto"/>
                <w:left w:val="none" w:sz="0" w:space="0" w:color="auto"/>
                <w:bottom w:val="none" w:sz="0" w:space="0" w:color="auto"/>
                <w:right w:val="none" w:sz="0" w:space="0" w:color="auto"/>
              </w:divBdr>
            </w:div>
            <w:div w:id="2108039740">
              <w:marLeft w:val="0"/>
              <w:marRight w:val="0"/>
              <w:marTop w:val="0"/>
              <w:marBottom w:val="0"/>
              <w:divBdr>
                <w:top w:val="none" w:sz="0" w:space="0" w:color="auto"/>
                <w:left w:val="none" w:sz="0" w:space="0" w:color="auto"/>
                <w:bottom w:val="none" w:sz="0" w:space="0" w:color="auto"/>
                <w:right w:val="none" w:sz="0" w:space="0" w:color="auto"/>
              </w:divBdr>
            </w:div>
            <w:div w:id="2074157867">
              <w:marLeft w:val="0"/>
              <w:marRight w:val="0"/>
              <w:marTop w:val="0"/>
              <w:marBottom w:val="0"/>
              <w:divBdr>
                <w:top w:val="none" w:sz="0" w:space="0" w:color="auto"/>
                <w:left w:val="none" w:sz="0" w:space="0" w:color="auto"/>
                <w:bottom w:val="none" w:sz="0" w:space="0" w:color="auto"/>
                <w:right w:val="none" w:sz="0" w:space="0" w:color="auto"/>
              </w:divBdr>
            </w:div>
            <w:div w:id="670451975">
              <w:marLeft w:val="0"/>
              <w:marRight w:val="0"/>
              <w:marTop w:val="0"/>
              <w:marBottom w:val="0"/>
              <w:divBdr>
                <w:top w:val="none" w:sz="0" w:space="0" w:color="auto"/>
                <w:left w:val="none" w:sz="0" w:space="0" w:color="auto"/>
                <w:bottom w:val="none" w:sz="0" w:space="0" w:color="auto"/>
                <w:right w:val="none" w:sz="0" w:space="0" w:color="auto"/>
              </w:divBdr>
            </w:div>
            <w:div w:id="832766090">
              <w:marLeft w:val="0"/>
              <w:marRight w:val="0"/>
              <w:marTop w:val="0"/>
              <w:marBottom w:val="0"/>
              <w:divBdr>
                <w:top w:val="none" w:sz="0" w:space="0" w:color="auto"/>
                <w:left w:val="none" w:sz="0" w:space="0" w:color="auto"/>
                <w:bottom w:val="none" w:sz="0" w:space="0" w:color="auto"/>
                <w:right w:val="none" w:sz="0" w:space="0" w:color="auto"/>
              </w:divBdr>
            </w:div>
            <w:div w:id="684673423">
              <w:marLeft w:val="0"/>
              <w:marRight w:val="0"/>
              <w:marTop w:val="0"/>
              <w:marBottom w:val="0"/>
              <w:divBdr>
                <w:top w:val="none" w:sz="0" w:space="0" w:color="auto"/>
                <w:left w:val="none" w:sz="0" w:space="0" w:color="auto"/>
                <w:bottom w:val="none" w:sz="0" w:space="0" w:color="auto"/>
                <w:right w:val="none" w:sz="0" w:space="0" w:color="auto"/>
              </w:divBdr>
            </w:div>
            <w:div w:id="18286888">
              <w:marLeft w:val="0"/>
              <w:marRight w:val="0"/>
              <w:marTop w:val="0"/>
              <w:marBottom w:val="0"/>
              <w:divBdr>
                <w:top w:val="none" w:sz="0" w:space="0" w:color="auto"/>
                <w:left w:val="none" w:sz="0" w:space="0" w:color="auto"/>
                <w:bottom w:val="none" w:sz="0" w:space="0" w:color="auto"/>
                <w:right w:val="none" w:sz="0" w:space="0" w:color="auto"/>
              </w:divBdr>
            </w:div>
            <w:div w:id="1076173109">
              <w:marLeft w:val="0"/>
              <w:marRight w:val="0"/>
              <w:marTop w:val="0"/>
              <w:marBottom w:val="0"/>
              <w:divBdr>
                <w:top w:val="none" w:sz="0" w:space="0" w:color="auto"/>
                <w:left w:val="none" w:sz="0" w:space="0" w:color="auto"/>
                <w:bottom w:val="none" w:sz="0" w:space="0" w:color="auto"/>
                <w:right w:val="none" w:sz="0" w:space="0" w:color="auto"/>
              </w:divBdr>
            </w:div>
            <w:div w:id="450365452">
              <w:marLeft w:val="0"/>
              <w:marRight w:val="0"/>
              <w:marTop w:val="0"/>
              <w:marBottom w:val="0"/>
              <w:divBdr>
                <w:top w:val="none" w:sz="0" w:space="0" w:color="auto"/>
                <w:left w:val="none" w:sz="0" w:space="0" w:color="auto"/>
                <w:bottom w:val="none" w:sz="0" w:space="0" w:color="auto"/>
                <w:right w:val="none" w:sz="0" w:space="0" w:color="auto"/>
              </w:divBdr>
            </w:div>
            <w:div w:id="1332677120">
              <w:marLeft w:val="0"/>
              <w:marRight w:val="0"/>
              <w:marTop w:val="0"/>
              <w:marBottom w:val="0"/>
              <w:divBdr>
                <w:top w:val="none" w:sz="0" w:space="0" w:color="auto"/>
                <w:left w:val="none" w:sz="0" w:space="0" w:color="auto"/>
                <w:bottom w:val="none" w:sz="0" w:space="0" w:color="auto"/>
                <w:right w:val="none" w:sz="0" w:space="0" w:color="auto"/>
              </w:divBdr>
            </w:div>
            <w:div w:id="849837475">
              <w:marLeft w:val="0"/>
              <w:marRight w:val="0"/>
              <w:marTop w:val="0"/>
              <w:marBottom w:val="0"/>
              <w:divBdr>
                <w:top w:val="none" w:sz="0" w:space="0" w:color="auto"/>
                <w:left w:val="none" w:sz="0" w:space="0" w:color="auto"/>
                <w:bottom w:val="none" w:sz="0" w:space="0" w:color="auto"/>
                <w:right w:val="none" w:sz="0" w:space="0" w:color="auto"/>
              </w:divBdr>
            </w:div>
            <w:div w:id="2120054866">
              <w:marLeft w:val="0"/>
              <w:marRight w:val="0"/>
              <w:marTop w:val="0"/>
              <w:marBottom w:val="0"/>
              <w:divBdr>
                <w:top w:val="none" w:sz="0" w:space="0" w:color="auto"/>
                <w:left w:val="none" w:sz="0" w:space="0" w:color="auto"/>
                <w:bottom w:val="none" w:sz="0" w:space="0" w:color="auto"/>
                <w:right w:val="none" w:sz="0" w:space="0" w:color="auto"/>
              </w:divBdr>
            </w:div>
            <w:div w:id="397216509">
              <w:marLeft w:val="0"/>
              <w:marRight w:val="0"/>
              <w:marTop w:val="0"/>
              <w:marBottom w:val="0"/>
              <w:divBdr>
                <w:top w:val="none" w:sz="0" w:space="0" w:color="auto"/>
                <w:left w:val="none" w:sz="0" w:space="0" w:color="auto"/>
                <w:bottom w:val="none" w:sz="0" w:space="0" w:color="auto"/>
                <w:right w:val="none" w:sz="0" w:space="0" w:color="auto"/>
              </w:divBdr>
            </w:div>
            <w:div w:id="474496862">
              <w:marLeft w:val="0"/>
              <w:marRight w:val="0"/>
              <w:marTop w:val="0"/>
              <w:marBottom w:val="0"/>
              <w:divBdr>
                <w:top w:val="none" w:sz="0" w:space="0" w:color="auto"/>
                <w:left w:val="none" w:sz="0" w:space="0" w:color="auto"/>
                <w:bottom w:val="none" w:sz="0" w:space="0" w:color="auto"/>
                <w:right w:val="none" w:sz="0" w:space="0" w:color="auto"/>
              </w:divBdr>
            </w:div>
            <w:div w:id="359664947">
              <w:marLeft w:val="0"/>
              <w:marRight w:val="0"/>
              <w:marTop w:val="0"/>
              <w:marBottom w:val="0"/>
              <w:divBdr>
                <w:top w:val="none" w:sz="0" w:space="0" w:color="auto"/>
                <w:left w:val="none" w:sz="0" w:space="0" w:color="auto"/>
                <w:bottom w:val="none" w:sz="0" w:space="0" w:color="auto"/>
                <w:right w:val="none" w:sz="0" w:space="0" w:color="auto"/>
              </w:divBdr>
            </w:div>
            <w:div w:id="1679698059">
              <w:marLeft w:val="0"/>
              <w:marRight w:val="0"/>
              <w:marTop w:val="0"/>
              <w:marBottom w:val="0"/>
              <w:divBdr>
                <w:top w:val="none" w:sz="0" w:space="0" w:color="auto"/>
                <w:left w:val="none" w:sz="0" w:space="0" w:color="auto"/>
                <w:bottom w:val="none" w:sz="0" w:space="0" w:color="auto"/>
                <w:right w:val="none" w:sz="0" w:space="0" w:color="auto"/>
              </w:divBdr>
            </w:div>
            <w:div w:id="1918856777">
              <w:marLeft w:val="0"/>
              <w:marRight w:val="0"/>
              <w:marTop w:val="0"/>
              <w:marBottom w:val="0"/>
              <w:divBdr>
                <w:top w:val="none" w:sz="0" w:space="0" w:color="auto"/>
                <w:left w:val="none" w:sz="0" w:space="0" w:color="auto"/>
                <w:bottom w:val="none" w:sz="0" w:space="0" w:color="auto"/>
                <w:right w:val="none" w:sz="0" w:space="0" w:color="auto"/>
              </w:divBdr>
            </w:div>
            <w:div w:id="2963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140">
      <w:bodyDiv w:val="1"/>
      <w:marLeft w:val="0"/>
      <w:marRight w:val="0"/>
      <w:marTop w:val="0"/>
      <w:marBottom w:val="0"/>
      <w:divBdr>
        <w:top w:val="none" w:sz="0" w:space="0" w:color="auto"/>
        <w:left w:val="none" w:sz="0" w:space="0" w:color="auto"/>
        <w:bottom w:val="none" w:sz="0" w:space="0" w:color="auto"/>
        <w:right w:val="none" w:sz="0" w:space="0" w:color="auto"/>
      </w:divBdr>
    </w:div>
    <w:div w:id="912199374">
      <w:bodyDiv w:val="1"/>
      <w:marLeft w:val="0"/>
      <w:marRight w:val="0"/>
      <w:marTop w:val="0"/>
      <w:marBottom w:val="0"/>
      <w:divBdr>
        <w:top w:val="none" w:sz="0" w:space="0" w:color="auto"/>
        <w:left w:val="none" w:sz="0" w:space="0" w:color="auto"/>
        <w:bottom w:val="none" w:sz="0" w:space="0" w:color="auto"/>
        <w:right w:val="none" w:sz="0" w:space="0" w:color="auto"/>
      </w:divBdr>
    </w:div>
    <w:div w:id="928079495">
      <w:bodyDiv w:val="1"/>
      <w:marLeft w:val="0"/>
      <w:marRight w:val="0"/>
      <w:marTop w:val="0"/>
      <w:marBottom w:val="0"/>
      <w:divBdr>
        <w:top w:val="none" w:sz="0" w:space="0" w:color="auto"/>
        <w:left w:val="none" w:sz="0" w:space="0" w:color="auto"/>
        <w:bottom w:val="none" w:sz="0" w:space="0" w:color="auto"/>
        <w:right w:val="none" w:sz="0" w:space="0" w:color="auto"/>
      </w:divBdr>
      <w:divsChild>
        <w:div w:id="1877083291">
          <w:marLeft w:val="0"/>
          <w:marRight w:val="0"/>
          <w:marTop w:val="0"/>
          <w:marBottom w:val="0"/>
          <w:divBdr>
            <w:top w:val="none" w:sz="0" w:space="0" w:color="auto"/>
            <w:left w:val="none" w:sz="0" w:space="0" w:color="auto"/>
            <w:bottom w:val="none" w:sz="0" w:space="0" w:color="auto"/>
            <w:right w:val="none" w:sz="0" w:space="0" w:color="auto"/>
          </w:divBdr>
          <w:divsChild>
            <w:div w:id="1267422007">
              <w:marLeft w:val="0"/>
              <w:marRight w:val="0"/>
              <w:marTop w:val="0"/>
              <w:marBottom w:val="0"/>
              <w:divBdr>
                <w:top w:val="none" w:sz="0" w:space="0" w:color="auto"/>
                <w:left w:val="none" w:sz="0" w:space="0" w:color="auto"/>
                <w:bottom w:val="none" w:sz="0" w:space="0" w:color="auto"/>
                <w:right w:val="none" w:sz="0" w:space="0" w:color="auto"/>
              </w:divBdr>
            </w:div>
            <w:div w:id="212083379">
              <w:marLeft w:val="0"/>
              <w:marRight w:val="0"/>
              <w:marTop w:val="0"/>
              <w:marBottom w:val="0"/>
              <w:divBdr>
                <w:top w:val="none" w:sz="0" w:space="0" w:color="auto"/>
                <w:left w:val="none" w:sz="0" w:space="0" w:color="auto"/>
                <w:bottom w:val="none" w:sz="0" w:space="0" w:color="auto"/>
                <w:right w:val="none" w:sz="0" w:space="0" w:color="auto"/>
              </w:divBdr>
            </w:div>
            <w:div w:id="1300648044">
              <w:marLeft w:val="0"/>
              <w:marRight w:val="0"/>
              <w:marTop w:val="0"/>
              <w:marBottom w:val="0"/>
              <w:divBdr>
                <w:top w:val="none" w:sz="0" w:space="0" w:color="auto"/>
                <w:left w:val="none" w:sz="0" w:space="0" w:color="auto"/>
                <w:bottom w:val="none" w:sz="0" w:space="0" w:color="auto"/>
                <w:right w:val="none" w:sz="0" w:space="0" w:color="auto"/>
              </w:divBdr>
            </w:div>
            <w:div w:id="1298878677">
              <w:marLeft w:val="0"/>
              <w:marRight w:val="0"/>
              <w:marTop w:val="0"/>
              <w:marBottom w:val="0"/>
              <w:divBdr>
                <w:top w:val="none" w:sz="0" w:space="0" w:color="auto"/>
                <w:left w:val="none" w:sz="0" w:space="0" w:color="auto"/>
                <w:bottom w:val="none" w:sz="0" w:space="0" w:color="auto"/>
                <w:right w:val="none" w:sz="0" w:space="0" w:color="auto"/>
              </w:divBdr>
            </w:div>
            <w:div w:id="589242166">
              <w:marLeft w:val="0"/>
              <w:marRight w:val="0"/>
              <w:marTop w:val="0"/>
              <w:marBottom w:val="0"/>
              <w:divBdr>
                <w:top w:val="none" w:sz="0" w:space="0" w:color="auto"/>
                <w:left w:val="none" w:sz="0" w:space="0" w:color="auto"/>
                <w:bottom w:val="none" w:sz="0" w:space="0" w:color="auto"/>
                <w:right w:val="none" w:sz="0" w:space="0" w:color="auto"/>
              </w:divBdr>
            </w:div>
            <w:div w:id="1609921209">
              <w:marLeft w:val="0"/>
              <w:marRight w:val="0"/>
              <w:marTop w:val="0"/>
              <w:marBottom w:val="0"/>
              <w:divBdr>
                <w:top w:val="none" w:sz="0" w:space="0" w:color="auto"/>
                <w:left w:val="none" w:sz="0" w:space="0" w:color="auto"/>
                <w:bottom w:val="none" w:sz="0" w:space="0" w:color="auto"/>
                <w:right w:val="none" w:sz="0" w:space="0" w:color="auto"/>
              </w:divBdr>
            </w:div>
            <w:div w:id="1356614871">
              <w:marLeft w:val="0"/>
              <w:marRight w:val="0"/>
              <w:marTop w:val="0"/>
              <w:marBottom w:val="0"/>
              <w:divBdr>
                <w:top w:val="none" w:sz="0" w:space="0" w:color="auto"/>
                <w:left w:val="none" w:sz="0" w:space="0" w:color="auto"/>
                <w:bottom w:val="none" w:sz="0" w:space="0" w:color="auto"/>
                <w:right w:val="none" w:sz="0" w:space="0" w:color="auto"/>
              </w:divBdr>
            </w:div>
            <w:div w:id="2131587382">
              <w:marLeft w:val="0"/>
              <w:marRight w:val="0"/>
              <w:marTop w:val="0"/>
              <w:marBottom w:val="0"/>
              <w:divBdr>
                <w:top w:val="none" w:sz="0" w:space="0" w:color="auto"/>
                <w:left w:val="none" w:sz="0" w:space="0" w:color="auto"/>
                <w:bottom w:val="none" w:sz="0" w:space="0" w:color="auto"/>
                <w:right w:val="none" w:sz="0" w:space="0" w:color="auto"/>
              </w:divBdr>
            </w:div>
            <w:div w:id="1237934382">
              <w:marLeft w:val="0"/>
              <w:marRight w:val="0"/>
              <w:marTop w:val="0"/>
              <w:marBottom w:val="0"/>
              <w:divBdr>
                <w:top w:val="none" w:sz="0" w:space="0" w:color="auto"/>
                <w:left w:val="none" w:sz="0" w:space="0" w:color="auto"/>
                <w:bottom w:val="none" w:sz="0" w:space="0" w:color="auto"/>
                <w:right w:val="none" w:sz="0" w:space="0" w:color="auto"/>
              </w:divBdr>
            </w:div>
            <w:div w:id="1019816782">
              <w:marLeft w:val="0"/>
              <w:marRight w:val="0"/>
              <w:marTop w:val="0"/>
              <w:marBottom w:val="0"/>
              <w:divBdr>
                <w:top w:val="none" w:sz="0" w:space="0" w:color="auto"/>
                <w:left w:val="none" w:sz="0" w:space="0" w:color="auto"/>
                <w:bottom w:val="none" w:sz="0" w:space="0" w:color="auto"/>
                <w:right w:val="none" w:sz="0" w:space="0" w:color="auto"/>
              </w:divBdr>
            </w:div>
            <w:div w:id="1756971681">
              <w:marLeft w:val="0"/>
              <w:marRight w:val="0"/>
              <w:marTop w:val="0"/>
              <w:marBottom w:val="0"/>
              <w:divBdr>
                <w:top w:val="none" w:sz="0" w:space="0" w:color="auto"/>
                <w:left w:val="none" w:sz="0" w:space="0" w:color="auto"/>
                <w:bottom w:val="none" w:sz="0" w:space="0" w:color="auto"/>
                <w:right w:val="none" w:sz="0" w:space="0" w:color="auto"/>
              </w:divBdr>
            </w:div>
            <w:div w:id="1081948591">
              <w:marLeft w:val="0"/>
              <w:marRight w:val="0"/>
              <w:marTop w:val="0"/>
              <w:marBottom w:val="0"/>
              <w:divBdr>
                <w:top w:val="none" w:sz="0" w:space="0" w:color="auto"/>
                <w:left w:val="none" w:sz="0" w:space="0" w:color="auto"/>
                <w:bottom w:val="none" w:sz="0" w:space="0" w:color="auto"/>
                <w:right w:val="none" w:sz="0" w:space="0" w:color="auto"/>
              </w:divBdr>
            </w:div>
            <w:div w:id="121772576">
              <w:marLeft w:val="0"/>
              <w:marRight w:val="0"/>
              <w:marTop w:val="0"/>
              <w:marBottom w:val="0"/>
              <w:divBdr>
                <w:top w:val="none" w:sz="0" w:space="0" w:color="auto"/>
                <w:left w:val="none" w:sz="0" w:space="0" w:color="auto"/>
                <w:bottom w:val="none" w:sz="0" w:space="0" w:color="auto"/>
                <w:right w:val="none" w:sz="0" w:space="0" w:color="auto"/>
              </w:divBdr>
            </w:div>
            <w:div w:id="1144548163">
              <w:marLeft w:val="0"/>
              <w:marRight w:val="0"/>
              <w:marTop w:val="0"/>
              <w:marBottom w:val="0"/>
              <w:divBdr>
                <w:top w:val="none" w:sz="0" w:space="0" w:color="auto"/>
                <w:left w:val="none" w:sz="0" w:space="0" w:color="auto"/>
                <w:bottom w:val="none" w:sz="0" w:space="0" w:color="auto"/>
                <w:right w:val="none" w:sz="0" w:space="0" w:color="auto"/>
              </w:divBdr>
            </w:div>
            <w:div w:id="402995953">
              <w:marLeft w:val="0"/>
              <w:marRight w:val="0"/>
              <w:marTop w:val="0"/>
              <w:marBottom w:val="0"/>
              <w:divBdr>
                <w:top w:val="none" w:sz="0" w:space="0" w:color="auto"/>
                <w:left w:val="none" w:sz="0" w:space="0" w:color="auto"/>
                <w:bottom w:val="none" w:sz="0" w:space="0" w:color="auto"/>
                <w:right w:val="none" w:sz="0" w:space="0" w:color="auto"/>
              </w:divBdr>
            </w:div>
            <w:div w:id="1128666157">
              <w:marLeft w:val="0"/>
              <w:marRight w:val="0"/>
              <w:marTop w:val="0"/>
              <w:marBottom w:val="0"/>
              <w:divBdr>
                <w:top w:val="none" w:sz="0" w:space="0" w:color="auto"/>
                <w:left w:val="none" w:sz="0" w:space="0" w:color="auto"/>
                <w:bottom w:val="none" w:sz="0" w:space="0" w:color="auto"/>
                <w:right w:val="none" w:sz="0" w:space="0" w:color="auto"/>
              </w:divBdr>
            </w:div>
            <w:div w:id="206331836">
              <w:marLeft w:val="0"/>
              <w:marRight w:val="0"/>
              <w:marTop w:val="0"/>
              <w:marBottom w:val="0"/>
              <w:divBdr>
                <w:top w:val="none" w:sz="0" w:space="0" w:color="auto"/>
                <w:left w:val="none" w:sz="0" w:space="0" w:color="auto"/>
                <w:bottom w:val="none" w:sz="0" w:space="0" w:color="auto"/>
                <w:right w:val="none" w:sz="0" w:space="0" w:color="auto"/>
              </w:divBdr>
            </w:div>
            <w:div w:id="1354839089">
              <w:marLeft w:val="0"/>
              <w:marRight w:val="0"/>
              <w:marTop w:val="0"/>
              <w:marBottom w:val="0"/>
              <w:divBdr>
                <w:top w:val="none" w:sz="0" w:space="0" w:color="auto"/>
                <w:left w:val="none" w:sz="0" w:space="0" w:color="auto"/>
                <w:bottom w:val="none" w:sz="0" w:space="0" w:color="auto"/>
                <w:right w:val="none" w:sz="0" w:space="0" w:color="auto"/>
              </w:divBdr>
            </w:div>
            <w:div w:id="1328096834">
              <w:marLeft w:val="0"/>
              <w:marRight w:val="0"/>
              <w:marTop w:val="0"/>
              <w:marBottom w:val="0"/>
              <w:divBdr>
                <w:top w:val="none" w:sz="0" w:space="0" w:color="auto"/>
                <w:left w:val="none" w:sz="0" w:space="0" w:color="auto"/>
                <w:bottom w:val="none" w:sz="0" w:space="0" w:color="auto"/>
                <w:right w:val="none" w:sz="0" w:space="0" w:color="auto"/>
              </w:divBdr>
            </w:div>
            <w:div w:id="1076122625">
              <w:marLeft w:val="0"/>
              <w:marRight w:val="0"/>
              <w:marTop w:val="0"/>
              <w:marBottom w:val="0"/>
              <w:divBdr>
                <w:top w:val="none" w:sz="0" w:space="0" w:color="auto"/>
                <w:left w:val="none" w:sz="0" w:space="0" w:color="auto"/>
                <w:bottom w:val="none" w:sz="0" w:space="0" w:color="auto"/>
                <w:right w:val="none" w:sz="0" w:space="0" w:color="auto"/>
              </w:divBdr>
            </w:div>
            <w:div w:id="1423406597">
              <w:marLeft w:val="0"/>
              <w:marRight w:val="0"/>
              <w:marTop w:val="0"/>
              <w:marBottom w:val="0"/>
              <w:divBdr>
                <w:top w:val="none" w:sz="0" w:space="0" w:color="auto"/>
                <w:left w:val="none" w:sz="0" w:space="0" w:color="auto"/>
                <w:bottom w:val="none" w:sz="0" w:space="0" w:color="auto"/>
                <w:right w:val="none" w:sz="0" w:space="0" w:color="auto"/>
              </w:divBdr>
            </w:div>
            <w:div w:id="1368332549">
              <w:marLeft w:val="0"/>
              <w:marRight w:val="0"/>
              <w:marTop w:val="0"/>
              <w:marBottom w:val="0"/>
              <w:divBdr>
                <w:top w:val="none" w:sz="0" w:space="0" w:color="auto"/>
                <w:left w:val="none" w:sz="0" w:space="0" w:color="auto"/>
                <w:bottom w:val="none" w:sz="0" w:space="0" w:color="auto"/>
                <w:right w:val="none" w:sz="0" w:space="0" w:color="auto"/>
              </w:divBdr>
            </w:div>
            <w:div w:id="1971015744">
              <w:marLeft w:val="0"/>
              <w:marRight w:val="0"/>
              <w:marTop w:val="0"/>
              <w:marBottom w:val="0"/>
              <w:divBdr>
                <w:top w:val="none" w:sz="0" w:space="0" w:color="auto"/>
                <w:left w:val="none" w:sz="0" w:space="0" w:color="auto"/>
                <w:bottom w:val="none" w:sz="0" w:space="0" w:color="auto"/>
                <w:right w:val="none" w:sz="0" w:space="0" w:color="auto"/>
              </w:divBdr>
            </w:div>
            <w:div w:id="1019041901">
              <w:marLeft w:val="0"/>
              <w:marRight w:val="0"/>
              <w:marTop w:val="0"/>
              <w:marBottom w:val="0"/>
              <w:divBdr>
                <w:top w:val="none" w:sz="0" w:space="0" w:color="auto"/>
                <w:left w:val="none" w:sz="0" w:space="0" w:color="auto"/>
                <w:bottom w:val="none" w:sz="0" w:space="0" w:color="auto"/>
                <w:right w:val="none" w:sz="0" w:space="0" w:color="auto"/>
              </w:divBdr>
            </w:div>
            <w:div w:id="1947616130">
              <w:marLeft w:val="0"/>
              <w:marRight w:val="0"/>
              <w:marTop w:val="0"/>
              <w:marBottom w:val="0"/>
              <w:divBdr>
                <w:top w:val="none" w:sz="0" w:space="0" w:color="auto"/>
                <w:left w:val="none" w:sz="0" w:space="0" w:color="auto"/>
                <w:bottom w:val="none" w:sz="0" w:space="0" w:color="auto"/>
                <w:right w:val="none" w:sz="0" w:space="0" w:color="auto"/>
              </w:divBdr>
            </w:div>
            <w:div w:id="2063823165">
              <w:marLeft w:val="0"/>
              <w:marRight w:val="0"/>
              <w:marTop w:val="0"/>
              <w:marBottom w:val="0"/>
              <w:divBdr>
                <w:top w:val="none" w:sz="0" w:space="0" w:color="auto"/>
                <w:left w:val="none" w:sz="0" w:space="0" w:color="auto"/>
                <w:bottom w:val="none" w:sz="0" w:space="0" w:color="auto"/>
                <w:right w:val="none" w:sz="0" w:space="0" w:color="auto"/>
              </w:divBdr>
            </w:div>
            <w:div w:id="1387603272">
              <w:marLeft w:val="0"/>
              <w:marRight w:val="0"/>
              <w:marTop w:val="0"/>
              <w:marBottom w:val="0"/>
              <w:divBdr>
                <w:top w:val="none" w:sz="0" w:space="0" w:color="auto"/>
                <w:left w:val="none" w:sz="0" w:space="0" w:color="auto"/>
                <w:bottom w:val="none" w:sz="0" w:space="0" w:color="auto"/>
                <w:right w:val="none" w:sz="0" w:space="0" w:color="auto"/>
              </w:divBdr>
            </w:div>
            <w:div w:id="1331568017">
              <w:marLeft w:val="0"/>
              <w:marRight w:val="0"/>
              <w:marTop w:val="0"/>
              <w:marBottom w:val="0"/>
              <w:divBdr>
                <w:top w:val="none" w:sz="0" w:space="0" w:color="auto"/>
                <w:left w:val="none" w:sz="0" w:space="0" w:color="auto"/>
                <w:bottom w:val="none" w:sz="0" w:space="0" w:color="auto"/>
                <w:right w:val="none" w:sz="0" w:space="0" w:color="auto"/>
              </w:divBdr>
            </w:div>
            <w:div w:id="1186791708">
              <w:marLeft w:val="0"/>
              <w:marRight w:val="0"/>
              <w:marTop w:val="0"/>
              <w:marBottom w:val="0"/>
              <w:divBdr>
                <w:top w:val="none" w:sz="0" w:space="0" w:color="auto"/>
                <w:left w:val="none" w:sz="0" w:space="0" w:color="auto"/>
                <w:bottom w:val="none" w:sz="0" w:space="0" w:color="auto"/>
                <w:right w:val="none" w:sz="0" w:space="0" w:color="auto"/>
              </w:divBdr>
            </w:div>
            <w:div w:id="156576971">
              <w:marLeft w:val="0"/>
              <w:marRight w:val="0"/>
              <w:marTop w:val="0"/>
              <w:marBottom w:val="0"/>
              <w:divBdr>
                <w:top w:val="none" w:sz="0" w:space="0" w:color="auto"/>
                <w:left w:val="none" w:sz="0" w:space="0" w:color="auto"/>
                <w:bottom w:val="none" w:sz="0" w:space="0" w:color="auto"/>
                <w:right w:val="none" w:sz="0" w:space="0" w:color="auto"/>
              </w:divBdr>
            </w:div>
            <w:div w:id="1811285051">
              <w:marLeft w:val="0"/>
              <w:marRight w:val="0"/>
              <w:marTop w:val="0"/>
              <w:marBottom w:val="0"/>
              <w:divBdr>
                <w:top w:val="none" w:sz="0" w:space="0" w:color="auto"/>
                <w:left w:val="none" w:sz="0" w:space="0" w:color="auto"/>
                <w:bottom w:val="none" w:sz="0" w:space="0" w:color="auto"/>
                <w:right w:val="none" w:sz="0" w:space="0" w:color="auto"/>
              </w:divBdr>
            </w:div>
            <w:div w:id="1367221104">
              <w:marLeft w:val="0"/>
              <w:marRight w:val="0"/>
              <w:marTop w:val="0"/>
              <w:marBottom w:val="0"/>
              <w:divBdr>
                <w:top w:val="none" w:sz="0" w:space="0" w:color="auto"/>
                <w:left w:val="none" w:sz="0" w:space="0" w:color="auto"/>
                <w:bottom w:val="none" w:sz="0" w:space="0" w:color="auto"/>
                <w:right w:val="none" w:sz="0" w:space="0" w:color="auto"/>
              </w:divBdr>
            </w:div>
            <w:div w:id="300379364">
              <w:marLeft w:val="0"/>
              <w:marRight w:val="0"/>
              <w:marTop w:val="0"/>
              <w:marBottom w:val="0"/>
              <w:divBdr>
                <w:top w:val="none" w:sz="0" w:space="0" w:color="auto"/>
                <w:left w:val="none" w:sz="0" w:space="0" w:color="auto"/>
                <w:bottom w:val="none" w:sz="0" w:space="0" w:color="auto"/>
                <w:right w:val="none" w:sz="0" w:space="0" w:color="auto"/>
              </w:divBdr>
            </w:div>
            <w:div w:id="355084821">
              <w:marLeft w:val="0"/>
              <w:marRight w:val="0"/>
              <w:marTop w:val="0"/>
              <w:marBottom w:val="0"/>
              <w:divBdr>
                <w:top w:val="none" w:sz="0" w:space="0" w:color="auto"/>
                <w:left w:val="none" w:sz="0" w:space="0" w:color="auto"/>
                <w:bottom w:val="none" w:sz="0" w:space="0" w:color="auto"/>
                <w:right w:val="none" w:sz="0" w:space="0" w:color="auto"/>
              </w:divBdr>
            </w:div>
            <w:div w:id="1909076725">
              <w:marLeft w:val="0"/>
              <w:marRight w:val="0"/>
              <w:marTop w:val="0"/>
              <w:marBottom w:val="0"/>
              <w:divBdr>
                <w:top w:val="none" w:sz="0" w:space="0" w:color="auto"/>
                <w:left w:val="none" w:sz="0" w:space="0" w:color="auto"/>
                <w:bottom w:val="none" w:sz="0" w:space="0" w:color="auto"/>
                <w:right w:val="none" w:sz="0" w:space="0" w:color="auto"/>
              </w:divBdr>
            </w:div>
            <w:div w:id="18004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415">
      <w:bodyDiv w:val="1"/>
      <w:marLeft w:val="0"/>
      <w:marRight w:val="0"/>
      <w:marTop w:val="0"/>
      <w:marBottom w:val="0"/>
      <w:divBdr>
        <w:top w:val="none" w:sz="0" w:space="0" w:color="auto"/>
        <w:left w:val="none" w:sz="0" w:space="0" w:color="auto"/>
        <w:bottom w:val="none" w:sz="0" w:space="0" w:color="auto"/>
        <w:right w:val="none" w:sz="0" w:space="0" w:color="auto"/>
      </w:divBdr>
      <w:divsChild>
        <w:div w:id="494928264">
          <w:marLeft w:val="0"/>
          <w:marRight w:val="0"/>
          <w:marTop w:val="0"/>
          <w:marBottom w:val="0"/>
          <w:divBdr>
            <w:top w:val="none" w:sz="0" w:space="0" w:color="auto"/>
            <w:left w:val="none" w:sz="0" w:space="0" w:color="auto"/>
            <w:bottom w:val="none" w:sz="0" w:space="0" w:color="auto"/>
            <w:right w:val="none" w:sz="0" w:space="0" w:color="auto"/>
          </w:divBdr>
          <w:divsChild>
            <w:div w:id="1494641291">
              <w:marLeft w:val="0"/>
              <w:marRight w:val="0"/>
              <w:marTop w:val="0"/>
              <w:marBottom w:val="0"/>
              <w:divBdr>
                <w:top w:val="none" w:sz="0" w:space="0" w:color="auto"/>
                <w:left w:val="none" w:sz="0" w:space="0" w:color="auto"/>
                <w:bottom w:val="none" w:sz="0" w:space="0" w:color="auto"/>
                <w:right w:val="none" w:sz="0" w:space="0" w:color="auto"/>
              </w:divBdr>
            </w:div>
            <w:div w:id="1913201920">
              <w:marLeft w:val="0"/>
              <w:marRight w:val="0"/>
              <w:marTop w:val="0"/>
              <w:marBottom w:val="0"/>
              <w:divBdr>
                <w:top w:val="none" w:sz="0" w:space="0" w:color="auto"/>
                <w:left w:val="none" w:sz="0" w:space="0" w:color="auto"/>
                <w:bottom w:val="none" w:sz="0" w:space="0" w:color="auto"/>
                <w:right w:val="none" w:sz="0" w:space="0" w:color="auto"/>
              </w:divBdr>
            </w:div>
            <w:div w:id="78917663">
              <w:marLeft w:val="0"/>
              <w:marRight w:val="0"/>
              <w:marTop w:val="0"/>
              <w:marBottom w:val="0"/>
              <w:divBdr>
                <w:top w:val="none" w:sz="0" w:space="0" w:color="auto"/>
                <w:left w:val="none" w:sz="0" w:space="0" w:color="auto"/>
                <w:bottom w:val="none" w:sz="0" w:space="0" w:color="auto"/>
                <w:right w:val="none" w:sz="0" w:space="0" w:color="auto"/>
              </w:divBdr>
            </w:div>
            <w:div w:id="923031258">
              <w:marLeft w:val="0"/>
              <w:marRight w:val="0"/>
              <w:marTop w:val="0"/>
              <w:marBottom w:val="0"/>
              <w:divBdr>
                <w:top w:val="none" w:sz="0" w:space="0" w:color="auto"/>
                <w:left w:val="none" w:sz="0" w:space="0" w:color="auto"/>
                <w:bottom w:val="none" w:sz="0" w:space="0" w:color="auto"/>
                <w:right w:val="none" w:sz="0" w:space="0" w:color="auto"/>
              </w:divBdr>
            </w:div>
            <w:div w:id="415250935">
              <w:marLeft w:val="0"/>
              <w:marRight w:val="0"/>
              <w:marTop w:val="0"/>
              <w:marBottom w:val="0"/>
              <w:divBdr>
                <w:top w:val="none" w:sz="0" w:space="0" w:color="auto"/>
                <w:left w:val="none" w:sz="0" w:space="0" w:color="auto"/>
                <w:bottom w:val="none" w:sz="0" w:space="0" w:color="auto"/>
                <w:right w:val="none" w:sz="0" w:space="0" w:color="auto"/>
              </w:divBdr>
            </w:div>
            <w:div w:id="1161896178">
              <w:marLeft w:val="0"/>
              <w:marRight w:val="0"/>
              <w:marTop w:val="0"/>
              <w:marBottom w:val="0"/>
              <w:divBdr>
                <w:top w:val="none" w:sz="0" w:space="0" w:color="auto"/>
                <w:left w:val="none" w:sz="0" w:space="0" w:color="auto"/>
                <w:bottom w:val="none" w:sz="0" w:space="0" w:color="auto"/>
                <w:right w:val="none" w:sz="0" w:space="0" w:color="auto"/>
              </w:divBdr>
            </w:div>
            <w:div w:id="48461637">
              <w:marLeft w:val="0"/>
              <w:marRight w:val="0"/>
              <w:marTop w:val="0"/>
              <w:marBottom w:val="0"/>
              <w:divBdr>
                <w:top w:val="none" w:sz="0" w:space="0" w:color="auto"/>
                <w:left w:val="none" w:sz="0" w:space="0" w:color="auto"/>
                <w:bottom w:val="none" w:sz="0" w:space="0" w:color="auto"/>
                <w:right w:val="none" w:sz="0" w:space="0" w:color="auto"/>
              </w:divBdr>
            </w:div>
            <w:div w:id="837307790">
              <w:marLeft w:val="0"/>
              <w:marRight w:val="0"/>
              <w:marTop w:val="0"/>
              <w:marBottom w:val="0"/>
              <w:divBdr>
                <w:top w:val="none" w:sz="0" w:space="0" w:color="auto"/>
                <w:left w:val="none" w:sz="0" w:space="0" w:color="auto"/>
                <w:bottom w:val="none" w:sz="0" w:space="0" w:color="auto"/>
                <w:right w:val="none" w:sz="0" w:space="0" w:color="auto"/>
              </w:divBdr>
            </w:div>
            <w:div w:id="13042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69">
      <w:bodyDiv w:val="1"/>
      <w:marLeft w:val="0"/>
      <w:marRight w:val="0"/>
      <w:marTop w:val="0"/>
      <w:marBottom w:val="0"/>
      <w:divBdr>
        <w:top w:val="none" w:sz="0" w:space="0" w:color="auto"/>
        <w:left w:val="none" w:sz="0" w:space="0" w:color="auto"/>
        <w:bottom w:val="none" w:sz="0" w:space="0" w:color="auto"/>
        <w:right w:val="none" w:sz="0" w:space="0" w:color="auto"/>
      </w:divBdr>
      <w:divsChild>
        <w:div w:id="22480584">
          <w:marLeft w:val="0"/>
          <w:marRight w:val="0"/>
          <w:marTop w:val="0"/>
          <w:marBottom w:val="0"/>
          <w:divBdr>
            <w:top w:val="none" w:sz="0" w:space="0" w:color="auto"/>
            <w:left w:val="none" w:sz="0" w:space="0" w:color="auto"/>
            <w:bottom w:val="none" w:sz="0" w:space="0" w:color="auto"/>
            <w:right w:val="none" w:sz="0" w:space="0" w:color="auto"/>
          </w:divBdr>
          <w:divsChild>
            <w:div w:id="582647466">
              <w:marLeft w:val="0"/>
              <w:marRight w:val="0"/>
              <w:marTop w:val="0"/>
              <w:marBottom w:val="0"/>
              <w:divBdr>
                <w:top w:val="none" w:sz="0" w:space="0" w:color="auto"/>
                <w:left w:val="none" w:sz="0" w:space="0" w:color="auto"/>
                <w:bottom w:val="none" w:sz="0" w:space="0" w:color="auto"/>
                <w:right w:val="none" w:sz="0" w:space="0" w:color="auto"/>
              </w:divBdr>
            </w:div>
            <w:div w:id="1621450423">
              <w:marLeft w:val="0"/>
              <w:marRight w:val="0"/>
              <w:marTop w:val="0"/>
              <w:marBottom w:val="0"/>
              <w:divBdr>
                <w:top w:val="none" w:sz="0" w:space="0" w:color="auto"/>
                <w:left w:val="none" w:sz="0" w:space="0" w:color="auto"/>
                <w:bottom w:val="none" w:sz="0" w:space="0" w:color="auto"/>
                <w:right w:val="none" w:sz="0" w:space="0" w:color="auto"/>
              </w:divBdr>
            </w:div>
            <w:div w:id="666711591">
              <w:marLeft w:val="0"/>
              <w:marRight w:val="0"/>
              <w:marTop w:val="0"/>
              <w:marBottom w:val="0"/>
              <w:divBdr>
                <w:top w:val="none" w:sz="0" w:space="0" w:color="auto"/>
                <w:left w:val="none" w:sz="0" w:space="0" w:color="auto"/>
                <w:bottom w:val="none" w:sz="0" w:space="0" w:color="auto"/>
                <w:right w:val="none" w:sz="0" w:space="0" w:color="auto"/>
              </w:divBdr>
            </w:div>
            <w:div w:id="169410617">
              <w:marLeft w:val="0"/>
              <w:marRight w:val="0"/>
              <w:marTop w:val="0"/>
              <w:marBottom w:val="0"/>
              <w:divBdr>
                <w:top w:val="none" w:sz="0" w:space="0" w:color="auto"/>
                <w:left w:val="none" w:sz="0" w:space="0" w:color="auto"/>
                <w:bottom w:val="none" w:sz="0" w:space="0" w:color="auto"/>
                <w:right w:val="none" w:sz="0" w:space="0" w:color="auto"/>
              </w:divBdr>
            </w:div>
            <w:div w:id="339552991">
              <w:marLeft w:val="0"/>
              <w:marRight w:val="0"/>
              <w:marTop w:val="0"/>
              <w:marBottom w:val="0"/>
              <w:divBdr>
                <w:top w:val="none" w:sz="0" w:space="0" w:color="auto"/>
                <w:left w:val="none" w:sz="0" w:space="0" w:color="auto"/>
                <w:bottom w:val="none" w:sz="0" w:space="0" w:color="auto"/>
                <w:right w:val="none" w:sz="0" w:space="0" w:color="auto"/>
              </w:divBdr>
            </w:div>
            <w:div w:id="1397171333">
              <w:marLeft w:val="0"/>
              <w:marRight w:val="0"/>
              <w:marTop w:val="0"/>
              <w:marBottom w:val="0"/>
              <w:divBdr>
                <w:top w:val="none" w:sz="0" w:space="0" w:color="auto"/>
                <w:left w:val="none" w:sz="0" w:space="0" w:color="auto"/>
                <w:bottom w:val="none" w:sz="0" w:space="0" w:color="auto"/>
                <w:right w:val="none" w:sz="0" w:space="0" w:color="auto"/>
              </w:divBdr>
            </w:div>
            <w:div w:id="406996309">
              <w:marLeft w:val="0"/>
              <w:marRight w:val="0"/>
              <w:marTop w:val="0"/>
              <w:marBottom w:val="0"/>
              <w:divBdr>
                <w:top w:val="none" w:sz="0" w:space="0" w:color="auto"/>
                <w:left w:val="none" w:sz="0" w:space="0" w:color="auto"/>
                <w:bottom w:val="none" w:sz="0" w:space="0" w:color="auto"/>
                <w:right w:val="none" w:sz="0" w:space="0" w:color="auto"/>
              </w:divBdr>
            </w:div>
            <w:div w:id="1645309779">
              <w:marLeft w:val="0"/>
              <w:marRight w:val="0"/>
              <w:marTop w:val="0"/>
              <w:marBottom w:val="0"/>
              <w:divBdr>
                <w:top w:val="none" w:sz="0" w:space="0" w:color="auto"/>
                <w:left w:val="none" w:sz="0" w:space="0" w:color="auto"/>
                <w:bottom w:val="none" w:sz="0" w:space="0" w:color="auto"/>
                <w:right w:val="none" w:sz="0" w:space="0" w:color="auto"/>
              </w:divBdr>
            </w:div>
            <w:div w:id="16529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2803">
      <w:bodyDiv w:val="1"/>
      <w:marLeft w:val="0"/>
      <w:marRight w:val="0"/>
      <w:marTop w:val="0"/>
      <w:marBottom w:val="0"/>
      <w:divBdr>
        <w:top w:val="none" w:sz="0" w:space="0" w:color="auto"/>
        <w:left w:val="none" w:sz="0" w:space="0" w:color="auto"/>
        <w:bottom w:val="none" w:sz="0" w:space="0" w:color="auto"/>
        <w:right w:val="none" w:sz="0" w:space="0" w:color="auto"/>
      </w:divBdr>
    </w:div>
    <w:div w:id="1083651023">
      <w:bodyDiv w:val="1"/>
      <w:marLeft w:val="0"/>
      <w:marRight w:val="0"/>
      <w:marTop w:val="0"/>
      <w:marBottom w:val="0"/>
      <w:divBdr>
        <w:top w:val="none" w:sz="0" w:space="0" w:color="auto"/>
        <w:left w:val="none" w:sz="0" w:space="0" w:color="auto"/>
        <w:bottom w:val="none" w:sz="0" w:space="0" w:color="auto"/>
        <w:right w:val="none" w:sz="0" w:space="0" w:color="auto"/>
      </w:divBdr>
    </w:div>
    <w:div w:id="1230770774">
      <w:bodyDiv w:val="1"/>
      <w:marLeft w:val="0"/>
      <w:marRight w:val="0"/>
      <w:marTop w:val="0"/>
      <w:marBottom w:val="0"/>
      <w:divBdr>
        <w:top w:val="none" w:sz="0" w:space="0" w:color="auto"/>
        <w:left w:val="none" w:sz="0" w:space="0" w:color="auto"/>
        <w:bottom w:val="none" w:sz="0" w:space="0" w:color="auto"/>
        <w:right w:val="none" w:sz="0" w:space="0" w:color="auto"/>
      </w:divBdr>
      <w:divsChild>
        <w:div w:id="543297799">
          <w:marLeft w:val="0"/>
          <w:marRight w:val="0"/>
          <w:marTop w:val="0"/>
          <w:marBottom w:val="0"/>
          <w:divBdr>
            <w:top w:val="none" w:sz="0" w:space="0" w:color="auto"/>
            <w:left w:val="none" w:sz="0" w:space="0" w:color="auto"/>
            <w:bottom w:val="none" w:sz="0" w:space="0" w:color="auto"/>
            <w:right w:val="none" w:sz="0" w:space="0" w:color="auto"/>
          </w:divBdr>
          <w:divsChild>
            <w:div w:id="1703093305">
              <w:marLeft w:val="0"/>
              <w:marRight w:val="0"/>
              <w:marTop w:val="0"/>
              <w:marBottom w:val="0"/>
              <w:divBdr>
                <w:top w:val="none" w:sz="0" w:space="0" w:color="auto"/>
                <w:left w:val="none" w:sz="0" w:space="0" w:color="auto"/>
                <w:bottom w:val="none" w:sz="0" w:space="0" w:color="auto"/>
                <w:right w:val="none" w:sz="0" w:space="0" w:color="auto"/>
              </w:divBdr>
            </w:div>
            <w:div w:id="541331282">
              <w:marLeft w:val="0"/>
              <w:marRight w:val="0"/>
              <w:marTop w:val="0"/>
              <w:marBottom w:val="0"/>
              <w:divBdr>
                <w:top w:val="none" w:sz="0" w:space="0" w:color="auto"/>
                <w:left w:val="none" w:sz="0" w:space="0" w:color="auto"/>
                <w:bottom w:val="none" w:sz="0" w:space="0" w:color="auto"/>
                <w:right w:val="none" w:sz="0" w:space="0" w:color="auto"/>
              </w:divBdr>
            </w:div>
            <w:div w:id="1462839522">
              <w:marLeft w:val="0"/>
              <w:marRight w:val="0"/>
              <w:marTop w:val="0"/>
              <w:marBottom w:val="0"/>
              <w:divBdr>
                <w:top w:val="none" w:sz="0" w:space="0" w:color="auto"/>
                <w:left w:val="none" w:sz="0" w:space="0" w:color="auto"/>
                <w:bottom w:val="none" w:sz="0" w:space="0" w:color="auto"/>
                <w:right w:val="none" w:sz="0" w:space="0" w:color="auto"/>
              </w:divBdr>
            </w:div>
            <w:div w:id="2029671373">
              <w:marLeft w:val="0"/>
              <w:marRight w:val="0"/>
              <w:marTop w:val="0"/>
              <w:marBottom w:val="0"/>
              <w:divBdr>
                <w:top w:val="none" w:sz="0" w:space="0" w:color="auto"/>
                <w:left w:val="none" w:sz="0" w:space="0" w:color="auto"/>
                <w:bottom w:val="none" w:sz="0" w:space="0" w:color="auto"/>
                <w:right w:val="none" w:sz="0" w:space="0" w:color="auto"/>
              </w:divBdr>
            </w:div>
            <w:div w:id="1965193310">
              <w:marLeft w:val="0"/>
              <w:marRight w:val="0"/>
              <w:marTop w:val="0"/>
              <w:marBottom w:val="0"/>
              <w:divBdr>
                <w:top w:val="none" w:sz="0" w:space="0" w:color="auto"/>
                <w:left w:val="none" w:sz="0" w:space="0" w:color="auto"/>
                <w:bottom w:val="none" w:sz="0" w:space="0" w:color="auto"/>
                <w:right w:val="none" w:sz="0" w:space="0" w:color="auto"/>
              </w:divBdr>
            </w:div>
            <w:div w:id="1664704232">
              <w:marLeft w:val="0"/>
              <w:marRight w:val="0"/>
              <w:marTop w:val="0"/>
              <w:marBottom w:val="0"/>
              <w:divBdr>
                <w:top w:val="none" w:sz="0" w:space="0" w:color="auto"/>
                <w:left w:val="none" w:sz="0" w:space="0" w:color="auto"/>
                <w:bottom w:val="none" w:sz="0" w:space="0" w:color="auto"/>
                <w:right w:val="none" w:sz="0" w:space="0" w:color="auto"/>
              </w:divBdr>
            </w:div>
            <w:div w:id="125634624">
              <w:marLeft w:val="0"/>
              <w:marRight w:val="0"/>
              <w:marTop w:val="0"/>
              <w:marBottom w:val="0"/>
              <w:divBdr>
                <w:top w:val="none" w:sz="0" w:space="0" w:color="auto"/>
                <w:left w:val="none" w:sz="0" w:space="0" w:color="auto"/>
                <w:bottom w:val="none" w:sz="0" w:space="0" w:color="auto"/>
                <w:right w:val="none" w:sz="0" w:space="0" w:color="auto"/>
              </w:divBdr>
            </w:div>
            <w:div w:id="2101750066">
              <w:marLeft w:val="0"/>
              <w:marRight w:val="0"/>
              <w:marTop w:val="0"/>
              <w:marBottom w:val="0"/>
              <w:divBdr>
                <w:top w:val="none" w:sz="0" w:space="0" w:color="auto"/>
                <w:left w:val="none" w:sz="0" w:space="0" w:color="auto"/>
                <w:bottom w:val="none" w:sz="0" w:space="0" w:color="auto"/>
                <w:right w:val="none" w:sz="0" w:space="0" w:color="auto"/>
              </w:divBdr>
            </w:div>
            <w:div w:id="1842233157">
              <w:marLeft w:val="0"/>
              <w:marRight w:val="0"/>
              <w:marTop w:val="0"/>
              <w:marBottom w:val="0"/>
              <w:divBdr>
                <w:top w:val="none" w:sz="0" w:space="0" w:color="auto"/>
                <w:left w:val="none" w:sz="0" w:space="0" w:color="auto"/>
                <w:bottom w:val="none" w:sz="0" w:space="0" w:color="auto"/>
                <w:right w:val="none" w:sz="0" w:space="0" w:color="auto"/>
              </w:divBdr>
            </w:div>
            <w:div w:id="1442410652">
              <w:marLeft w:val="0"/>
              <w:marRight w:val="0"/>
              <w:marTop w:val="0"/>
              <w:marBottom w:val="0"/>
              <w:divBdr>
                <w:top w:val="none" w:sz="0" w:space="0" w:color="auto"/>
                <w:left w:val="none" w:sz="0" w:space="0" w:color="auto"/>
                <w:bottom w:val="none" w:sz="0" w:space="0" w:color="auto"/>
                <w:right w:val="none" w:sz="0" w:space="0" w:color="auto"/>
              </w:divBdr>
            </w:div>
            <w:div w:id="730732679">
              <w:marLeft w:val="0"/>
              <w:marRight w:val="0"/>
              <w:marTop w:val="0"/>
              <w:marBottom w:val="0"/>
              <w:divBdr>
                <w:top w:val="none" w:sz="0" w:space="0" w:color="auto"/>
                <w:left w:val="none" w:sz="0" w:space="0" w:color="auto"/>
                <w:bottom w:val="none" w:sz="0" w:space="0" w:color="auto"/>
                <w:right w:val="none" w:sz="0" w:space="0" w:color="auto"/>
              </w:divBdr>
            </w:div>
            <w:div w:id="2095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071">
      <w:bodyDiv w:val="1"/>
      <w:marLeft w:val="0"/>
      <w:marRight w:val="0"/>
      <w:marTop w:val="0"/>
      <w:marBottom w:val="0"/>
      <w:divBdr>
        <w:top w:val="none" w:sz="0" w:space="0" w:color="auto"/>
        <w:left w:val="none" w:sz="0" w:space="0" w:color="auto"/>
        <w:bottom w:val="none" w:sz="0" w:space="0" w:color="auto"/>
        <w:right w:val="none" w:sz="0" w:space="0" w:color="auto"/>
      </w:divBdr>
      <w:divsChild>
        <w:div w:id="482742719">
          <w:marLeft w:val="0"/>
          <w:marRight w:val="0"/>
          <w:marTop w:val="0"/>
          <w:marBottom w:val="0"/>
          <w:divBdr>
            <w:top w:val="none" w:sz="0" w:space="0" w:color="auto"/>
            <w:left w:val="none" w:sz="0" w:space="0" w:color="auto"/>
            <w:bottom w:val="none" w:sz="0" w:space="0" w:color="auto"/>
            <w:right w:val="none" w:sz="0" w:space="0" w:color="auto"/>
          </w:divBdr>
          <w:divsChild>
            <w:div w:id="1027869056">
              <w:marLeft w:val="0"/>
              <w:marRight w:val="0"/>
              <w:marTop w:val="0"/>
              <w:marBottom w:val="0"/>
              <w:divBdr>
                <w:top w:val="none" w:sz="0" w:space="0" w:color="auto"/>
                <w:left w:val="none" w:sz="0" w:space="0" w:color="auto"/>
                <w:bottom w:val="none" w:sz="0" w:space="0" w:color="auto"/>
                <w:right w:val="none" w:sz="0" w:space="0" w:color="auto"/>
              </w:divBdr>
            </w:div>
            <w:div w:id="2038315937">
              <w:marLeft w:val="0"/>
              <w:marRight w:val="0"/>
              <w:marTop w:val="0"/>
              <w:marBottom w:val="0"/>
              <w:divBdr>
                <w:top w:val="none" w:sz="0" w:space="0" w:color="auto"/>
                <w:left w:val="none" w:sz="0" w:space="0" w:color="auto"/>
                <w:bottom w:val="none" w:sz="0" w:space="0" w:color="auto"/>
                <w:right w:val="none" w:sz="0" w:space="0" w:color="auto"/>
              </w:divBdr>
            </w:div>
            <w:div w:id="960186601">
              <w:marLeft w:val="0"/>
              <w:marRight w:val="0"/>
              <w:marTop w:val="0"/>
              <w:marBottom w:val="0"/>
              <w:divBdr>
                <w:top w:val="none" w:sz="0" w:space="0" w:color="auto"/>
                <w:left w:val="none" w:sz="0" w:space="0" w:color="auto"/>
                <w:bottom w:val="none" w:sz="0" w:space="0" w:color="auto"/>
                <w:right w:val="none" w:sz="0" w:space="0" w:color="auto"/>
              </w:divBdr>
            </w:div>
            <w:div w:id="535387262">
              <w:marLeft w:val="0"/>
              <w:marRight w:val="0"/>
              <w:marTop w:val="0"/>
              <w:marBottom w:val="0"/>
              <w:divBdr>
                <w:top w:val="none" w:sz="0" w:space="0" w:color="auto"/>
                <w:left w:val="none" w:sz="0" w:space="0" w:color="auto"/>
                <w:bottom w:val="none" w:sz="0" w:space="0" w:color="auto"/>
                <w:right w:val="none" w:sz="0" w:space="0" w:color="auto"/>
              </w:divBdr>
            </w:div>
            <w:div w:id="2086535392">
              <w:marLeft w:val="0"/>
              <w:marRight w:val="0"/>
              <w:marTop w:val="0"/>
              <w:marBottom w:val="0"/>
              <w:divBdr>
                <w:top w:val="none" w:sz="0" w:space="0" w:color="auto"/>
                <w:left w:val="none" w:sz="0" w:space="0" w:color="auto"/>
                <w:bottom w:val="none" w:sz="0" w:space="0" w:color="auto"/>
                <w:right w:val="none" w:sz="0" w:space="0" w:color="auto"/>
              </w:divBdr>
            </w:div>
            <w:div w:id="689648370">
              <w:marLeft w:val="0"/>
              <w:marRight w:val="0"/>
              <w:marTop w:val="0"/>
              <w:marBottom w:val="0"/>
              <w:divBdr>
                <w:top w:val="none" w:sz="0" w:space="0" w:color="auto"/>
                <w:left w:val="none" w:sz="0" w:space="0" w:color="auto"/>
                <w:bottom w:val="none" w:sz="0" w:space="0" w:color="auto"/>
                <w:right w:val="none" w:sz="0" w:space="0" w:color="auto"/>
              </w:divBdr>
            </w:div>
            <w:div w:id="118492708">
              <w:marLeft w:val="0"/>
              <w:marRight w:val="0"/>
              <w:marTop w:val="0"/>
              <w:marBottom w:val="0"/>
              <w:divBdr>
                <w:top w:val="none" w:sz="0" w:space="0" w:color="auto"/>
                <w:left w:val="none" w:sz="0" w:space="0" w:color="auto"/>
                <w:bottom w:val="none" w:sz="0" w:space="0" w:color="auto"/>
                <w:right w:val="none" w:sz="0" w:space="0" w:color="auto"/>
              </w:divBdr>
            </w:div>
            <w:div w:id="1960526380">
              <w:marLeft w:val="0"/>
              <w:marRight w:val="0"/>
              <w:marTop w:val="0"/>
              <w:marBottom w:val="0"/>
              <w:divBdr>
                <w:top w:val="none" w:sz="0" w:space="0" w:color="auto"/>
                <w:left w:val="none" w:sz="0" w:space="0" w:color="auto"/>
                <w:bottom w:val="none" w:sz="0" w:space="0" w:color="auto"/>
                <w:right w:val="none" w:sz="0" w:space="0" w:color="auto"/>
              </w:divBdr>
            </w:div>
            <w:div w:id="577709251">
              <w:marLeft w:val="0"/>
              <w:marRight w:val="0"/>
              <w:marTop w:val="0"/>
              <w:marBottom w:val="0"/>
              <w:divBdr>
                <w:top w:val="none" w:sz="0" w:space="0" w:color="auto"/>
                <w:left w:val="none" w:sz="0" w:space="0" w:color="auto"/>
                <w:bottom w:val="none" w:sz="0" w:space="0" w:color="auto"/>
                <w:right w:val="none" w:sz="0" w:space="0" w:color="auto"/>
              </w:divBdr>
            </w:div>
            <w:div w:id="1332297243">
              <w:marLeft w:val="0"/>
              <w:marRight w:val="0"/>
              <w:marTop w:val="0"/>
              <w:marBottom w:val="0"/>
              <w:divBdr>
                <w:top w:val="none" w:sz="0" w:space="0" w:color="auto"/>
                <w:left w:val="none" w:sz="0" w:space="0" w:color="auto"/>
                <w:bottom w:val="none" w:sz="0" w:space="0" w:color="auto"/>
                <w:right w:val="none" w:sz="0" w:space="0" w:color="auto"/>
              </w:divBdr>
            </w:div>
            <w:div w:id="649672168">
              <w:marLeft w:val="0"/>
              <w:marRight w:val="0"/>
              <w:marTop w:val="0"/>
              <w:marBottom w:val="0"/>
              <w:divBdr>
                <w:top w:val="none" w:sz="0" w:space="0" w:color="auto"/>
                <w:left w:val="none" w:sz="0" w:space="0" w:color="auto"/>
                <w:bottom w:val="none" w:sz="0" w:space="0" w:color="auto"/>
                <w:right w:val="none" w:sz="0" w:space="0" w:color="auto"/>
              </w:divBdr>
            </w:div>
            <w:div w:id="3928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84">
      <w:bodyDiv w:val="1"/>
      <w:marLeft w:val="0"/>
      <w:marRight w:val="0"/>
      <w:marTop w:val="0"/>
      <w:marBottom w:val="0"/>
      <w:divBdr>
        <w:top w:val="none" w:sz="0" w:space="0" w:color="auto"/>
        <w:left w:val="none" w:sz="0" w:space="0" w:color="auto"/>
        <w:bottom w:val="none" w:sz="0" w:space="0" w:color="auto"/>
        <w:right w:val="none" w:sz="0" w:space="0" w:color="auto"/>
      </w:divBdr>
      <w:divsChild>
        <w:div w:id="990981876">
          <w:marLeft w:val="0"/>
          <w:marRight w:val="0"/>
          <w:marTop w:val="0"/>
          <w:marBottom w:val="0"/>
          <w:divBdr>
            <w:top w:val="none" w:sz="0" w:space="0" w:color="auto"/>
            <w:left w:val="none" w:sz="0" w:space="0" w:color="auto"/>
            <w:bottom w:val="none" w:sz="0" w:space="0" w:color="auto"/>
            <w:right w:val="none" w:sz="0" w:space="0" w:color="auto"/>
          </w:divBdr>
          <w:divsChild>
            <w:div w:id="664823806">
              <w:marLeft w:val="0"/>
              <w:marRight w:val="0"/>
              <w:marTop w:val="0"/>
              <w:marBottom w:val="0"/>
              <w:divBdr>
                <w:top w:val="none" w:sz="0" w:space="0" w:color="auto"/>
                <w:left w:val="none" w:sz="0" w:space="0" w:color="auto"/>
                <w:bottom w:val="none" w:sz="0" w:space="0" w:color="auto"/>
                <w:right w:val="none" w:sz="0" w:space="0" w:color="auto"/>
              </w:divBdr>
            </w:div>
            <w:div w:id="348919551">
              <w:marLeft w:val="0"/>
              <w:marRight w:val="0"/>
              <w:marTop w:val="0"/>
              <w:marBottom w:val="0"/>
              <w:divBdr>
                <w:top w:val="none" w:sz="0" w:space="0" w:color="auto"/>
                <w:left w:val="none" w:sz="0" w:space="0" w:color="auto"/>
                <w:bottom w:val="none" w:sz="0" w:space="0" w:color="auto"/>
                <w:right w:val="none" w:sz="0" w:space="0" w:color="auto"/>
              </w:divBdr>
            </w:div>
            <w:div w:id="870190340">
              <w:marLeft w:val="0"/>
              <w:marRight w:val="0"/>
              <w:marTop w:val="0"/>
              <w:marBottom w:val="0"/>
              <w:divBdr>
                <w:top w:val="none" w:sz="0" w:space="0" w:color="auto"/>
                <w:left w:val="none" w:sz="0" w:space="0" w:color="auto"/>
                <w:bottom w:val="none" w:sz="0" w:space="0" w:color="auto"/>
                <w:right w:val="none" w:sz="0" w:space="0" w:color="auto"/>
              </w:divBdr>
            </w:div>
            <w:div w:id="1629631430">
              <w:marLeft w:val="0"/>
              <w:marRight w:val="0"/>
              <w:marTop w:val="0"/>
              <w:marBottom w:val="0"/>
              <w:divBdr>
                <w:top w:val="none" w:sz="0" w:space="0" w:color="auto"/>
                <w:left w:val="none" w:sz="0" w:space="0" w:color="auto"/>
                <w:bottom w:val="none" w:sz="0" w:space="0" w:color="auto"/>
                <w:right w:val="none" w:sz="0" w:space="0" w:color="auto"/>
              </w:divBdr>
            </w:div>
            <w:div w:id="1185291325">
              <w:marLeft w:val="0"/>
              <w:marRight w:val="0"/>
              <w:marTop w:val="0"/>
              <w:marBottom w:val="0"/>
              <w:divBdr>
                <w:top w:val="none" w:sz="0" w:space="0" w:color="auto"/>
                <w:left w:val="none" w:sz="0" w:space="0" w:color="auto"/>
                <w:bottom w:val="none" w:sz="0" w:space="0" w:color="auto"/>
                <w:right w:val="none" w:sz="0" w:space="0" w:color="auto"/>
              </w:divBdr>
            </w:div>
            <w:div w:id="1648589778">
              <w:marLeft w:val="0"/>
              <w:marRight w:val="0"/>
              <w:marTop w:val="0"/>
              <w:marBottom w:val="0"/>
              <w:divBdr>
                <w:top w:val="none" w:sz="0" w:space="0" w:color="auto"/>
                <w:left w:val="none" w:sz="0" w:space="0" w:color="auto"/>
                <w:bottom w:val="none" w:sz="0" w:space="0" w:color="auto"/>
                <w:right w:val="none" w:sz="0" w:space="0" w:color="auto"/>
              </w:divBdr>
            </w:div>
            <w:div w:id="1530801397">
              <w:marLeft w:val="0"/>
              <w:marRight w:val="0"/>
              <w:marTop w:val="0"/>
              <w:marBottom w:val="0"/>
              <w:divBdr>
                <w:top w:val="none" w:sz="0" w:space="0" w:color="auto"/>
                <w:left w:val="none" w:sz="0" w:space="0" w:color="auto"/>
                <w:bottom w:val="none" w:sz="0" w:space="0" w:color="auto"/>
                <w:right w:val="none" w:sz="0" w:space="0" w:color="auto"/>
              </w:divBdr>
            </w:div>
            <w:div w:id="1377895336">
              <w:marLeft w:val="0"/>
              <w:marRight w:val="0"/>
              <w:marTop w:val="0"/>
              <w:marBottom w:val="0"/>
              <w:divBdr>
                <w:top w:val="none" w:sz="0" w:space="0" w:color="auto"/>
                <w:left w:val="none" w:sz="0" w:space="0" w:color="auto"/>
                <w:bottom w:val="none" w:sz="0" w:space="0" w:color="auto"/>
                <w:right w:val="none" w:sz="0" w:space="0" w:color="auto"/>
              </w:divBdr>
            </w:div>
            <w:div w:id="1445463413">
              <w:marLeft w:val="0"/>
              <w:marRight w:val="0"/>
              <w:marTop w:val="0"/>
              <w:marBottom w:val="0"/>
              <w:divBdr>
                <w:top w:val="none" w:sz="0" w:space="0" w:color="auto"/>
                <w:left w:val="none" w:sz="0" w:space="0" w:color="auto"/>
                <w:bottom w:val="none" w:sz="0" w:space="0" w:color="auto"/>
                <w:right w:val="none" w:sz="0" w:space="0" w:color="auto"/>
              </w:divBdr>
            </w:div>
            <w:div w:id="1680739765">
              <w:marLeft w:val="0"/>
              <w:marRight w:val="0"/>
              <w:marTop w:val="0"/>
              <w:marBottom w:val="0"/>
              <w:divBdr>
                <w:top w:val="none" w:sz="0" w:space="0" w:color="auto"/>
                <w:left w:val="none" w:sz="0" w:space="0" w:color="auto"/>
                <w:bottom w:val="none" w:sz="0" w:space="0" w:color="auto"/>
                <w:right w:val="none" w:sz="0" w:space="0" w:color="auto"/>
              </w:divBdr>
            </w:div>
            <w:div w:id="1462267297">
              <w:marLeft w:val="0"/>
              <w:marRight w:val="0"/>
              <w:marTop w:val="0"/>
              <w:marBottom w:val="0"/>
              <w:divBdr>
                <w:top w:val="none" w:sz="0" w:space="0" w:color="auto"/>
                <w:left w:val="none" w:sz="0" w:space="0" w:color="auto"/>
                <w:bottom w:val="none" w:sz="0" w:space="0" w:color="auto"/>
                <w:right w:val="none" w:sz="0" w:space="0" w:color="auto"/>
              </w:divBdr>
            </w:div>
            <w:div w:id="1496140279">
              <w:marLeft w:val="0"/>
              <w:marRight w:val="0"/>
              <w:marTop w:val="0"/>
              <w:marBottom w:val="0"/>
              <w:divBdr>
                <w:top w:val="none" w:sz="0" w:space="0" w:color="auto"/>
                <w:left w:val="none" w:sz="0" w:space="0" w:color="auto"/>
                <w:bottom w:val="none" w:sz="0" w:space="0" w:color="auto"/>
                <w:right w:val="none" w:sz="0" w:space="0" w:color="auto"/>
              </w:divBdr>
            </w:div>
            <w:div w:id="594632445">
              <w:marLeft w:val="0"/>
              <w:marRight w:val="0"/>
              <w:marTop w:val="0"/>
              <w:marBottom w:val="0"/>
              <w:divBdr>
                <w:top w:val="none" w:sz="0" w:space="0" w:color="auto"/>
                <w:left w:val="none" w:sz="0" w:space="0" w:color="auto"/>
                <w:bottom w:val="none" w:sz="0" w:space="0" w:color="auto"/>
                <w:right w:val="none" w:sz="0" w:space="0" w:color="auto"/>
              </w:divBdr>
            </w:div>
            <w:div w:id="1077752235">
              <w:marLeft w:val="0"/>
              <w:marRight w:val="0"/>
              <w:marTop w:val="0"/>
              <w:marBottom w:val="0"/>
              <w:divBdr>
                <w:top w:val="none" w:sz="0" w:space="0" w:color="auto"/>
                <w:left w:val="none" w:sz="0" w:space="0" w:color="auto"/>
                <w:bottom w:val="none" w:sz="0" w:space="0" w:color="auto"/>
                <w:right w:val="none" w:sz="0" w:space="0" w:color="auto"/>
              </w:divBdr>
            </w:div>
            <w:div w:id="2105148046">
              <w:marLeft w:val="0"/>
              <w:marRight w:val="0"/>
              <w:marTop w:val="0"/>
              <w:marBottom w:val="0"/>
              <w:divBdr>
                <w:top w:val="none" w:sz="0" w:space="0" w:color="auto"/>
                <w:left w:val="none" w:sz="0" w:space="0" w:color="auto"/>
                <w:bottom w:val="none" w:sz="0" w:space="0" w:color="auto"/>
                <w:right w:val="none" w:sz="0" w:space="0" w:color="auto"/>
              </w:divBdr>
            </w:div>
            <w:div w:id="207111754">
              <w:marLeft w:val="0"/>
              <w:marRight w:val="0"/>
              <w:marTop w:val="0"/>
              <w:marBottom w:val="0"/>
              <w:divBdr>
                <w:top w:val="none" w:sz="0" w:space="0" w:color="auto"/>
                <w:left w:val="none" w:sz="0" w:space="0" w:color="auto"/>
                <w:bottom w:val="none" w:sz="0" w:space="0" w:color="auto"/>
                <w:right w:val="none" w:sz="0" w:space="0" w:color="auto"/>
              </w:divBdr>
            </w:div>
            <w:div w:id="267083902">
              <w:marLeft w:val="0"/>
              <w:marRight w:val="0"/>
              <w:marTop w:val="0"/>
              <w:marBottom w:val="0"/>
              <w:divBdr>
                <w:top w:val="none" w:sz="0" w:space="0" w:color="auto"/>
                <w:left w:val="none" w:sz="0" w:space="0" w:color="auto"/>
                <w:bottom w:val="none" w:sz="0" w:space="0" w:color="auto"/>
                <w:right w:val="none" w:sz="0" w:space="0" w:color="auto"/>
              </w:divBdr>
            </w:div>
            <w:div w:id="1712534473">
              <w:marLeft w:val="0"/>
              <w:marRight w:val="0"/>
              <w:marTop w:val="0"/>
              <w:marBottom w:val="0"/>
              <w:divBdr>
                <w:top w:val="none" w:sz="0" w:space="0" w:color="auto"/>
                <w:left w:val="none" w:sz="0" w:space="0" w:color="auto"/>
                <w:bottom w:val="none" w:sz="0" w:space="0" w:color="auto"/>
                <w:right w:val="none" w:sz="0" w:space="0" w:color="auto"/>
              </w:divBdr>
            </w:div>
            <w:div w:id="1148936623">
              <w:marLeft w:val="0"/>
              <w:marRight w:val="0"/>
              <w:marTop w:val="0"/>
              <w:marBottom w:val="0"/>
              <w:divBdr>
                <w:top w:val="none" w:sz="0" w:space="0" w:color="auto"/>
                <w:left w:val="none" w:sz="0" w:space="0" w:color="auto"/>
                <w:bottom w:val="none" w:sz="0" w:space="0" w:color="auto"/>
                <w:right w:val="none" w:sz="0" w:space="0" w:color="auto"/>
              </w:divBdr>
            </w:div>
            <w:div w:id="184097296">
              <w:marLeft w:val="0"/>
              <w:marRight w:val="0"/>
              <w:marTop w:val="0"/>
              <w:marBottom w:val="0"/>
              <w:divBdr>
                <w:top w:val="none" w:sz="0" w:space="0" w:color="auto"/>
                <w:left w:val="none" w:sz="0" w:space="0" w:color="auto"/>
                <w:bottom w:val="none" w:sz="0" w:space="0" w:color="auto"/>
                <w:right w:val="none" w:sz="0" w:space="0" w:color="auto"/>
              </w:divBdr>
            </w:div>
            <w:div w:id="1793861067">
              <w:marLeft w:val="0"/>
              <w:marRight w:val="0"/>
              <w:marTop w:val="0"/>
              <w:marBottom w:val="0"/>
              <w:divBdr>
                <w:top w:val="none" w:sz="0" w:space="0" w:color="auto"/>
                <w:left w:val="none" w:sz="0" w:space="0" w:color="auto"/>
                <w:bottom w:val="none" w:sz="0" w:space="0" w:color="auto"/>
                <w:right w:val="none" w:sz="0" w:space="0" w:color="auto"/>
              </w:divBdr>
            </w:div>
            <w:div w:id="1849826971">
              <w:marLeft w:val="0"/>
              <w:marRight w:val="0"/>
              <w:marTop w:val="0"/>
              <w:marBottom w:val="0"/>
              <w:divBdr>
                <w:top w:val="none" w:sz="0" w:space="0" w:color="auto"/>
                <w:left w:val="none" w:sz="0" w:space="0" w:color="auto"/>
                <w:bottom w:val="none" w:sz="0" w:space="0" w:color="auto"/>
                <w:right w:val="none" w:sz="0" w:space="0" w:color="auto"/>
              </w:divBdr>
            </w:div>
            <w:div w:id="592278047">
              <w:marLeft w:val="0"/>
              <w:marRight w:val="0"/>
              <w:marTop w:val="0"/>
              <w:marBottom w:val="0"/>
              <w:divBdr>
                <w:top w:val="none" w:sz="0" w:space="0" w:color="auto"/>
                <w:left w:val="none" w:sz="0" w:space="0" w:color="auto"/>
                <w:bottom w:val="none" w:sz="0" w:space="0" w:color="auto"/>
                <w:right w:val="none" w:sz="0" w:space="0" w:color="auto"/>
              </w:divBdr>
            </w:div>
            <w:div w:id="1046950443">
              <w:marLeft w:val="0"/>
              <w:marRight w:val="0"/>
              <w:marTop w:val="0"/>
              <w:marBottom w:val="0"/>
              <w:divBdr>
                <w:top w:val="none" w:sz="0" w:space="0" w:color="auto"/>
                <w:left w:val="none" w:sz="0" w:space="0" w:color="auto"/>
                <w:bottom w:val="none" w:sz="0" w:space="0" w:color="auto"/>
                <w:right w:val="none" w:sz="0" w:space="0" w:color="auto"/>
              </w:divBdr>
            </w:div>
            <w:div w:id="6296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7531">
      <w:bodyDiv w:val="1"/>
      <w:marLeft w:val="0"/>
      <w:marRight w:val="0"/>
      <w:marTop w:val="0"/>
      <w:marBottom w:val="0"/>
      <w:divBdr>
        <w:top w:val="none" w:sz="0" w:space="0" w:color="auto"/>
        <w:left w:val="none" w:sz="0" w:space="0" w:color="auto"/>
        <w:bottom w:val="none" w:sz="0" w:space="0" w:color="auto"/>
        <w:right w:val="none" w:sz="0" w:space="0" w:color="auto"/>
      </w:divBdr>
    </w:div>
    <w:div w:id="1753238573">
      <w:bodyDiv w:val="1"/>
      <w:marLeft w:val="0"/>
      <w:marRight w:val="0"/>
      <w:marTop w:val="0"/>
      <w:marBottom w:val="0"/>
      <w:divBdr>
        <w:top w:val="none" w:sz="0" w:space="0" w:color="auto"/>
        <w:left w:val="none" w:sz="0" w:space="0" w:color="auto"/>
        <w:bottom w:val="none" w:sz="0" w:space="0" w:color="auto"/>
        <w:right w:val="none" w:sz="0" w:space="0" w:color="auto"/>
      </w:divBdr>
      <w:divsChild>
        <w:div w:id="2062098997">
          <w:marLeft w:val="0"/>
          <w:marRight w:val="0"/>
          <w:marTop w:val="0"/>
          <w:marBottom w:val="0"/>
          <w:divBdr>
            <w:top w:val="none" w:sz="0" w:space="0" w:color="auto"/>
            <w:left w:val="none" w:sz="0" w:space="0" w:color="auto"/>
            <w:bottom w:val="none" w:sz="0" w:space="0" w:color="auto"/>
            <w:right w:val="none" w:sz="0" w:space="0" w:color="auto"/>
          </w:divBdr>
          <w:divsChild>
            <w:div w:id="898588764">
              <w:marLeft w:val="0"/>
              <w:marRight w:val="0"/>
              <w:marTop w:val="0"/>
              <w:marBottom w:val="0"/>
              <w:divBdr>
                <w:top w:val="none" w:sz="0" w:space="0" w:color="auto"/>
                <w:left w:val="none" w:sz="0" w:space="0" w:color="auto"/>
                <w:bottom w:val="none" w:sz="0" w:space="0" w:color="auto"/>
                <w:right w:val="none" w:sz="0" w:space="0" w:color="auto"/>
              </w:divBdr>
            </w:div>
            <w:div w:id="1050616083">
              <w:marLeft w:val="0"/>
              <w:marRight w:val="0"/>
              <w:marTop w:val="0"/>
              <w:marBottom w:val="0"/>
              <w:divBdr>
                <w:top w:val="none" w:sz="0" w:space="0" w:color="auto"/>
                <w:left w:val="none" w:sz="0" w:space="0" w:color="auto"/>
                <w:bottom w:val="none" w:sz="0" w:space="0" w:color="auto"/>
                <w:right w:val="none" w:sz="0" w:space="0" w:color="auto"/>
              </w:divBdr>
            </w:div>
            <w:div w:id="1999535143">
              <w:marLeft w:val="0"/>
              <w:marRight w:val="0"/>
              <w:marTop w:val="0"/>
              <w:marBottom w:val="0"/>
              <w:divBdr>
                <w:top w:val="none" w:sz="0" w:space="0" w:color="auto"/>
                <w:left w:val="none" w:sz="0" w:space="0" w:color="auto"/>
                <w:bottom w:val="none" w:sz="0" w:space="0" w:color="auto"/>
                <w:right w:val="none" w:sz="0" w:space="0" w:color="auto"/>
              </w:divBdr>
            </w:div>
            <w:div w:id="105542509">
              <w:marLeft w:val="0"/>
              <w:marRight w:val="0"/>
              <w:marTop w:val="0"/>
              <w:marBottom w:val="0"/>
              <w:divBdr>
                <w:top w:val="none" w:sz="0" w:space="0" w:color="auto"/>
                <w:left w:val="none" w:sz="0" w:space="0" w:color="auto"/>
                <w:bottom w:val="none" w:sz="0" w:space="0" w:color="auto"/>
                <w:right w:val="none" w:sz="0" w:space="0" w:color="auto"/>
              </w:divBdr>
            </w:div>
            <w:div w:id="1052458276">
              <w:marLeft w:val="0"/>
              <w:marRight w:val="0"/>
              <w:marTop w:val="0"/>
              <w:marBottom w:val="0"/>
              <w:divBdr>
                <w:top w:val="none" w:sz="0" w:space="0" w:color="auto"/>
                <w:left w:val="none" w:sz="0" w:space="0" w:color="auto"/>
                <w:bottom w:val="none" w:sz="0" w:space="0" w:color="auto"/>
                <w:right w:val="none" w:sz="0" w:space="0" w:color="auto"/>
              </w:divBdr>
            </w:div>
            <w:div w:id="697782458">
              <w:marLeft w:val="0"/>
              <w:marRight w:val="0"/>
              <w:marTop w:val="0"/>
              <w:marBottom w:val="0"/>
              <w:divBdr>
                <w:top w:val="none" w:sz="0" w:space="0" w:color="auto"/>
                <w:left w:val="none" w:sz="0" w:space="0" w:color="auto"/>
                <w:bottom w:val="none" w:sz="0" w:space="0" w:color="auto"/>
                <w:right w:val="none" w:sz="0" w:space="0" w:color="auto"/>
              </w:divBdr>
            </w:div>
            <w:div w:id="126047683">
              <w:marLeft w:val="0"/>
              <w:marRight w:val="0"/>
              <w:marTop w:val="0"/>
              <w:marBottom w:val="0"/>
              <w:divBdr>
                <w:top w:val="none" w:sz="0" w:space="0" w:color="auto"/>
                <w:left w:val="none" w:sz="0" w:space="0" w:color="auto"/>
                <w:bottom w:val="none" w:sz="0" w:space="0" w:color="auto"/>
                <w:right w:val="none" w:sz="0" w:space="0" w:color="auto"/>
              </w:divBdr>
            </w:div>
            <w:div w:id="723137985">
              <w:marLeft w:val="0"/>
              <w:marRight w:val="0"/>
              <w:marTop w:val="0"/>
              <w:marBottom w:val="0"/>
              <w:divBdr>
                <w:top w:val="none" w:sz="0" w:space="0" w:color="auto"/>
                <w:left w:val="none" w:sz="0" w:space="0" w:color="auto"/>
                <w:bottom w:val="none" w:sz="0" w:space="0" w:color="auto"/>
                <w:right w:val="none" w:sz="0" w:space="0" w:color="auto"/>
              </w:divBdr>
            </w:div>
            <w:div w:id="940844719">
              <w:marLeft w:val="0"/>
              <w:marRight w:val="0"/>
              <w:marTop w:val="0"/>
              <w:marBottom w:val="0"/>
              <w:divBdr>
                <w:top w:val="none" w:sz="0" w:space="0" w:color="auto"/>
                <w:left w:val="none" w:sz="0" w:space="0" w:color="auto"/>
                <w:bottom w:val="none" w:sz="0" w:space="0" w:color="auto"/>
                <w:right w:val="none" w:sz="0" w:space="0" w:color="auto"/>
              </w:divBdr>
            </w:div>
            <w:div w:id="761415563">
              <w:marLeft w:val="0"/>
              <w:marRight w:val="0"/>
              <w:marTop w:val="0"/>
              <w:marBottom w:val="0"/>
              <w:divBdr>
                <w:top w:val="none" w:sz="0" w:space="0" w:color="auto"/>
                <w:left w:val="none" w:sz="0" w:space="0" w:color="auto"/>
                <w:bottom w:val="none" w:sz="0" w:space="0" w:color="auto"/>
                <w:right w:val="none" w:sz="0" w:space="0" w:color="auto"/>
              </w:divBdr>
            </w:div>
            <w:div w:id="809786759">
              <w:marLeft w:val="0"/>
              <w:marRight w:val="0"/>
              <w:marTop w:val="0"/>
              <w:marBottom w:val="0"/>
              <w:divBdr>
                <w:top w:val="none" w:sz="0" w:space="0" w:color="auto"/>
                <w:left w:val="none" w:sz="0" w:space="0" w:color="auto"/>
                <w:bottom w:val="none" w:sz="0" w:space="0" w:color="auto"/>
                <w:right w:val="none" w:sz="0" w:space="0" w:color="auto"/>
              </w:divBdr>
            </w:div>
            <w:div w:id="385228203">
              <w:marLeft w:val="0"/>
              <w:marRight w:val="0"/>
              <w:marTop w:val="0"/>
              <w:marBottom w:val="0"/>
              <w:divBdr>
                <w:top w:val="none" w:sz="0" w:space="0" w:color="auto"/>
                <w:left w:val="none" w:sz="0" w:space="0" w:color="auto"/>
                <w:bottom w:val="none" w:sz="0" w:space="0" w:color="auto"/>
                <w:right w:val="none" w:sz="0" w:space="0" w:color="auto"/>
              </w:divBdr>
            </w:div>
            <w:div w:id="1140027972">
              <w:marLeft w:val="0"/>
              <w:marRight w:val="0"/>
              <w:marTop w:val="0"/>
              <w:marBottom w:val="0"/>
              <w:divBdr>
                <w:top w:val="none" w:sz="0" w:space="0" w:color="auto"/>
                <w:left w:val="none" w:sz="0" w:space="0" w:color="auto"/>
                <w:bottom w:val="none" w:sz="0" w:space="0" w:color="auto"/>
                <w:right w:val="none" w:sz="0" w:space="0" w:color="auto"/>
              </w:divBdr>
            </w:div>
            <w:div w:id="1148015897">
              <w:marLeft w:val="0"/>
              <w:marRight w:val="0"/>
              <w:marTop w:val="0"/>
              <w:marBottom w:val="0"/>
              <w:divBdr>
                <w:top w:val="none" w:sz="0" w:space="0" w:color="auto"/>
                <w:left w:val="none" w:sz="0" w:space="0" w:color="auto"/>
                <w:bottom w:val="none" w:sz="0" w:space="0" w:color="auto"/>
                <w:right w:val="none" w:sz="0" w:space="0" w:color="auto"/>
              </w:divBdr>
            </w:div>
            <w:div w:id="812060814">
              <w:marLeft w:val="0"/>
              <w:marRight w:val="0"/>
              <w:marTop w:val="0"/>
              <w:marBottom w:val="0"/>
              <w:divBdr>
                <w:top w:val="none" w:sz="0" w:space="0" w:color="auto"/>
                <w:left w:val="none" w:sz="0" w:space="0" w:color="auto"/>
                <w:bottom w:val="none" w:sz="0" w:space="0" w:color="auto"/>
                <w:right w:val="none" w:sz="0" w:space="0" w:color="auto"/>
              </w:divBdr>
            </w:div>
            <w:div w:id="562133651">
              <w:marLeft w:val="0"/>
              <w:marRight w:val="0"/>
              <w:marTop w:val="0"/>
              <w:marBottom w:val="0"/>
              <w:divBdr>
                <w:top w:val="none" w:sz="0" w:space="0" w:color="auto"/>
                <w:left w:val="none" w:sz="0" w:space="0" w:color="auto"/>
                <w:bottom w:val="none" w:sz="0" w:space="0" w:color="auto"/>
                <w:right w:val="none" w:sz="0" w:space="0" w:color="auto"/>
              </w:divBdr>
            </w:div>
            <w:div w:id="185171582">
              <w:marLeft w:val="0"/>
              <w:marRight w:val="0"/>
              <w:marTop w:val="0"/>
              <w:marBottom w:val="0"/>
              <w:divBdr>
                <w:top w:val="none" w:sz="0" w:space="0" w:color="auto"/>
                <w:left w:val="none" w:sz="0" w:space="0" w:color="auto"/>
                <w:bottom w:val="none" w:sz="0" w:space="0" w:color="auto"/>
                <w:right w:val="none" w:sz="0" w:space="0" w:color="auto"/>
              </w:divBdr>
            </w:div>
            <w:div w:id="1286423416">
              <w:marLeft w:val="0"/>
              <w:marRight w:val="0"/>
              <w:marTop w:val="0"/>
              <w:marBottom w:val="0"/>
              <w:divBdr>
                <w:top w:val="none" w:sz="0" w:space="0" w:color="auto"/>
                <w:left w:val="none" w:sz="0" w:space="0" w:color="auto"/>
                <w:bottom w:val="none" w:sz="0" w:space="0" w:color="auto"/>
                <w:right w:val="none" w:sz="0" w:space="0" w:color="auto"/>
              </w:divBdr>
            </w:div>
            <w:div w:id="1748065279">
              <w:marLeft w:val="0"/>
              <w:marRight w:val="0"/>
              <w:marTop w:val="0"/>
              <w:marBottom w:val="0"/>
              <w:divBdr>
                <w:top w:val="none" w:sz="0" w:space="0" w:color="auto"/>
                <w:left w:val="none" w:sz="0" w:space="0" w:color="auto"/>
                <w:bottom w:val="none" w:sz="0" w:space="0" w:color="auto"/>
                <w:right w:val="none" w:sz="0" w:space="0" w:color="auto"/>
              </w:divBdr>
            </w:div>
            <w:div w:id="1452285245">
              <w:marLeft w:val="0"/>
              <w:marRight w:val="0"/>
              <w:marTop w:val="0"/>
              <w:marBottom w:val="0"/>
              <w:divBdr>
                <w:top w:val="none" w:sz="0" w:space="0" w:color="auto"/>
                <w:left w:val="none" w:sz="0" w:space="0" w:color="auto"/>
                <w:bottom w:val="none" w:sz="0" w:space="0" w:color="auto"/>
                <w:right w:val="none" w:sz="0" w:space="0" w:color="auto"/>
              </w:divBdr>
            </w:div>
            <w:div w:id="1284724264">
              <w:marLeft w:val="0"/>
              <w:marRight w:val="0"/>
              <w:marTop w:val="0"/>
              <w:marBottom w:val="0"/>
              <w:divBdr>
                <w:top w:val="none" w:sz="0" w:space="0" w:color="auto"/>
                <w:left w:val="none" w:sz="0" w:space="0" w:color="auto"/>
                <w:bottom w:val="none" w:sz="0" w:space="0" w:color="auto"/>
                <w:right w:val="none" w:sz="0" w:space="0" w:color="auto"/>
              </w:divBdr>
            </w:div>
            <w:div w:id="1620338406">
              <w:marLeft w:val="0"/>
              <w:marRight w:val="0"/>
              <w:marTop w:val="0"/>
              <w:marBottom w:val="0"/>
              <w:divBdr>
                <w:top w:val="none" w:sz="0" w:space="0" w:color="auto"/>
                <w:left w:val="none" w:sz="0" w:space="0" w:color="auto"/>
                <w:bottom w:val="none" w:sz="0" w:space="0" w:color="auto"/>
                <w:right w:val="none" w:sz="0" w:space="0" w:color="auto"/>
              </w:divBdr>
            </w:div>
            <w:div w:id="693456695">
              <w:marLeft w:val="0"/>
              <w:marRight w:val="0"/>
              <w:marTop w:val="0"/>
              <w:marBottom w:val="0"/>
              <w:divBdr>
                <w:top w:val="none" w:sz="0" w:space="0" w:color="auto"/>
                <w:left w:val="none" w:sz="0" w:space="0" w:color="auto"/>
                <w:bottom w:val="none" w:sz="0" w:space="0" w:color="auto"/>
                <w:right w:val="none" w:sz="0" w:space="0" w:color="auto"/>
              </w:divBdr>
            </w:div>
            <w:div w:id="228656166">
              <w:marLeft w:val="0"/>
              <w:marRight w:val="0"/>
              <w:marTop w:val="0"/>
              <w:marBottom w:val="0"/>
              <w:divBdr>
                <w:top w:val="none" w:sz="0" w:space="0" w:color="auto"/>
                <w:left w:val="none" w:sz="0" w:space="0" w:color="auto"/>
                <w:bottom w:val="none" w:sz="0" w:space="0" w:color="auto"/>
                <w:right w:val="none" w:sz="0" w:space="0" w:color="auto"/>
              </w:divBdr>
            </w:div>
            <w:div w:id="993797656">
              <w:marLeft w:val="0"/>
              <w:marRight w:val="0"/>
              <w:marTop w:val="0"/>
              <w:marBottom w:val="0"/>
              <w:divBdr>
                <w:top w:val="none" w:sz="0" w:space="0" w:color="auto"/>
                <w:left w:val="none" w:sz="0" w:space="0" w:color="auto"/>
                <w:bottom w:val="none" w:sz="0" w:space="0" w:color="auto"/>
                <w:right w:val="none" w:sz="0" w:space="0" w:color="auto"/>
              </w:divBdr>
            </w:div>
            <w:div w:id="1909612927">
              <w:marLeft w:val="0"/>
              <w:marRight w:val="0"/>
              <w:marTop w:val="0"/>
              <w:marBottom w:val="0"/>
              <w:divBdr>
                <w:top w:val="none" w:sz="0" w:space="0" w:color="auto"/>
                <w:left w:val="none" w:sz="0" w:space="0" w:color="auto"/>
                <w:bottom w:val="none" w:sz="0" w:space="0" w:color="auto"/>
                <w:right w:val="none" w:sz="0" w:space="0" w:color="auto"/>
              </w:divBdr>
            </w:div>
            <w:div w:id="1803764241">
              <w:marLeft w:val="0"/>
              <w:marRight w:val="0"/>
              <w:marTop w:val="0"/>
              <w:marBottom w:val="0"/>
              <w:divBdr>
                <w:top w:val="none" w:sz="0" w:space="0" w:color="auto"/>
                <w:left w:val="none" w:sz="0" w:space="0" w:color="auto"/>
                <w:bottom w:val="none" w:sz="0" w:space="0" w:color="auto"/>
                <w:right w:val="none" w:sz="0" w:space="0" w:color="auto"/>
              </w:divBdr>
            </w:div>
            <w:div w:id="701327350">
              <w:marLeft w:val="0"/>
              <w:marRight w:val="0"/>
              <w:marTop w:val="0"/>
              <w:marBottom w:val="0"/>
              <w:divBdr>
                <w:top w:val="none" w:sz="0" w:space="0" w:color="auto"/>
                <w:left w:val="none" w:sz="0" w:space="0" w:color="auto"/>
                <w:bottom w:val="none" w:sz="0" w:space="0" w:color="auto"/>
                <w:right w:val="none" w:sz="0" w:space="0" w:color="auto"/>
              </w:divBdr>
            </w:div>
            <w:div w:id="1937443673">
              <w:marLeft w:val="0"/>
              <w:marRight w:val="0"/>
              <w:marTop w:val="0"/>
              <w:marBottom w:val="0"/>
              <w:divBdr>
                <w:top w:val="none" w:sz="0" w:space="0" w:color="auto"/>
                <w:left w:val="none" w:sz="0" w:space="0" w:color="auto"/>
                <w:bottom w:val="none" w:sz="0" w:space="0" w:color="auto"/>
                <w:right w:val="none" w:sz="0" w:space="0" w:color="auto"/>
              </w:divBdr>
            </w:div>
            <w:div w:id="1842349991">
              <w:marLeft w:val="0"/>
              <w:marRight w:val="0"/>
              <w:marTop w:val="0"/>
              <w:marBottom w:val="0"/>
              <w:divBdr>
                <w:top w:val="none" w:sz="0" w:space="0" w:color="auto"/>
                <w:left w:val="none" w:sz="0" w:space="0" w:color="auto"/>
                <w:bottom w:val="none" w:sz="0" w:space="0" w:color="auto"/>
                <w:right w:val="none" w:sz="0" w:space="0" w:color="auto"/>
              </w:divBdr>
            </w:div>
            <w:div w:id="439031423">
              <w:marLeft w:val="0"/>
              <w:marRight w:val="0"/>
              <w:marTop w:val="0"/>
              <w:marBottom w:val="0"/>
              <w:divBdr>
                <w:top w:val="none" w:sz="0" w:space="0" w:color="auto"/>
                <w:left w:val="none" w:sz="0" w:space="0" w:color="auto"/>
                <w:bottom w:val="none" w:sz="0" w:space="0" w:color="auto"/>
                <w:right w:val="none" w:sz="0" w:space="0" w:color="auto"/>
              </w:divBdr>
            </w:div>
            <w:div w:id="423452110">
              <w:marLeft w:val="0"/>
              <w:marRight w:val="0"/>
              <w:marTop w:val="0"/>
              <w:marBottom w:val="0"/>
              <w:divBdr>
                <w:top w:val="none" w:sz="0" w:space="0" w:color="auto"/>
                <w:left w:val="none" w:sz="0" w:space="0" w:color="auto"/>
                <w:bottom w:val="none" w:sz="0" w:space="0" w:color="auto"/>
                <w:right w:val="none" w:sz="0" w:space="0" w:color="auto"/>
              </w:divBdr>
            </w:div>
            <w:div w:id="1013874473">
              <w:marLeft w:val="0"/>
              <w:marRight w:val="0"/>
              <w:marTop w:val="0"/>
              <w:marBottom w:val="0"/>
              <w:divBdr>
                <w:top w:val="none" w:sz="0" w:space="0" w:color="auto"/>
                <w:left w:val="none" w:sz="0" w:space="0" w:color="auto"/>
                <w:bottom w:val="none" w:sz="0" w:space="0" w:color="auto"/>
                <w:right w:val="none" w:sz="0" w:space="0" w:color="auto"/>
              </w:divBdr>
            </w:div>
            <w:div w:id="1928146785">
              <w:marLeft w:val="0"/>
              <w:marRight w:val="0"/>
              <w:marTop w:val="0"/>
              <w:marBottom w:val="0"/>
              <w:divBdr>
                <w:top w:val="none" w:sz="0" w:space="0" w:color="auto"/>
                <w:left w:val="none" w:sz="0" w:space="0" w:color="auto"/>
                <w:bottom w:val="none" w:sz="0" w:space="0" w:color="auto"/>
                <w:right w:val="none" w:sz="0" w:space="0" w:color="auto"/>
              </w:divBdr>
            </w:div>
            <w:div w:id="667758140">
              <w:marLeft w:val="0"/>
              <w:marRight w:val="0"/>
              <w:marTop w:val="0"/>
              <w:marBottom w:val="0"/>
              <w:divBdr>
                <w:top w:val="none" w:sz="0" w:space="0" w:color="auto"/>
                <w:left w:val="none" w:sz="0" w:space="0" w:color="auto"/>
                <w:bottom w:val="none" w:sz="0" w:space="0" w:color="auto"/>
                <w:right w:val="none" w:sz="0" w:space="0" w:color="auto"/>
              </w:divBdr>
            </w:div>
            <w:div w:id="1186212511">
              <w:marLeft w:val="0"/>
              <w:marRight w:val="0"/>
              <w:marTop w:val="0"/>
              <w:marBottom w:val="0"/>
              <w:divBdr>
                <w:top w:val="none" w:sz="0" w:space="0" w:color="auto"/>
                <w:left w:val="none" w:sz="0" w:space="0" w:color="auto"/>
                <w:bottom w:val="none" w:sz="0" w:space="0" w:color="auto"/>
                <w:right w:val="none" w:sz="0" w:space="0" w:color="auto"/>
              </w:divBdr>
            </w:div>
            <w:div w:id="822357316">
              <w:marLeft w:val="0"/>
              <w:marRight w:val="0"/>
              <w:marTop w:val="0"/>
              <w:marBottom w:val="0"/>
              <w:divBdr>
                <w:top w:val="none" w:sz="0" w:space="0" w:color="auto"/>
                <w:left w:val="none" w:sz="0" w:space="0" w:color="auto"/>
                <w:bottom w:val="none" w:sz="0" w:space="0" w:color="auto"/>
                <w:right w:val="none" w:sz="0" w:space="0" w:color="auto"/>
              </w:divBdr>
            </w:div>
            <w:div w:id="708145530">
              <w:marLeft w:val="0"/>
              <w:marRight w:val="0"/>
              <w:marTop w:val="0"/>
              <w:marBottom w:val="0"/>
              <w:divBdr>
                <w:top w:val="none" w:sz="0" w:space="0" w:color="auto"/>
                <w:left w:val="none" w:sz="0" w:space="0" w:color="auto"/>
                <w:bottom w:val="none" w:sz="0" w:space="0" w:color="auto"/>
                <w:right w:val="none" w:sz="0" w:space="0" w:color="auto"/>
              </w:divBdr>
            </w:div>
            <w:div w:id="85926473">
              <w:marLeft w:val="0"/>
              <w:marRight w:val="0"/>
              <w:marTop w:val="0"/>
              <w:marBottom w:val="0"/>
              <w:divBdr>
                <w:top w:val="none" w:sz="0" w:space="0" w:color="auto"/>
                <w:left w:val="none" w:sz="0" w:space="0" w:color="auto"/>
                <w:bottom w:val="none" w:sz="0" w:space="0" w:color="auto"/>
                <w:right w:val="none" w:sz="0" w:space="0" w:color="auto"/>
              </w:divBdr>
            </w:div>
            <w:div w:id="1776363152">
              <w:marLeft w:val="0"/>
              <w:marRight w:val="0"/>
              <w:marTop w:val="0"/>
              <w:marBottom w:val="0"/>
              <w:divBdr>
                <w:top w:val="none" w:sz="0" w:space="0" w:color="auto"/>
                <w:left w:val="none" w:sz="0" w:space="0" w:color="auto"/>
                <w:bottom w:val="none" w:sz="0" w:space="0" w:color="auto"/>
                <w:right w:val="none" w:sz="0" w:space="0" w:color="auto"/>
              </w:divBdr>
            </w:div>
            <w:div w:id="1852642645">
              <w:marLeft w:val="0"/>
              <w:marRight w:val="0"/>
              <w:marTop w:val="0"/>
              <w:marBottom w:val="0"/>
              <w:divBdr>
                <w:top w:val="none" w:sz="0" w:space="0" w:color="auto"/>
                <w:left w:val="none" w:sz="0" w:space="0" w:color="auto"/>
                <w:bottom w:val="none" w:sz="0" w:space="0" w:color="auto"/>
                <w:right w:val="none" w:sz="0" w:space="0" w:color="auto"/>
              </w:divBdr>
            </w:div>
            <w:div w:id="1606422270">
              <w:marLeft w:val="0"/>
              <w:marRight w:val="0"/>
              <w:marTop w:val="0"/>
              <w:marBottom w:val="0"/>
              <w:divBdr>
                <w:top w:val="none" w:sz="0" w:space="0" w:color="auto"/>
                <w:left w:val="none" w:sz="0" w:space="0" w:color="auto"/>
                <w:bottom w:val="none" w:sz="0" w:space="0" w:color="auto"/>
                <w:right w:val="none" w:sz="0" w:space="0" w:color="auto"/>
              </w:divBdr>
            </w:div>
            <w:div w:id="893541094">
              <w:marLeft w:val="0"/>
              <w:marRight w:val="0"/>
              <w:marTop w:val="0"/>
              <w:marBottom w:val="0"/>
              <w:divBdr>
                <w:top w:val="none" w:sz="0" w:space="0" w:color="auto"/>
                <w:left w:val="none" w:sz="0" w:space="0" w:color="auto"/>
                <w:bottom w:val="none" w:sz="0" w:space="0" w:color="auto"/>
                <w:right w:val="none" w:sz="0" w:space="0" w:color="auto"/>
              </w:divBdr>
            </w:div>
            <w:div w:id="1153181168">
              <w:marLeft w:val="0"/>
              <w:marRight w:val="0"/>
              <w:marTop w:val="0"/>
              <w:marBottom w:val="0"/>
              <w:divBdr>
                <w:top w:val="none" w:sz="0" w:space="0" w:color="auto"/>
                <w:left w:val="none" w:sz="0" w:space="0" w:color="auto"/>
                <w:bottom w:val="none" w:sz="0" w:space="0" w:color="auto"/>
                <w:right w:val="none" w:sz="0" w:space="0" w:color="auto"/>
              </w:divBdr>
            </w:div>
            <w:div w:id="1872839183">
              <w:marLeft w:val="0"/>
              <w:marRight w:val="0"/>
              <w:marTop w:val="0"/>
              <w:marBottom w:val="0"/>
              <w:divBdr>
                <w:top w:val="none" w:sz="0" w:space="0" w:color="auto"/>
                <w:left w:val="none" w:sz="0" w:space="0" w:color="auto"/>
                <w:bottom w:val="none" w:sz="0" w:space="0" w:color="auto"/>
                <w:right w:val="none" w:sz="0" w:space="0" w:color="auto"/>
              </w:divBdr>
            </w:div>
            <w:div w:id="16051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6457">
      <w:bodyDiv w:val="1"/>
      <w:marLeft w:val="0"/>
      <w:marRight w:val="0"/>
      <w:marTop w:val="0"/>
      <w:marBottom w:val="0"/>
      <w:divBdr>
        <w:top w:val="none" w:sz="0" w:space="0" w:color="auto"/>
        <w:left w:val="none" w:sz="0" w:space="0" w:color="auto"/>
        <w:bottom w:val="none" w:sz="0" w:space="0" w:color="auto"/>
        <w:right w:val="none" w:sz="0" w:space="0" w:color="auto"/>
      </w:divBdr>
      <w:divsChild>
        <w:div w:id="1176656264">
          <w:marLeft w:val="0"/>
          <w:marRight w:val="0"/>
          <w:marTop w:val="0"/>
          <w:marBottom w:val="0"/>
          <w:divBdr>
            <w:top w:val="none" w:sz="0" w:space="0" w:color="auto"/>
            <w:left w:val="none" w:sz="0" w:space="0" w:color="auto"/>
            <w:bottom w:val="none" w:sz="0" w:space="0" w:color="auto"/>
            <w:right w:val="none" w:sz="0" w:space="0" w:color="auto"/>
          </w:divBdr>
          <w:divsChild>
            <w:div w:id="487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05">
      <w:bodyDiv w:val="1"/>
      <w:marLeft w:val="0"/>
      <w:marRight w:val="0"/>
      <w:marTop w:val="0"/>
      <w:marBottom w:val="0"/>
      <w:divBdr>
        <w:top w:val="none" w:sz="0" w:space="0" w:color="auto"/>
        <w:left w:val="none" w:sz="0" w:space="0" w:color="auto"/>
        <w:bottom w:val="none" w:sz="0" w:space="0" w:color="auto"/>
        <w:right w:val="none" w:sz="0" w:space="0" w:color="auto"/>
      </w:divBdr>
      <w:divsChild>
        <w:div w:id="1156066470">
          <w:marLeft w:val="0"/>
          <w:marRight w:val="0"/>
          <w:marTop w:val="0"/>
          <w:marBottom w:val="0"/>
          <w:divBdr>
            <w:top w:val="none" w:sz="0" w:space="0" w:color="auto"/>
            <w:left w:val="none" w:sz="0" w:space="0" w:color="auto"/>
            <w:bottom w:val="none" w:sz="0" w:space="0" w:color="auto"/>
            <w:right w:val="none" w:sz="0" w:space="0" w:color="auto"/>
          </w:divBdr>
          <w:divsChild>
            <w:div w:id="749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4497">
      <w:bodyDiv w:val="1"/>
      <w:marLeft w:val="0"/>
      <w:marRight w:val="0"/>
      <w:marTop w:val="0"/>
      <w:marBottom w:val="0"/>
      <w:divBdr>
        <w:top w:val="none" w:sz="0" w:space="0" w:color="auto"/>
        <w:left w:val="none" w:sz="0" w:space="0" w:color="auto"/>
        <w:bottom w:val="none" w:sz="0" w:space="0" w:color="auto"/>
        <w:right w:val="none" w:sz="0" w:space="0" w:color="auto"/>
      </w:divBdr>
      <w:divsChild>
        <w:div w:id="955256676">
          <w:marLeft w:val="0"/>
          <w:marRight w:val="0"/>
          <w:marTop w:val="0"/>
          <w:marBottom w:val="0"/>
          <w:divBdr>
            <w:top w:val="none" w:sz="0" w:space="0" w:color="auto"/>
            <w:left w:val="none" w:sz="0" w:space="0" w:color="auto"/>
            <w:bottom w:val="none" w:sz="0" w:space="0" w:color="auto"/>
            <w:right w:val="none" w:sz="0" w:space="0" w:color="auto"/>
          </w:divBdr>
          <w:divsChild>
            <w:div w:id="2034071407">
              <w:marLeft w:val="0"/>
              <w:marRight w:val="0"/>
              <w:marTop w:val="0"/>
              <w:marBottom w:val="0"/>
              <w:divBdr>
                <w:top w:val="none" w:sz="0" w:space="0" w:color="auto"/>
                <w:left w:val="none" w:sz="0" w:space="0" w:color="auto"/>
                <w:bottom w:val="none" w:sz="0" w:space="0" w:color="auto"/>
                <w:right w:val="none" w:sz="0" w:space="0" w:color="auto"/>
              </w:divBdr>
            </w:div>
            <w:div w:id="387148275">
              <w:marLeft w:val="0"/>
              <w:marRight w:val="0"/>
              <w:marTop w:val="0"/>
              <w:marBottom w:val="0"/>
              <w:divBdr>
                <w:top w:val="none" w:sz="0" w:space="0" w:color="auto"/>
                <w:left w:val="none" w:sz="0" w:space="0" w:color="auto"/>
                <w:bottom w:val="none" w:sz="0" w:space="0" w:color="auto"/>
                <w:right w:val="none" w:sz="0" w:space="0" w:color="auto"/>
              </w:divBdr>
            </w:div>
            <w:div w:id="1225800361">
              <w:marLeft w:val="0"/>
              <w:marRight w:val="0"/>
              <w:marTop w:val="0"/>
              <w:marBottom w:val="0"/>
              <w:divBdr>
                <w:top w:val="none" w:sz="0" w:space="0" w:color="auto"/>
                <w:left w:val="none" w:sz="0" w:space="0" w:color="auto"/>
                <w:bottom w:val="none" w:sz="0" w:space="0" w:color="auto"/>
                <w:right w:val="none" w:sz="0" w:space="0" w:color="auto"/>
              </w:divBdr>
            </w:div>
            <w:div w:id="156313196">
              <w:marLeft w:val="0"/>
              <w:marRight w:val="0"/>
              <w:marTop w:val="0"/>
              <w:marBottom w:val="0"/>
              <w:divBdr>
                <w:top w:val="none" w:sz="0" w:space="0" w:color="auto"/>
                <w:left w:val="none" w:sz="0" w:space="0" w:color="auto"/>
                <w:bottom w:val="none" w:sz="0" w:space="0" w:color="auto"/>
                <w:right w:val="none" w:sz="0" w:space="0" w:color="auto"/>
              </w:divBdr>
            </w:div>
            <w:div w:id="523442071">
              <w:marLeft w:val="0"/>
              <w:marRight w:val="0"/>
              <w:marTop w:val="0"/>
              <w:marBottom w:val="0"/>
              <w:divBdr>
                <w:top w:val="none" w:sz="0" w:space="0" w:color="auto"/>
                <w:left w:val="none" w:sz="0" w:space="0" w:color="auto"/>
                <w:bottom w:val="none" w:sz="0" w:space="0" w:color="auto"/>
                <w:right w:val="none" w:sz="0" w:space="0" w:color="auto"/>
              </w:divBdr>
            </w:div>
            <w:div w:id="2068915729">
              <w:marLeft w:val="0"/>
              <w:marRight w:val="0"/>
              <w:marTop w:val="0"/>
              <w:marBottom w:val="0"/>
              <w:divBdr>
                <w:top w:val="none" w:sz="0" w:space="0" w:color="auto"/>
                <w:left w:val="none" w:sz="0" w:space="0" w:color="auto"/>
                <w:bottom w:val="none" w:sz="0" w:space="0" w:color="auto"/>
                <w:right w:val="none" w:sz="0" w:space="0" w:color="auto"/>
              </w:divBdr>
            </w:div>
            <w:div w:id="2061126820">
              <w:marLeft w:val="0"/>
              <w:marRight w:val="0"/>
              <w:marTop w:val="0"/>
              <w:marBottom w:val="0"/>
              <w:divBdr>
                <w:top w:val="none" w:sz="0" w:space="0" w:color="auto"/>
                <w:left w:val="none" w:sz="0" w:space="0" w:color="auto"/>
                <w:bottom w:val="none" w:sz="0" w:space="0" w:color="auto"/>
                <w:right w:val="none" w:sz="0" w:space="0" w:color="auto"/>
              </w:divBdr>
            </w:div>
            <w:div w:id="1137720102">
              <w:marLeft w:val="0"/>
              <w:marRight w:val="0"/>
              <w:marTop w:val="0"/>
              <w:marBottom w:val="0"/>
              <w:divBdr>
                <w:top w:val="none" w:sz="0" w:space="0" w:color="auto"/>
                <w:left w:val="none" w:sz="0" w:space="0" w:color="auto"/>
                <w:bottom w:val="none" w:sz="0" w:space="0" w:color="auto"/>
                <w:right w:val="none" w:sz="0" w:space="0" w:color="auto"/>
              </w:divBdr>
            </w:div>
            <w:div w:id="776294977">
              <w:marLeft w:val="0"/>
              <w:marRight w:val="0"/>
              <w:marTop w:val="0"/>
              <w:marBottom w:val="0"/>
              <w:divBdr>
                <w:top w:val="none" w:sz="0" w:space="0" w:color="auto"/>
                <w:left w:val="none" w:sz="0" w:space="0" w:color="auto"/>
                <w:bottom w:val="none" w:sz="0" w:space="0" w:color="auto"/>
                <w:right w:val="none" w:sz="0" w:space="0" w:color="auto"/>
              </w:divBdr>
            </w:div>
            <w:div w:id="567888746">
              <w:marLeft w:val="0"/>
              <w:marRight w:val="0"/>
              <w:marTop w:val="0"/>
              <w:marBottom w:val="0"/>
              <w:divBdr>
                <w:top w:val="none" w:sz="0" w:space="0" w:color="auto"/>
                <w:left w:val="none" w:sz="0" w:space="0" w:color="auto"/>
                <w:bottom w:val="none" w:sz="0" w:space="0" w:color="auto"/>
                <w:right w:val="none" w:sz="0" w:space="0" w:color="auto"/>
              </w:divBdr>
            </w:div>
            <w:div w:id="1178421717">
              <w:marLeft w:val="0"/>
              <w:marRight w:val="0"/>
              <w:marTop w:val="0"/>
              <w:marBottom w:val="0"/>
              <w:divBdr>
                <w:top w:val="none" w:sz="0" w:space="0" w:color="auto"/>
                <w:left w:val="none" w:sz="0" w:space="0" w:color="auto"/>
                <w:bottom w:val="none" w:sz="0" w:space="0" w:color="auto"/>
                <w:right w:val="none" w:sz="0" w:space="0" w:color="auto"/>
              </w:divBdr>
            </w:div>
            <w:div w:id="229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579">
      <w:bodyDiv w:val="1"/>
      <w:marLeft w:val="0"/>
      <w:marRight w:val="0"/>
      <w:marTop w:val="0"/>
      <w:marBottom w:val="0"/>
      <w:divBdr>
        <w:top w:val="none" w:sz="0" w:space="0" w:color="auto"/>
        <w:left w:val="none" w:sz="0" w:space="0" w:color="auto"/>
        <w:bottom w:val="none" w:sz="0" w:space="0" w:color="auto"/>
        <w:right w:val="none" w:sz="0" w:space="0" w:color="auto"/>
      </w:divBdr>
      <w:divsChild>
        <w:div w:id="967663786">
          <w:marLeft w:val="0"/>
          <w:marRight w:val="0"/>
          <w:marTop w:val="0"/>
          <w:marBottom w:val="0"/>
          <w:divBdr>
            <w:top w:val="none" w:sz="0" w:space="0" w:color="auto"/>
            <w:left w:val="none" w:sz="0" w:space="0" w:color="auto"/>
            <w:bottom w:val="none" w:sz="0" w:space="0" w:color="auto"/>
            <w:right w:val="none" w:sz="0" w:space="0" w:color="auto"/>
          </w:divBdr>
          <w:divsChild>
            <w:div w:id="664211150">
              <w:marLeft w:val="0"/>
              <w:marRight w:val="0"/>
              <w:marTop w:val="0"/>
              <w:marBottom w:val="0"/>
              <w:divBdr>
                <w:top w:val="none" w:sz="0" w:space="0" w:color="auto"/>
                <w:left w:val="none" w:sz="0" w:space="0" w:color="auto"/>
                <w:bottom w:val="none" w:sz="0" w:space="0" w:color="auto"/>
                <w:right w:val="none" w:sz="0" w:space="0" w:color="auto"/>
              </w:divBdr>
            </w:div>
            <w:div w:id="238563850">
              <w:marLeft w:val="0"/>
              <w:marRight w:val="0"/>
              <w:marTop w:val="0"/>
              <w:marBottom w:val="0"/>
              <w:divBdr>
                <w:top w:val="none" w:sz="0" w:space="0" w:color="auto"/>
                <w:left w:val="none" w:sz="0" w:space="0" w:color="auto"/>
                <w:bottom w:val="none" w:sz="0" w:space="0" w:color="auto"/>
                <w:right w:val="none" w:sz="0" w:space="0" w:color="auto"/>
              </w:divBdr>
            </w:div>
            <w:div w:id="1039091565">
              <w:marLeft w:val="0"/>
              <w:marRight w:val="0"/>
              <w:marTop w:val="0"/>
              <w:marBottom w:val="0"/>
              <w:divBdr>
                <w:top w:val="none" w:sz="0" w:space="0" w:color="auto"/>
                <w:left w:val="none" w:sz="0" w:space="0" w:color="auto"/>
                <w:bottom w:val="none" w:sz="0" w:space="0" w:color="auto"/>
                <w:right w:val="none" w:sz="0" w:space="0" w:color="auto"/>
              </w:divBdr>
            </w:div>
            <w:div w:id="1070467775">
              <w:marLeft w:val="0"/>
              <w:marRight w:val="0"/>
              <w:marTop w:val="0"/>
              <w:marBottom w:val="0"/>
              <w:divBdr>
                <w:top w:val="none" w:sz="0" w:space="0" w:color="auto"/>
                <w:left w:val="none" w:sz="0" w:space="0" w:color="auto"/>
                <w:bottom w:val="none" w:sz="0" w:space="0" w:color="auto"/>
                <w:right w:val="none" w:sz="0" w:space="0" w:color="auto"/>
              </w:divBdr>
            </w:div>
            <w:div w:id="965619586">
              <w:marLeft w:val="0"/>
              <w:marRight w:val="0"/>
              <w:marTop w:val="0"/>
              <w:marBottom w:val="0"/>
              <w:divBdr>
                <w:top w:val="none" w:sz="0" w:space="0" w:color="auto"/>
                <w:left w:val="none" w:sz="0" w:space="0" w:color="auto"/>
                <w:bottom w:val="none" w:sz="0" w:space="0" w:color="auto"/>
                <w:right w:val="none" w:sz="0" w:space="0" w:color="auto"/>
              </w:divBdr>
            </w:div>
            <w:div w:id="323820571">
              <w:marLeft w:val="0"/>
              <w:marRight w:val="0"/>
              <w:marTop w:val="0"/>
              <w:marBottom w:val="0"/>
              <w:divBdr>
                <w:top w:val="none" w:sz="0" w:space="0" w:color="auto"/>
                <w:left w:val="none" w:sz="0" w:space="0" w:color="auto"/>
                <w:bottom w:val="none" w:sz="0" w:space="0" w:color="auto"/>
                <w:right w:val="none" w:sz="0" w:space="0" w:color="auto"/>
              </w:divBdr>
            </w:div>
            <w:div w:id="1286501425">
              <w:marLeft w:val="0"/>
              <w:marRight w:val="0"/>
              <w:marTop w:val="0"/>
              <w:marBottom w:val="0"/>
              <w:divBdr>
                <w:top w:val="none" w:sz="0" w:space="0" w:color="auto"/>
                <w:left w:val="none" w:sz="0" w:space="0" w:color="auto"/>
                <w:bottom w:val="none" w:sz="0" w:space="0" w:color="auto"/>
                <w:right w:val="none" w:sz="0" w:space="0" w:color="auto"/>
              </w:divBdr>
            </w:div>
            <w:div w:id="705759109">
              <w:marLeft w:val="0"/>
              <w:marRight w:val="0"/>
              <w:marTop w:val="0"/>
              <w:marBottom w:val="0"/>
              <w:divBdr>
                <w:top w:val="none" w:sz="0" w:space="0" w:color="auto"/>
                <w:left w:val="none" w:sz="0" w:space="0" w:color="auto"/>
                <w:bottom w:val="none" w:sz="0" w:space="0" w:color="auto"/>
                <w:right w:val="none" w:sz="0" w:space="0" w:color="auto"/>
              </w:divBdr>
            </w:div>
            <w:div w:id="1896624666">
              <w:marLeft w:val="0"/>
              <w:marRight w:val="0"/>
              <w:marTop w:val="0"/>
              <w:marBottom w:val="0"/>
              <w:divBdr>
                <w:top w:val="none" w:sz="0" w:space="0" w:color="auto"/>
                <w:left w:val="none" w:sz="0" w:space="0" w:color="auto"/>
                <w:bottom w:val="none" w:sz="0" w:space="0" w:color="auto"/>
                <w:right w:val="none" w:sz="0" w:space="0" w:color="auto"/>
              </w:divBdr>
            </w:div>
            <w:div w:id="334571667">
              <w:marLeft w:val="0"/>
              <w:marRight w:val="0"/>
              <w:marTop w:val="0"/>
              <w:marBottom w:val="0"/>
              <w:divBdr>
                <w:top w:val="none" w:sz="0" w:space="0" w:color="auto"/>
                <w:left w:val="none" w:sz="0" w:space="0" w:color="auto"/>
                <w:bottom w:val="none" w:sz="0" w:space="0" w:color="auto"/>
                <w:right w:val="none" w:sz="0" w:space="0" w:color="auto"/>
              </w:divBdr>
            </w:div>
            <w:div w:id="619648985">
              <w:marLeft w:val="0"/>
              <w:marRight w:val="0"/>
              <w:marTop w:val="0"/>
              <w:marBottom w:val="0"/>
              <w:divBdr>
                <w:top w:val="none" w:sz="0" w:space="0" w:color="auto"/>
                <w:left w:val="none" w:sz="0" w:space="0" w:color="auto"/>
                <w:bottom w:val="none" w:sz="0" w:space="0" w:color="auto"/>
                <w:right w:val="none" w:sz="0" w:space="0" w:color="auto"/>
              </w:divBdr>
            </w:div>
            <w:div w:id="1975137936">
              <w:marLeft w:val="0"/>
              <w:marRight w:val="0"/>
              <w:marTop w:val="0"/>
              <w:marBottom w:val="0"/>
              <w:divBdr>
                <w:top w:val="none" w:sz="0" w:space="0" w:color="auto"/>
                <w:left w:val="none" w:sz="0" w:space="0" w:color="auto"/>
                <w:bottom w:val="none" w:sz="0" w:space="0" w:color="auto"/>
                <w:right w:val="none" w:sz="0" w:space="0" w:color="auto"/>
              </w:divBdr>
            </w:div>
            <w:div w:id="992175639">
              <w:marLeft w:val="0"/>
              <w:marRight w:val="0"/>
              <w:marTop w:val="0"/>
              <w:marBottom w:val="0"/>
              <w:divBdr>
                <w:top w:val="none" w:sz="0" w:space="0" w:color="auto"/>
                <w:left w:val="none" w:sz="0" w:space="0" w:color="auto"/>
                <w:bottom w:val="none" w:sz="0" w:space="0" w:color="auto"/>
                <w:right w:val="none" w:sz="0" w:space="0" w:color="auto"/>
              </w:divBdr>
            </w:div>
            <w:div w:id="966663515">
              <w:marLeft w:val="0"/>
              <w:marRight w:val="0"/>
              <w:marTop w:val="0"/>
              <w:marBottom w:val="0"/>
              <w:divBdr>
                <w:top w:val="none" w:sz="0" w:space="0" w:color="auto"/>
                <w:left w:val="none" w:sz="0" w:space="0" w:color="auto"/>
                <w:bottom w:val="none" w:sz="0" w:space="0" w:color="auto"/>
                <w:right w:val="none" w:sz="0" w:space="0" w:color="auto"/>
              </w:divBdr>
            </w:div>
            <w:div w:id="1244218692">
              <w:marLeft w:val="0"/>
              <w:marRight w:val="0"/>
              <w:marTop w:val="0"/>
              <w:marBottom w:val="0"/>
              <w:divBdr>
                <w:top w:val="none" w:sz="0" w:space="0" w:color="auto"/>
                <w:left w:val="none" w:sz="0" w:space="0" w:color="auto"/>
                <w:bottom w:val="none" w:sz="0" w:space="0" w:color="auto"/>
                <w:right w:val="none" w:sz="0" w:space="0" w:color="auto"/>
              </w:divBdr>
            </w:div>
            <w:div w:id="1891649040">
              <w:marLeft w:val="0"/>
              <w:marRight w:val="0"/>
              <w:marTop w:val="0"/>
              <w:marBottom w:val="0"/>
              <w:divBdr>
                <w:top w:val="none" w:sz="0" w:space="0" w:color="auto"/>
                <w:left w:val="none" w:sz="0" w:space="0" w:color="auto"/>
                <w:bottom w:val="none" w:sz="0" w:space="0" w:color="auto"/>
                <w:right w:val="none" w:sz="0" w:space="0" w:color="auto"/>
              </w:divBdr>
            </w:div>
            <w:div w:id="1922059806">
              <w:marLeft w:val="0"/>
              <w:marRight w:val="0"/>
              <w:marTop w:val="0"/>
              <w:marBottom w:val="0"/>
              <w:divBdr>
                <w:top w:val="none" w:sz="0" w:space="0" w:color="auto"/>
                <w:left w:val="none" w:sz="0" w:space="0" w:color="auto"/>
                <w:bottom w:val="none" w:sz="0" w:space="0" w:color="auto"/>
                <w:right w:val="none" w:sz="0" w:space="0" w:color="auto"/>
              </w:divBdr>
            </w:div>
            <w:div w:id="1699159047">
              <w:marLeft w:val="0"/>
              <w:marRight w:val="0"/>
              <w:marTop w:val="0"/>
              <w:marBottom w:val="0"/>
              <w:divBdr>
                <w:top w:val="none" w:sz="0" w:space="0" w:color="auto"/>
                <w:left w:val="none" w:sz="0" w:space="0" w:color="auto"/>
                <w:bottom w:val="none" w:sz="0" w:space="0" w:color="auto"/>
                <w:right w:val="none" w:sz="0" w:space="0" w:color="auto"/>
              </w:divBdr>
            </w:div>
            <w:div w:id="1109157269">
              <w:marLeft w:val="0"/>
              <w:marRight w:val="0"/>
              <w:marTop w:val="0"/>
              <w:marBottom w:val="0"/>
              <w:divBdr>
                <w:top w:val="none" w:sz="0" w:space="0" w:color="auto"/>
                <w:left w:val="none" w:sz="0" w:space="0" w:color="auto"/>
                <w:bottom w:val="none" w:sz="0" w:space="0" w:color="auto"/>
                <w:right w:val="none" w:sz="0" w:space="0" w:color="auto"/>
              </w:divBdr>
            </w:div>
            <w:div w:id="5733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0511">
      <w:bodyDiv w:val="1"/>
      <w:marLeft w:val="0"/>
      <w:marRight w:val="0"/>
      <w:marTop w:val="0"/>
      <w:marBottom w:val="0"/>
      <w:divBdr>
        <w:top w:val="none" w:sz="0" w:space="0" w:color="auto"/>
        <w:left w:val="none" w:sz="0" w:space="0" w:color="auto"/>
        <w:bottom w:val="none" w:sz="0" w:space="0" w:color="auto"/>
        <w:right w:val="none" w:sz="0" w:space="0" w:color="auto"/>
      </w:divBdr>
      <w:divsChild>
        <w:div w:id="329214636">
          <w:marLeft w:val="0"/>
          <w:marRight w:val="0"/>
          <w:marTop w:val="0"/>
          <w:marBottom w:val="0"/>
          <w:divBdr>
            <w:top w:val="none" w:sz="0" w:space="0" w:color="auto"/>
            <w:left w:val="none" w:sz="0" w:space="0" w:color="auto"/>
            <w:bottom w:val="none" w:sz="0" w:space="0" w:color="auto"/>
            <w:right w:val="none" w:sz="0" w:space="0" w:color="auto"/>
          </w:divBdr>
          <w:divsChild>
            <w:div w:id="1433165438">
              <w:marLeft w:val="0"/>
              <w:marRight w:val="0"/>
              <w:marTop w:val="0"/>
              <w:marBottom w:val="0"/>
              <w:divBdr>
                <w:top w:val="none" w:sz="0" w:space="0" w:color="auto"/>
                <w:left w:val="none" w:sz="0" w:space="0" w:color="auto"/>
                <w:bottom w:val="none" w:sz="0" w:space="0" w:color="auto"/>
                <w:right w:val="none" w:sz="0" w:space="0" w:color="auto"/>
              </w:divBdr>
            </w:div>
            <w:div w:id="1052735712">
              <w:marLeft w:val="0"/>
              <w:marRight w:val="0"/>
              <w:marTop w:val="0"/>
              <w:marBottom w:val="0"/>
              <w:divBdr>
                <w:top w:val="none" w:sz="0" w:space="0" w:color="auto"/>
                <w:left w:val="none" w:sz="0" w:space="0" w:color="auto"/>
                <w:bottom w:val="none" w:sz="0" w:space="0" w:color="auto"/>
                <w:right w:val="none" w:sz="0" w:space="0" w:color="auto"/>
              </w:divBdr>
            </w:div>
            <w:div w:id="1330862273">
              <w:marLeft w:val="0"/>
              <w:marRight w:val="0"/>
              <w:marTop w:val="0"/>
              <w:marBottom w:val="0"/>
              <w:divBdr>
                <w:top w:val="none" w:sz="0" w:space="0" w:color="auto"/>
                <w:left w:val="none" w:sz="0" w:space="0" w:color="auto"/>
                <w:bottom w:val="none" w:sz="0" w:space="0" w:color="auto"/>
                <w:right w:val="none" w:sz="0" w:space="0" w:color="auto"/>
              </w:divBdr>
            </w:div>
            <w:div w:id="157356562">
              <w:marLeft w:val="0"/>
              <w:marRight w:val="0"/>
              <w:marTop w:val="0"/>
              <w:marBottom w:val="0"/>
              <w:divBdr>
                <w:top w:val="none" w:sz="0" w:space="0" w:color="auto"/>
                <w:left w:val="none" w:sz="0" w:space="0" w:color="auto"/>
                <w:bottom w:val="none" w:sz="0" w:space="0" w:color="auto"/>
                <w:right w:val="none" w:sz="0" w:space="0" w:color="auto"/>
              </w:divBdr>
            </w:div>
            <w:div w:id="1099646128">
              <w:marLeft w:val="0"/>
              <w:marRight w:val="0"/>
              <w:marTop w:val="0"/>
              <w:marBottom w:val="0"/>
              <w:divBdr>
                <w:top w:val="none" w:sz="0" w:space="0" w:color="auto"/>
                <w:left w:val="none" w:sz="0" w:space="0" w:color="auto"/>
                <w:bottom w:val="none" w:sz="0" w:space="0" w:color="auto"/>
                <w:right w:val="none" w:sz="0" w:space="0" w:color="auto"/>
              </w:divBdr>
            </w:div>
            <w:div w:id="1096943001">
              <w:marLeft w:val="0"/>
              <w:marRight w:val="0"/>
              <w:marTop w:val="0"/>
              <w:marBottom w:val="0"/>
              <w:divBdr>
                <w:top w:val="none" w:sz="0" w:space="0" w:color="auto"/>
                <w:left w:val="none" w:sz="0" w:space="0" w:color="auto"/>
                <w:bottom w:val="none" w:sz="0" w:space="0" w:color="auto"/>
                <w:right w:val="none" w:sz="0" w:space="0" w:color="auto"/>
              </w:divBdr>
            </w:div>
            <w:div w:id="975186574">
              <w:marLeft w:val="0"/>
              <w:marRight w:val="0"/>
              <w:marTop w:val="0"/>
              <w:marBottom w:val="0"/>
              <w:divBdr>
                <w:top w:val="none" w:sz="0" w:space="0" w:color="auto"/>
                <w:left w:val="none" w:sz="0" w:space="0" w:color="auto"/>
                <w:bottom w:val="none" w:sz="0" w:space="0" w:color="auto"/>
                <w:right w:val="none" w:sz="0" w:space="0" w:color="auto"/>
              </w:divBdr>
            </w:div>
            <w:div w:id="371420194">
              <w:marLeft w:val="0"/>
              <w:marRight w:val="0"/>
              <w:marTop w:val="0"/>
              <w:marBottom w:val="0"/>
              <w:divBdr>
                <w:top w:val="none" w:sz="0" w:space="0" w:color="auto"/>
                <w:left w:val="none" w:sz="0" w:space="0" w:color="auto"/>
                <w:bottom w:val="none" w:sz="0" w:space="0" w:color="auto"/>
                <w:right w:val="none" w:sz="0" w:space="0" w:color="auto"/>
              </w:divBdr>
            </w:div>
            <w:div w:id="182399767">
              <w:marLeft w:val="0"/>
              <w:marRight w:val="0"/>
              <w:marTop w:val="0"/>
              <w:marBottom w:val="0"/>
              <w:divBdr>
                <w:top w:val="none" w:sz="0" w:space="0" w:color="auto"/>
                <w:left w:val="none" w:sz="0" w:space="0" w:color="auto"/>
                <w:bottom w:val="none" w:sz="0" w:space="0" w:color="auto"/>
                <w:right w:val="none" w:sz="0" w:space="0" w:color="auto"/>
              </w:divBdr>
            </w:div>
            <w:div w:id="208956372">
              <w:marLeft w:val="0"/>
              <w:marRight w:val="0"/>
              <w:marTop w:val="0"/>
              <w:marBottom w:val="0"/>
              <w:divBdr>
                <w:top w:val="none" w:sz="0" w:space="0" w:color="auto"/>
                <w:left w:val="none" w:sz="0" w:space="0" w:color="auto"/>
                <w:bottom w:val="none" w:sz="0" w:space="0" w:color="auto"/>
                <w:right w:val="none" w:sz="0" w:space="0" w:color="auto"/>
              </w:divBdr>
            </w:div>
            <w:div w:id="1396464619">
              <w:marLeft w:val="0"/>
              <w:marRight w:val="0"/>
              <w:marTop w:val="0"/>
              <w:marBottom w:val="0"/>
              <w:divBdr>
                <w:top w:val="none" w:sz="0" w:space="0" w:color="auto"/>
                <w:left w:val="none" w:sz="0" w:space="0" w:color="auto"/>
                <w:bottom w:val="none" w:sz="0" w:space="0" w:color="auto"/>
                <w:right w:val="none" w:sz="0" w:space="0" w:color="auto"/>
              </w:divBdr>
            </w:div>
            <w:div w:id="18989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2905</Words>
  <Characters>16560</Characters>
  <Application>Microsoft Office Word</Application>
  <DocSecurity>0</DocSecurity>
  <Lines>138</Lines>
  <Paragraphs>38</Paragraphs>
  <ScaleCrop>false</ScaleCrop>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Salnikov Evgenii</dc:creator>
  <cp:keywords/>
  <dc:description/>
  <cp:lastModifiedBy>Salnikov Evgenii</cp:lastModifiedBy>
  <cp:revision>12</cp:revision>
  <dcterms:created xsi:type="dcterms:W3CDTF">2024-11-22T14:57:00Z</dcterms:created>
  <dcterms:modified xsi:type="dcterms:W3CDTF">2024-11-22T15:33:00Z</dcterms:modified>
</cp:coreProperties>
</file>