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1403" w14:textId="77777777" w:rsidR="006E515B" w:rsidRDefault="006E515B" w:rsidP="006E515B">
      <w:pPr>
        <w:spacing w:line="480" w:lineRule="auto"/>
        <w:rPr>
          <w:rFonts w:ascii="Times New Roman" w:hAnsi="Times New Roman" w:cs="Times New Roman"/>
          <w:sz w:val="24"/>
          <w:szCs w:val="24"/>
        </w:rPr>
      </w:pPr>
      <w:r w:rsidRPr="00A113D9">
        <w:rPr>
          <w:rFonts w:ascii="Times New Roman" w:hAnsi="Times New Roman" w:cs="Times New Roman"/>
          <w:sz w:val="24"/>
          <w:szCs w:val="24"/>
        </w:rPr>
        <w:t xml:space="preserve">Thomas Crow </w:t>
      </w:r>
    </w:p>
    <w:p w14:paraId="792C9D83" w14:textId="77777777" w:rsidR="006E515B" w:rsidRDefault="006E515B" w:rsidP="006E515B">
      <w:pPr>
        <w:spacing w:line="480" w:lineRule="auto"/>
        <w:rPr>
          <w:rFonts w:ascii="Times New Roman" w:hAnsi="Times New Roman" w:cs="Times New Roman"/>
          <w:sz w:val="24"/>
          <w:szCs w:val="24"/>
        </w:rPr>
      </w:pPr>
      <w:r w:rsidRPr="00A113D9">
        <w:rPr>
          <w:rFonts w:ascii="Times New Roman" w:hAnsi="Times New Roman" w:cs="Times New Roman"/>
          <w:sz w:val="24"/>
          <w:szCs w:val="24"/>
        </w:rPr>
        <w:t xml:space="preserve">Professor </w:t>
      </w:r>
      <w:r>
        <w:rPr>
          <w:rFonts w:ascii="Times New Roman" w:hAnsi="Times New Roman" w:cs="Times New Roman"/>
          <w:sz w:val="24"/>
          <w:szCs w:val="24"/>
        </w:rPr>
        <w:t xml:space="preserve">Martin </w:t>
      </w:r>
      <w:r w:rsidRPr="00A113D9">
        <w:rPr>
          <w:rFonts w:ascii="Times New Roman" w:hAnsi="Times New Roman" w:cs="Times New Roman"/>
          <w:sz w:val="24"/>
          <w:szCs w:val="24"/>
        </w:rPr>
        <w:t xml:space="preserve">Barron </w:t>
      </w:r>
    </w:p>
    <w:p w14:paraId="3FA3B668" w14:textId="77777777" w:rsidR="006E515B" w:rsidRDefault="006E515B" w:rsidP="006E515B">
      <w:pPr>
        <w:spacing w:line="480" w:lineRule="auto"/>
        <w:rPr>
          <w:rFonts w:ascii="Times New Roman" w:hAnsi="Times New Roman" w:cs="Times New Roman"/>
          <w:sz w:val="24"/>
          <w:szCs w:val="24"/>
        </w:rPr>
      </w:pPr>
      <w:r w:rsidRPr="00A113D9">
        <w:rPr>
          <w:rFonts w:ascii="Times New Roman" w:hAnsi="Times New Roman" w:cs="Times New Roman"/>
          <w:sz w:val="24"/>
          <w:szCs w:val="24"/>
        </w:rPr>
        <w:t xml:space="preserve">Machine Learning </w:t>
      </w:r>
    </w:p>
    <w:p w14:paraId="06998B87" w14:textId="77777777" w:rsidR="006E515B" w:rsidRDefault="006E515B" w:rsidP="006E515B">
      <w:pPr>
        <w:spacing w:line="480" w:lineRule="auto"/>
        <w:rPr>
          <w:rFonts w:ascii="Times New Roman" w:hAnsi="Times New Roman" w:cs="Times New Roman"/>
          <w:sz w:val="24"/>
          <w:szCs w:val="24"/>
        </w:rPr>
      </w:pPr>
      <w:r w:rsidRPr="00A113D9">
        <w:rPr>
          <w:rFonts w:ascii="Times New Roman" w:hAnsi="Times New Roman" w:cs="Times New Roman"/>
          <w:sz w:val="24"/>
          <w:szCs w:val="24"/>
        </w:rPr>
        <w:t xml:space="preserve">10 November 2025 </w:t>
      </w:r>
    </w:p>
    <w:p w14:paraId="192C5AB2" w14:textId="653E289E" w:rsidR="006E515B" w:rsidRPr="00D9304A" w:rsidRDefault="006D5B79" w:rsidP="00D9304A">
      <w:pPr>
        <w:spacing w:line="480" w:lineRule="auto"/>
        <w:jc w:val="center"/>
        <w:rPr>
          <w:rFonts w:ascii="Times New Roman" w:hAnsi="Times New Roman" w:cs="Times New Roman"/>
          <w:sz w:val="24"/>
          <w:szCs w:val="24"/>
        </w:rPr>
      </w:pPr>
      <w:r>
        <w:rPr>
          <w:rFonts w:ascii="Times New Roman" w:hAnsi="Times New Roman" w:cs="Times New Roman"/>
          <w:sz w:val="24"/>
          <w:szCs w:val="24"/>
        </w:rPr>
        <w:t>K-Means Clustering in Futures Analysis</w:t>
      </w:r>
    </w:p>
    <w:p w14:paraId="31D8EFF9" w14:textId="689FB5B8" w:rsidR="006E515B" w:rsidRPr="006E515B" w:rsidRDefault="006E515B" w:rsidP="006E515B">
      <w:pPr>
        <w:spacing w:line="480" w:lineRule="auto"/>
        <w:ind w:firstLine="720"/>
        <w:rPr>
          <w:rFonts w:ascii="Times New Roman" w:hAnsi="Times New Roman" w:cs="Times New Roman"/>
          <w:sz w:val="24"/>
          <w:szCs w:val="24"/>
        </w:rPr>
      </w:pPr>
      <w:r w:rsidRPr="00A113D9">
        <w:rPr>
          <w:rFonts w:ascii="Times New Roman" w:hAnsi="Times New Roman" w:cs="Times New Roman"/>
          <w:sz w:val="24"/>
          <w:szCs w:val="24"/>
        </w:rPr>
        <w:t xml:space="preserve">In finance, </w:t>
      </w:r>
      <w:r w:rsidR="006D5B79">
        <w:rPr>
          <w:rFonts w:ascii="Times New Roman" w:hAnsi="Times New Roman" w:cs="Times New Roman"/>
          <w:sz w:val="24"/>
          <w:szCs w:val="24"/>
        </w:rPr>
        <w:t>accurately predicting the return on</w:t>
      </w:r>
      <w:r w:rsidRPr="00A113D9">
        <w:rPr>
          <w:rFonts w:ascii="Times New Roman" w:hAnsi="Times New Roman" w:cs="Times New Roman"/>
          <w:sz w:val="24"/>
          <w:szCs w:val="24"/>
        </w:rPr>
        <w:t xml:space="preserve"> assets is extremely valuable. Investors have been using machine learning to better understand markets for </w:t>
      </w:r>
      <w:r w:rsidR="00C43AC7">
        <w:rPr>
          <w:rFonts w:ascii="Times New Roman" w:hAnsi="Times New Roman" w:cs="Times New Roman"/>
          <w:sz w:val="24"/>
          <w:szCs w:val="24"/>
        </w:rPr>
        <w:t>years</w:t>
      </w:r>
      <w:r w:rsidRPr="00A113D9">
        <w:rPr>
          <w:rFonts w:ascii="Times New Roman" w:hAnsi="Times New Roman" w:cs="Times New Roman"/>
          <w:sz w:val="24"/>
          <w:szCs w:val="24"/>
        </w:rPr>
        <w:t xml:space="preserve"> now, and it is always interesting to see how markets behave in conjunction. Markets rarely move independently, and commodities, equity indices, currencies, and interest-rate products often respond to common macroeconomic drivers. Studying how these assets </w:t>
      </w:r>
      <w:r w:rsidR="00F135E2">
        <w:rPr>
          <w:rFonts w:ascii="Times New Roman" w:hAnsi="Times New Roman" w:cs="Times New Roman"/>
          <w:sz w:val="24"/>
          <w:szCs w:val="24"/>
        </w:rPr>
        <w:t>move relative</w:t>
      </w:r>
      <w:r w:rsidRPr="00A113D9">
        <w:rPr>
          <w:rFonts w:ascii="Times New Roman" w:hAnsi="Times New Roman" w:cs="Times New Roman"/>
          <w:sz w:val="24"/>
          <w:szCs w:val="24"/>
        </w:rPr>
        <w:t xml:space="preserve"> </w:t>
      </w:r>
      <w:r w:rsidR="00F135E2">
        <w:rPr>
          <w:rFonts w:ascii="Times New Roman" w:hAnsi="Times New Roman" w:cs="Times New Roman"/>
          <w:sz w:val="24"/>
          <w:szCs w:val="24"/>
        </w:rPr>
        <w:t>to each other</w:t>
      </w:r>
      <w:r w:rsidRPr="00A113D9">
        <w:rPr>
          <w:rFonts w:ascii="Times New Roman" w:hAnsi="Times New Roman" w:cs="Times New Roman"/>
          <w:sz w:val="24"/>
          <w:szCs w:val="24"/>
        </w:rPr>
        <w:t xml:space="preserve"> can provide unique insight into market structure, risk, and pricing dynamics</w:t>
      </w:r>
      <w:r>
        <w:rPr>
          <w:rFonts w:ascii="Times New Roman" w:hAnsi="Times New Roman" w:cs="Times New Roman"/>
          <w:sz w:val="24"/>
          <w:szCs w:val="24"/>
        </w:rPr>
        <w:t>.</w:t>
      </w:r>
      <w:r w:rsidR="00133B7F">
        <w:rPr>
          <w:rFonts w:ascii="Times New Roman" w:hAnsi="Times New Roman" w:cs="Times New Roman"/>
          <w:sz w:val="24"/>
          <w:szCs w:val="24"/>
        </w:rPr>
        <w:t xml:space="preserve"> </w:t>
      </w:r>
    </w:p>
    <w:p w14:paraId="0BE9978F" w14:textId="61552B2A" w:rsidR="006E515B" w:rsidRPr="00C624EB" w:rsidRDefault="006E515B" w:rsidP="00C624EB">
      <w:pPr>
        <w:spacing w:line="480" w:lineRule="auto"/>
        <w:ind w:firstLine="720"/>
        <w:rPr>
          <w:rFonts w:ascii="Times New Roman" w:hAnsi="Times New Roman" w:cs="Times New Roman"/>
          <w:sz w:val="24"/>
          <w:szCs w:val="24"/>
        </w:rPr>
      </w:pPr>
      <w:r w:rsidRPr="00A113D9">
        <w:rPr>
          <w:rFonts w:ascii="Times New Roman" w:hAnsi="Times New Roman" w:cs="Times New Roman"/>
          <w:sz w:val="24"/>
          <w:szCs w:val="24"/>
        </w:rPr>
        <w:t>Professionals in finance routinely confront problems like this, often employing advanced predictive algorithms</w:t>
      </w:r>
      <w:r w:rsidR="00C43AC7">
        <w:rPr>
          <w:rFonts w:ascii="Times New Roman" w:hAnsi="Times New Roman" w:cs="Times New Roman"/>
          <w:sz w:val="24"/>
          <w:szCs w:val="24"/>
        </w:rPr>
        <w:t xml:space="preserve"> to solve them</w:t>
      </w:r>
      <w:r w:rsidRPr="00A113D9">
        <w:rPr>
          <w:rFonts w:ascii="Times New Roman" w:hAnsi="Times New Roman" w:cs="Times New Roman"/>
          <w:sz w:val="24"/>
          <w:szCs w:val="24"/>
        </w:rPr>
        <w:t>. In “Predicting Commodity Returns Through Image-Based Price Patterns</w:t>
      </w:r>
      <w:r w:rsidR="00F135E2">
        <w:rPr>
          <w:rFonts w:ascii="Times New Roman" w:hAnsi="Times New Roman" w:cs="Times New Roman"/>
          <w:sz w:val="24"/>
          <w:szCs w:val="24"/>
        </w:rPr>
        <w:t>,</w:t>
      </w:r>
      <w:r w:rsidRPr="00A113D9">
        <w:rPr>
          <w:rFonts w:ascii="Times New Roman" w:hAnsi="Times New Roman" w:cs="Times New Roman"/>
          <w:sz w:val="24"/>
          <w:szCs w:val="24"/>
        </w:rPr>
        <w:t>”</w:t>
      </w:r>
      <w:r w:rsidR="00F135E2">
        <w:rPr>
          <w:rFonts w:ascii="Times New Roman" w:hAnsi="Times New Roman" w:cs="Times New Roman"/>
          <w:sz w:val="24"/>
          <w:szCs w:val="24"/>
        </w:rPr>
        <w:t xml:space="preserve"> </w:t>
      </w:r>
      <w:r w:rsidRPr="00A113D9">
        <w:rPr>
          <w:rFonts w:ascii="Times New Roman" w:hAnsi="Times New Roman" w:cs="Times New Roman"/>
          <w:sz w:val="24"/>
          <w:szCs w:val="24"/>
        </w:rPr>
        <w:t xml:space="preserve">Hao, Liu, Miao, and Tse demonstrate that image-based predictions </w:t>
      </w:r>
      <w:r w:rsidR="00C43AC7">
        <w:rPr>
          <w:rFonts w:ascii="Times New Roman" w:hAnsi="Times New Roman" w:cs="Times New Roman"/>
          <w:sz w:val="24"/>
          <w:szCs w:val="24"/>
        </w:rPr>
        <w:t>enhance</w:t>
      </w:r>
      <w:r w:rsidRPr="00A113D9">
        <w:rPr>
          <w:rFonts w:ascii="Times New Roman" w:hAnsi="Times New Roman" w:cs="Times New Roman"/>
          <w:sz w:val="24"/>
          <w:szCs w:val="24"/>
        </w:rPr>
        <w:t xml:space="preserve"> </w:t>
      </w:r>
      <w:r w:rsidR="006D5B79">
        <w:rPr>
          <w:rFonts w:ascii="Times New Roman" w:hAnsi="Times New Roman" w:cs="Times New Roman"/>
          <w:sz w:val="24"/>
          <w:szCs w:val="24"/>
        </w:rPr>
        <w:t xml:space="preserve">the </w:t>
      </w:r>
      <w:r w:rsidRPr="00A113D9">
        <w:rPr>
          <w:rFonts w:ascii="Times New Roman" w:hAnsi="Times New Roman" w:cs="Times New Roman"/>
          <w:sz w:val="24"/>
          <w:szCs w:val="24"/>
        </w:rPr>
        <w:t>predictive accuracy of convolutional neural networks (CNNs). In “Option Return Predictability with Machine Learning and Big Data</w:t>
      </w:r>
      <w:r w:rsidR="00F135E2">
        <w:rPr>
          <w:rFonts w:ascii="Times New Roman" w:hAnsi="Times New Roman" w:cs="Times New Roman"/>
          <w:sz w:val="24"/>
          <w:szCs w:val="24"/>
        </w:rPr>
        <w:t>,</w:t>
      </w:r>
      <w:r w:rsidRPr="00A113D9">
        <w:rPr>
          <w:rFonts w:ascii="Times New Roman" w:hAnsi="Times New Roman" w:cs="Times New Roman"/>
          <w:sz w:val="24"/>
          <w:szCs w:val="24"/>
        </w:rPr>
        <w:t xml:space="preserve">” Bali, Beckmeyer, </w:t>
      </w:r>
      <w:proofErr w:type="spellStart"/>
      <w:r w:rsidRPr="00A113D9">
        <w:rPr>
          <w:rFonts w:ascii="Times New Roman" w:hAnsi="Times New Roman" w:cs="Times New Roman"/>
          <w:sz w:val="24"/>
          <w:szCs w:val="24"/>
        </w:rPr>
        <w:t>Mörke</w:t>
      </w:r>
      <w:proofErr w:type="spellEnd"/>
      <w:r w:rsidRPr="00A113D9">
        <w:rPr>
          <w:rFonts w:ascii="Times New Roman" w:hAnsi="Times New Roman" w:cs="Times New Roman"/>
          <w:sz w:val="24"/>
          <w:szCs w:val="24"/>
        </w:rPr>
        <w:t>, and Weigert f</w:t>
      </w:r>
      <w:r w:rsidR="00F135E2">
        <w:rPr>
          <w:rFonts w:ascii="Times New Roman" w:hAnsi="Times New Roman" w:cs="Times New Roman"/>
          <w:sz w:val="24"/>
          <w:szCs w:val="24"/>
        </w:rPr>
        <w:t>ind</w:t>
      </w:r>
      <w:r w:rsidRPr="00A113D9">
        <w:rPr>
          <w:rFonts w:ascii="Times New Roman" w:hAnsi="Times New Roman" w:cs="Times New Roman"/>
          <w:sz w:val="24"/>
          <w:szCs w:val="24"/>
        </w:rPr>
        <w:t xml:space="preserve"> that allowing for nonlinearities increases the performance of option and stock characteristics in predicting future option returns. Although these studies utilize complex techniques, they show the potential of machine learning to uncover structure in markets. My objective is to apply </w:t>
      </w:r>
      <w:r w:rsidR="00C43AC7">
        <w:rPr>
          <w:rFonts w:ascii="Times New Roman" w:hAnsi="Times New Roman" w:cs="Times New Roman"/>
          <w:sz w:val="24"/>
          <w:szCs w:val="24"/>
        </w:rPr>
        <w:t xml:space="preserve">k-means clustering </w:t>
      </w:r>
      <w:r w:rsidRPr="00A113D9">
        <w:rPr>
          <w:rFonts w:ascii="Times New Roman" w:hAnsi="Times New Roman" w:cs="Times New Roman"/>
          <w:sz w:val="24"/>
          <w:szCs w:val="24"/>
        </w:rPr>
        <w:t>to generate insights and evaluate whether unsupervised learning can reveal meaningful patterns in the behavior of futures.</w:t>
      </w:r>
    </w:p>
    <w:p w14:paraId="019BD8A2" w14:textId="7B73EE7D" w:rsidR="006E515B" w:rsidRPr="00C624EB" w:rsidRDefault="004F0E22" w:rsidP="00C624E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Ten one-month futures </w:t>
      </w:r>
      <w:r w:rsidR="00C624EB">
        <w:rPr>
          <w:rFonts w:ascii="Times New Roman" w:hAnsi="Times New Roman" w:cs="Times New Roman"/>
          <w:sz w:val="24"/>
          <w:szCs w:val="24"/>
        </w:rPr>
        <w:t xml:space="preserve">from yfinance </w:t>
      </w:r>
      <w:r>
        <w:rPr>
          <w:rFonts w:ascii="Times New Roman" w:hAnsi="Times New Roman" w:cs="Times New Roman"/>
          <w:sz w:val="24"/>
          <w:szCs w:val="24"/>
        </w:rPr>
        <w:t>from August 201</w:t>
      </w:r>
      <w:r w:rsidR="00284628">
        <w:rPr>
          <w:rFonts w:ascii="Times New Roman" w:hAnsi="Times New Roman" w:cs="Times New Roman"/>
          <w:sz w:val="24"/>
          <w:szCs w:val="24"/>
        </w:rPr>
        <w:t>0</w:t>
      </w:r>
      <w:r>
        <w:rPr>
          <w:rFonts w:ascii="Times New Roman" w:hAnsi="Times New Roman" w:cs="Times New Roman"/>
          <w:sz w:val="24"/>
          <w:szCs w:val="24"/>
        </w:rPr>
        <w:t xml:space="preserve"> – January 2025 were chosen: U.S. dollar index, natural gas, crude oil, gold, silver, copper, corn, soybeans, </w:t>
      </w:r>
      <w:r w:rsidR="00F135E2">
        <w:rPr>
          <w:rFonts w:ascii="Times New Roman" w:hAnsi="Times New Roman" w:cs="Times New Roman"/>
          <w:sz w:val="24"/>
          <w:szCs w:val="24"/>
        </w:rPr>
        <w:t>the</w:t>
      </w:r>
      <w:r>
        <w:rPr>
          <w:rFonts w:ascii="Times New Roman" w:hAnsi="Times New Roman" w:cs="Times New Roman"/>
          <w:sz w:val="24"/>
          <w:szCs w:val="24"/>
        </w:rPr>
        <w:t xml:space="preserve"> S&amp;P 500 index, </w:t>
      </w:r>
      <w:r>
        <w:rPr>
          <w:rFonts w:ascii="Times New Roman" w:hAnsi="Times New Roman" w:cs="Times New Roman"/>
          <w:sz w:val="24"/>
          <w:szCs w:val="24"/>
        </w:rPr>
        <w:lastRenderedPageBreak/>
        <w:t xml:space="preserve">and </w:t>
      </w:r>
      <w:r w:rsidR="00F135E2">
        <w:rPr>
          <w:rFonts w:ascii="Times New Roman" w:hAnsi="Times New Roman" w:cs="Times New Roman"/>
          <w:sz w:val="24"/>
          <w:szCs w:val="24"/>
        </w:rPr>
        <w:t>the</w:t>
      </w:r>
      <w:r>
        <w:rPr>
          <w:rFonts w:ascii="Times New Roman" w:hAnsi="Times New Roman" w:cs="Times New Roman"/>
          <w:sz w:val="24"/>
          <w:szCs w:val="24"/>
        </w:rPr>
        <w:t xml:space="preserve"> Nasdaq 100 index. We focused on the daily closing prices of these </w:t>
      </w:r>
      <w:r w:rsidR="004F37F6">
        <w:rPr>
          <w:rFonts w:ascii="Times New Roman" w:hAnsi="Times New Roman" w:cs="Times New Roman"/>
          <w:sz w:val="24"/>
          <w:szCs w:val="24"/>
        </w:rPr>
        <w:t>assets and</w:t>
      </w:r>
      <w:r>
        <w:rPr>
          <w:rFonts w:ascii="Times New Roman" w:hAnsi="Times New Roman" w:cs="Times New Roman"/>
          <w:sz w:val="24"/>
          <w:szCs w:val="24"/>
        </w:rPr>
        <w:t xml:space="preserve"> </w:t>
      </w:r>
      <w:r w:rsidR="00AB7998">
        <w:rPr>
          <w:rFonts w:ascii="Times New Roman" w:hAnsi="Times New Roman" w:cs="Times New Roman"/>
          <w:sz w:val="24"/>
          <w:szCs w:val="24"/>
        </w:rPr>
        <w:t xml:space="preserve">converted these prices to </w:t>
      </w:r>
      <w:r w:rsidR="000E0D5D">
        <w:rPr>
          <w:rFonts w:ascii="Times New Roman" w:hAnsi="Times New Roman" w:cs="Times New Roman"/>
          <w:sz w:val="24"/>
          <w:szCs w:val="24"/>
        </w:rPr>
        <w:t>a</w:t>
      </w:r>
      <w:r w:rsidR="00F135E2">
        <w:rPr>
          <w:rFonts w:ascii="Times New Roman" w:hAnsi="Times New Roman" w:cs="Times New Roman"/>
          <w:sz w:val="24"/>
          <w:szCs w:val="24"/>
        </w:rPr>
        <w:t xml:space="preserve"> </w:t>
      </w:r>
      <w:r w:rsidR="00AB7998">
        <w:rPr>
          <w:rFonts w:ascii="Times New Roman" w:hAnsi="Times New Roman" w:cs="Times New Roman"/>
          <w:sz w:val="24"/>
          <w:szCs w:val="24"/>
        </w:rPr>
        <w:t xml:space="preserve">percentage change in price from the previous day </w:t>
      </w:r>
      <w:r w:rsidR="004F37F6">
        <w:rPr>
          <w:rFonts w:ascii="Times New Roman" w:hAnsi="Times New Roman" w:cs="Times New Roman"/>
          <w:sz w:val="24"/>
          <w:szCs w:val="24"/>
        </w:rPr>
        <w:t>to</w:t>
      </w:r>
      <w:r w:rsidR="00AB7998">
        <w:rPr>
          <w:rFonts w:ascii="Times New Roman" w:hAnsi="Times New Roman" w:cs="Times New Roman"/>
          <w:sz w:val="24"/>
          <w:szCs w:val="24"/>
        </w:rPr>
        <w:t xml:space="preserve"> normalize our data.</w:t>
      </w:r>
      <w:r w:rsidR="004F37F6">
        <w:rPr>
          <w:rFonts w:ascii="Times New Roman" w:hAnsi="Times New Roman" w:cs="Times New Roman"/>
          <w:sz w:val="24"/>
          <w:szCs w:val="24"/>
        </w:rPr>
        <w:t xml:space="preserve"> We also calculated simple moving averages from three, seven, ten, fourteen, and thirty-day windows and thirty, ninety, and one-hundred-day standard deviations of prices for all ten futures.</w:t>
      </w:r>
      <w:r w:rsidR="00284628">
        <w:rPr>
          <w:rFonts w:ascii="Times New Roman" w:hAnsi="Times New Roman" w:cs="Times New Roman"/>
          <w:sz w:val="24"/>
          <w:szCs w:val="24"/>
        </w:rPr>
        <w:t xml:space="preserve"> It should be noted that after preparing data for the model, much of it was </w:t>
      </w:r>
      <w:r w:rsidR="006B4A32">
        <w:rPr>
          <w:rFonts w:ascii="Times New Roman" w:hAnsi="Times New Roman" w:cs="Times New Roman"/>
          <w:sz w:val="24"/>
          <w:szCs w:val="24"/>
        </w:rPr>
        <w:t>excluded</w:t>
      </w:r>
      <w:r w:rsidR="00284628">
        <w:rPr>
          <w:rFonts w:ascii="Times New Roman" w:hAnsi="Times New Roman" w:cs="Times New Roman"/>
          <w:sz w:val="24"/>
          <w:szCs w:val="24"/>
        </w:rPr>
        <w:t xml:space="preserve">, including </w:t>
      </w:r>
      <w:r w:rsidR="006B4A32">
        <w:rPr>
          <w:rFonts w:ascii="Times New Roman" w:hAnsi="Times New Roman" w:cs="Times New Roman"/>
          <w:sz w:val="24"/>
          <w:szCs w:val="24"/>
        </w:rPr>
        <w:t xml:space="preserve">the </w:t>
      </w:r>
      <w:r w:rsidR="00284628">
        <w:rPr>
          <w:rFonts w:ascii="Times New Roman" w:hAnsi="Times New Roman" w:cs="Times New Roman"/>
          <w:sz w:val="24"/>
          <w:szCs w:val="24"/>
        </w:rPr>
        <w:t xml:space="preserve">dates before August 2012 and between </w:t>
      </w:r>
      <w:r w:rsidR="004F37F6">
        <w:rPr>
          <w:rFonts w:ascii="Times New Roman" w:hAnsi="Times New Roman" w:cs="Times New Roman"/>
          <w:sz w:val="24"/>
          <w:szCs w:val="24"/>
        </w:rPr>
        <w:t>September</w:t>
      </w:r>
      <w:r w:rsidR="00284628">
        <w:rPr>
          <w:rFonts w:ascii="Times New Roman" w:hAnsi="Times New Roman" w:cs="Times New Roman"/>
          <w:sz w:val="24"/>
          <w:szCs w:val="24"/>
        </w:rPr>
        <w:t xml:space="preserve"> 2012 and</w:t>
      </w:r>
      <w:r w:rsidR="004F37F6">
        <w:rPr>
          <w:rFonts w:ascii="Times New Roman" w:hAnsi="Times New Roman" w:cs="Times New Roman"/>
          <w:sz w:val="24"/>
          <w:szCs w:val="24"/>
        </w:rPr>
        <w:t xml:space="preserve"> September 2015. </w:t>
      </w:r>
    </w:p>
    <w:p w14:paraId="6DA9DB7F" w14:textId="2CF60C60" w:rsidR="006E515B" w:rsidRPr="00CF39B0" w:rsidRDefault="00CE2FBC" w:rsidP="00CF39B0">
      <w:pPr>
        <w:spacing w:line="480" w:lineRule="auto"/>
        <w:ind w:firstLine="720"/>
        <w:rPr>
          <w:rFonts w:ascii="Times New Roman" w:hAnsi="Times New Roman" w:cs="Times New Roman"/>
          <w:sz w:val="24"/>
          <w:szCs w:val="24"/>
        </w:rPr>
      </w:pPr>
      <w:r w:rsidRPr="00CE2FBC">
        <w:rPr>
          <w:rFonts w:ascii="Times New Roman" w:hAnsi="Times New Roman" w:cs="Times New Roman"/>
          <w:sz w:val="24"/>
          <w:szCs w:val="24"/>
        </w:rPr>
        <w:t>The method applied is a k-means clustering unsupervised learning algorithm</w:t>
      </w:r>
      <w:r w:rsidR="006D5B79">
        <w:rPr>
          <w:rFonts w:ascii="Times New Roman" w:hAnsi="Times New Roman" w:cs="Times New Roman"/>
          <w:sz w:val="24"/>
          <w:szCs w:val="24"/>
        </w:rPr>
        <w:t>,</w:t>
      </w:r>
      <w:r w:rsidRPr="00CE2FBC">
        <w:rPr>
          <w:rFonts w:ascii="Times New Roman" w:hAnsi="Times New Roman" w:cs="Times New Roman"/>
          <w:sz w:val="24"/>
          <w:szCs w:val="24"/>
        </w:rPr>
        <w:t xml:space="preserve"> with the initial number of clusters being five</w:t>
      </w:r>
      <w:r w:rsidR="006B4A32" w:rsidRPr="006B4A32">
        <w:rPr>
          <w:rFonts w:ascii="Times New Roman" w:hAnsi="Times New Roman" w:cs="Times New Roman"/>
          <w:sz w:val="24"/>
          <w:szCs w:val="24"/>
        </w:rPr>
        <w:t xml:space="preserve">. K-means works by selecting initial cluster centroids and iteratively updating them to minimize the within-cluster distance between the </w:t>
      </w:r>
      <w:r w:rsidR="006B4A32">
        <w:rPr>
          <w:rFonts w:ascii="Times New Roman" w:hAnsi="Times New Roman" w:cs="Times New Roman"/>
          <w:sz w:val="24"/>
          <w:szCs w:val="24"/>
        </w:rPr>
        <w:t>data</w:t>
      </w:r>
      <w:r w:rsidR="006B4A32" w:rsidRPr="006B4A32">
        <w:rPr>
          <w:rFonts w:ascii="Times New Roman" w:hAnsi="Times New Roman" w:cs="Times New Roman"/>
          <w:sz w:val="24"/>
          <w:szCs w:val="24"/>
        </w:rPr>
        <w:t xml:space="preserve"> and their assigned </w:t>
      </w:r>
      <w:r w:rsidR="006B4A32">
        <w:rPr>
          <w:rFonts w:ascii="Times New Roman" w:hAnsi="Times New Roman" w:cs="Times New Roman"/>
          <w:sz w:val="24"/>
          <w:szCs w:val="24"/>
        </w:rPr>
        <w:t>centroid</w:t>
      </w:r>
      <w:r w:rsidR="009F1BB5">
        <w:rPr>
          <w:rFonts w:ascii="Times New Roman" w:hAnsi="Times New Roman" w:cs="Times New Roman"/>
          <w:sz w:val="24"/>
          <w:szCs w:val="24"/>
        </w:rPr>
        <w:t xml:space="preserve"> groups of datapoints, or “clusters</w:t>
      </w:r>
      <w:r w:rsidR="00F135E2">
        <w:rPr>
          <w:rFonts w:ascii="Times New Roman" w:hAnsi="Times New Roman" w:cs="Times New Roman"/>
          <w:sz w:val="24"/>
          <w:szCs w:val="24"/>
        </w:rPr>
        <w:t>,</w:t>
      </w:r>
      <w:r w:rsidR="009F1BB5">
        <w:rPr>
          <w:rFonts w:ascii="Times New Roman" w:hAnsi="Times New Roman" w:cs="Times New Roman"/>
          <w:sz w:val="24"/>
          <w:szCs w:val="24"/>
        </w:rPr>
        <w:t xml:space="preserve">” are then analyzed for their similar characteristics. </w:t>
      </w:r>
      <w:r>
        <w:rPr>
          <w:rFonts w:ascii="Times New Roman" w:hAnsi="Times New Roman" w:cs="Times New Roman"/>
          <w:sz w:val="24"/>
          <w:szCs w:val="24"/>
        </w:rPr>
        <w:t xml:space="preserve">This method </w:t>
      </w:r>
      <w:r w:rsidR="006D5B79">
        <w:rPr>
          <w:rFonts w:ascii="Times New Roman" w:hAnsi="Times New Roman" w:cs="Times New Roman"/>
          <w:sz w:val="24"/>
          <w:szCs w:val="24"/>
        </w:rPr>
        <w:t xml:space="preserve">is </w:t>
      </w:r>
      <w:r>
        <w:rPr>
          <w:rFonts w:ascii="Times New Roman" w:hAnsi="Times New Roman" w:cs="Times New Roman"/>
          <w:sz w:val="24"/>
          <w:szCs w:val="24"/>
        </w:rPr>
        <w:t xml:space="preserve">hardly ever applied to time-series data because it is a </w:t>
      </w:r>
      <w:r w:rsidR="006B4A32">
        <w:rPr>
          <w:rFonts w:ascii="Times New Roman" w:hAnsi="Times New Roman" w:cs="Times New Roman"/>
          <w:sz w:val="24"/>
          <w:szCs w:val="24"/>
        </w:rPr>
        <w:t>descriptive</w:t>
      </w:r>
      <w:r>
        <w:rPr>
          <w:rFonts w:ascii="Times New Roman" w:hAnsi="Times New Roman" w:cs="Times New Roman"/>
          <w:sz w:val="24"/>
          <w:szCs w:val="24"/>
        </w:rPr>
        <w:t xml:space="preserve"> method that is ineffective at predicti</w:t>
      </w:r>
      <w:r w:rsidR="00C624EB">
        <w:rPr>
          <w:rFonts w:ascii="Times New Roman" w:hAnsi="Times New Roman" w:cs="Times New Roman"/>
          <w:sz w:val="24"/>
          <w:szCs w:val="24"/>
        </w:rPr>
        <w:t>on</w:t>
      </w:r>
      <w:r>
        <w:rPr>
          <w:rFonts w:ascii="Times New Roman" w:hAnsi="Times New Roman" w:cs="Times New Roman"/>
          <w:sz w:val="24"/>
          <w:szCs w:val="24"/>
        </w:rPr>
        <w:t xml:space="preserve">. However, our goal is to identify segments of the market </w:t>
      </w:r>
      <w:r w:rsidR="006D5B79">
        <w:rPr>
          <w:rFonts w:ascii="Times New Roman" w:hAnsi="Times New Roman" w:cs="Times New Roman"/>
          <w:sz w:val="24"/>
          <w:szCs w:val="24"/>
        </w:rPr>
        <w:t>that</w:t>
      </w:r>
      <w:r>
        <w:rPr>
          <w:rFonts w:ascii="Times New Roman" w:hAnsi="Times New Roman" w:cs="Times New Roman"/>
          <w:sz w:val="24"/>
          <w:szCs w:val="24"/>
        </w:rPr>
        <w:t xml:space="preserve"> </w:t>
      </w:r>
      <w:r w:rsidR="006D5B79">
        <w:rPr>
          <w:rFonts w:ascii="Times New Roman" w:hAnsi="Times New Roman" w:cs="Times New Roman"/>
          <w:sz w:val="24"/>
          <w:szCs w:val="24"/>
        </w:rPr>
        <w:t>follow</w:t>
      </w:r>
      <w:r>
        <w:rPr>
          <w:rFonts w:ascii="Times New Roman" w:hAnsi="Times New Roman" w:cs="Times New Roman"/>
          <w:sz w:val="24"/>
          <w:szCs w:val="24"/>
        </w:rPr>
        <w:t xml:space="preserve"> </w:t>
      </w:r>
      <w:r w:rsidR="006D5B79">
        <w:rPr>
          <w:rFonts w:ascii="Times New Roman" w:hAnsi="Times New Roman" w:cs="Times New Roman"/>
          <w:sz w:val="24"/>
          <w:szCs w:val="24"/>
        </w:rPr>
        <w:t>patterns</w:t>
      </w:r>
      <w:r>
        <w:rPr>
          <w:rFonts w:ascii="Times New Roman" w:hAnsi="Times New Roman" w:cs="Times New Roman"/>
          <w:sz w:val="24"/>
          <w:szCs w:val="24"/>
        </w:rPr>
        <w:t xml:space="preserve"> (contango, backwardation, etc.)</w:t>
      </w:r>
      <w:r w:rsidR="006D5B79">
        <w:rPr>
          <w:rFonts w:ascii="Times New Roman" w:hAnsi="Times New Roman" w:cs="Times New Roman"/>
          <w:sz w:val="24"/>
          <w:szCs w:val="24"/>
        </w:rPr>
        <w:t>,</w:t>
      </w:r>
      <w:r>
        <w:rPr>
          <w:rFonts w:ascii="Times New Roman" w:hAnsi="Times New Roman" w:cs="Times New Roman"/>
          <w:sz w:val="24"/>
          <w:szCs w:val="24"/>
        </w:rPr>
        <w:t xml:space="preserve"> and for that purpose</w:t>
      </w:r>
      <w:r w:rsidR="006D5B79">
        <w:rPr>
          <w:rFonts w:ascii="Times New Roman" w:hAnsi="Times New Roman" w:cs="Times New Roman"/>
          <w:sz w:val="24"/>
          <w:szCs w:val="24"/>
        </w:rPr>
        <w:t>,</w:t>
      </w:r>
      <w:r>
        <w:rPr>
          <w:rFonts w:ascii="Times New Roman" w:hAnsi="Times New Roman" w:cs="Times New Roman"/>
          <w:sz w:val="24"/>
          <w:szCs w:val="24"/>
        </w:rPr>
        <w:t xml:space="preserve"> it should work well.</w:t>
      </w:r>
    </w:p>
    <w:tbl>
      <w:tblPr>
        <w:tblpPr w:leftFromText="180" w:rightFromText="180" w:vertAnchor="text" w:horzAnchor="margin" w:tblpXSpec="right" w:tblpY="974"/>
        <w:tblW w:w="1920" w:type="dxa"/>
        <w:tblLook w:val="04A0" w:firstRow="1" w:lastRow="0" w:firstColumn="1" w:lastColumn="0" w:noHBand="0" w:noVBand="1"/>
      </w:tblPr>
      <w:tblGrid>
        <w:gridCol w:w="1003"/>
        <w:gridCol w:w="917"/>
      </w:tblGrid>
      <w:tr w:rsidR="000E0D5D" w:rsidRPr="003C2F1F" w14:paraId="1BE9E204" w14:textId="77777777" w:rsidTr="000E0D5D">
        <w:trPr>
          <w:trHeight w:val="636"/>
        </w:trPr>
        <w:tc>
          <w:tcPr>
            <w:tcW w:w="1003" w:type="dxa"/>
            <w:tcBorders>
              <w:top w:val="single" w:sz="8" w:space="0" w:color="auto"/>
              <w:left w:val="single" w:sz="8" w:space="0" w:color="auto"/>
              <w:bottom w:val="single" w:sz="8" w:space="0" w:color="auto"/>
              <w:right w:val="single" w:sz="8" w:space="0" w:color="auto"/>
            </w:tcBorders>
            <w:vAlign w:val="center"/>
            <w:hideMark/>
          </w:tcPr>
          <w:p w14:paraId="7E666467"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Cluster Number</w:t>
            </w:r>
          </w:p>
        </w:tc>
        <w:tc>
          <w:tcPr>
            <w:tcW w:w="917" w:type="dxa"/>
            <w:tcBorders>
              <w:top w:val="single" w:sz="8" w:space="0" w:color="auto"/>
              <w:left w:val="nil"/>
              <w:bottom w:val="single" w:sz="8" w:space="0" w:color="auto"/>
              <w:right w:val="single" w:sz="8" w:space="0" w:color="auto"/>
            </w:tcBorders>
            <w:vAlign w:val="center"/>
            <w:hideMark/>
          </w:tcPr>
          <w:p w14:paraId="3926ADE4"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Count</w:t>
            </w:r>
          </w:p>
        </w:tc>
      </w:tr>
      <w:tr w:rsidR="000E0D5D" w:rsidRPr="003C2F1F" w14:paraId="0E2753C7"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7690734A"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0</w:t>
            </w:r>
          </w:p>
        </w:tc>
        <w:tc>
          <w:tcPr>
            <w:tcW w:w="917" w:type="dxa"/>
            <w:tcBorders>
              <w:top w:val="nil"/>
              <w:left w:val="nil"/>
              <w:bottom w:val="single" w:sz="8" w:space="0" w:color="auto"/>
              <w:right w:val="single" w:sz="8" w:space="0" w:color="auto"/>
            </w:tcBorders>
            <w:vAlign w:val="center"/>
            <w:hideMark/>
          </w:tcPr>
          <w:p w14:paraId="1EA3D4CC"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776</w:t>
            </w:r>
          </w:p>
        </w:tc>
      </w:tr>
      <w:tr w:rsidR="000E0D5D" w:rsidRPr="003C2F1F" w14:paraId="3D9B771B"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15C5BF94"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1</w:t>
            </w:r>
          </w:p>
        </w:tc>
        <w:tc>
          <w:tcPr>
            <w:tcW w:w="917" w:type="dxa"/>
            <w:tcBorders>
              <w:top w:val="nil"/>
              <w:left w:val="nil"/>
              <w:bottom w:val="single" w:sz="8" w:space="0" w:color="auto"/>
              <w:right w:val="single" w:sz="8" w:space="0" w:color="auto"/>
            </w:tcBorders>
            <w:vAlign w:val="center"/>
            <w:hideMark/>
          </w:tcPr>
          <w:p w14:paraId="5E5352C7"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354</w:t>
            </w:r>
          </w:p>
        </w:tc>
      </w:tr>
      <w:tr w:rsidR="000E0D5D" w:rsidRPr="003C2F1F" w14:paraId="1F672CE7"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10352658"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2</w:t>
            </w:r>
          </w:p>
        </w:tc>
        <w:tc>
          <w:tcPr>
            <w:tcW w:w="917" w:type="dxa"/>
            <w:tcBorders>
              <w:top w:val="nil"/>
              <w:left w:val="nil"/>
              <w:bottom w:val="single" w:sz="8" w:space="0" w:color="auto"/>
              <w:right w:val="single" w:sz="8" w:space="0" w:color="auto"/>
            </w:tcBorders>
            <w:vAlign w:val="center"/>
            <w:hideMark/>
          </w:tcPr>
          <w:p w14:paraId="620CC825"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189</w:t>
            </w:r>
          </w:p>
        </w:tc>
      </w:tr>
      <w:tr w:rsidR="000E0D5D" w:rsidRPr="003C2F1F" w14:paraId="37B4F393"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54325E40"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3</w:t>
            </w:r>
          </w:p>
        </w:tc>
        <w:tc>
          <w:tcPr>
            <w:tcW w:w="917" w:type="dxa"/>
            <w:tcBorders>
              <w:top w:val="nil"/>
              <w:left w:val="nil"/>
              <w:bottom w:val="single" w:sz="8" w:space="0" w:color="auto"/>
              <w:right w:val="single" w:sz="8" w:space="0" w:color="auto"/>
            </w:tcBorders>
            <w:vAlign w:val="center"/>
            <w:hideMark/>
          </w:tcPr>
          <w:p w14:paraId="2B56B044"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232</w:t>
            </w:r>
          </w:p>
        </w:tc>
      </w:tr>
      <w:tr w:rsidR="000E0D5D" w:rsidRPr="003C2F1F" w14:paraId="224A9576"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33F12432"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4</w:t>
            </w:r>
          </w:p>
        </w:tc>
        <w:tc>
          <w:tcPr>
            <w:tcW w:w="917" w:type="dxa"/>
            <w:tcBorders>
              <w:top w:val="nil"/>
              <w:left w:val="nil"/>
              <w:bottom w:val="single" w:sz="8" w:space="0" w:color="auto"/>
              <w:right w:val="single" w:sz="8" w:space="0" w:color="auto"/>
            </w:tcBorders>
            <w:vAlign w:val="center"/>
            <w:hideMark/>
          </w:tcPr>
          <w:p w14:paraId="45066B2E"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97</w:t>
            </w:r>
          </w:p>
        </w:tc>
      </w:tr>
      <w:tr w:rsidR="000E0D5D" w:rsidRPr="003C2F1F" w14:paraId="5FBDA174"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225489DD"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5</w:t>
            </w:r>
          </w:p>
        </w:tc>
        <w:tc>
          <w:tcPr>
            <w:tcW w:w="917" w:type="dxa"/>
            <w:tcBorders>
              <w:top w:val="nil"/>
              <w:left w:val="nil"/>
              <w:bottom w:val="single" w:sz="8" w:space="0" w:color="auto"/>
              <w:right w:val="single" w:sz="8" w:space="0" w:color="auto"/>
            </w:tcBorders>
            <w:vAlign w:val="center"/>
            <w:hideMark/>
          </w:tcPr>
          <w:p w14:paraId="2039AD64" w14:textId="77777777" w:rsidR="000E0D5D" w:rsidRPr="003C2F1F" w:rsidRDefault="000E0D5D" w:rsidP="000E0D5D">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176</w:t>
            </w:r>
          </w:p>
        </w:tc>
      </w:tr>
    </w:tbl>
    <w:p w14:paraId="7D409819" w14:textId="6F2A4EEA" w:rsidR="004F37F6" w:rsidRDefault="004F37F6" w:rsidP="00BC7BF4">
      <w:pPr>
        <w:spacing w:line="480" w:lineRule="auto"/>
        <w:ind w:firstLine="720"/>
        <w:rPr>
          <w:rFonts w:ascii="Times New Roman" w:hAnsi="Times New Roman" w:cs="Times New Roman"/>
          <w:sz w:val="24"/>
          <w:szCs w:val="24"/>
        </w:rPr>
      </w:pPr>
      <w:r w:rsidRPr="00BC7BF4">
        <w:rPr>
          <w:rFonts w:ascii="Times New Roman" w:hAnsi="Times New Roman" w:cs="Times New Roman"/>
          <w:sz w:val="24"/>
          <w:szCs w:val="24"/>
        </w:rPr>
        <w:t xml:space="preserve">After scaling our data, the algorithm assigned </w:t>
      </w:r>
      <w:r w:rsidR="00BC7BF4" w:rsidRPr="00BC7BF4">
        <w:rPr>
          <w:rFonts w:ascii="Times New Roman" w:hAnsi="Times New Roman" w:cs="Times New Roman"/>
          <w:sz w:val="24"/>
          <w:szCs w:val="24"/>
        </w:rPr>
        <w:t>each day to a cluster for analysis</w:t>
      </w:r>
      <w:r w:rsidR="00BC7BF4">
        <w:rPr>
          <w:rFonts w:ascii="Times New Roman" w:hAnsi="Times New Roman" w:cs="Times New Roman"/>
          <w:sz w:val="24"/>
          <w:szCs w:val="24"/>
        </w:rPr>
        <w:t>,</w:t>
      </w:r>
      <w:r w:rsidR="00BC7BF4" w:rsidRPr="00BC7BF4">
        <w:rPr>
          <w:rFonts w:ascii="Times New Roman" w:hAnsi="Times New Roman" w:cs="Times New Roman"/>
          <w:sz w:val="24"/>
          <w:szCs w:val="24"/>
        </w:rPr>
        <w:t xml:space="preserve"> and the size of each cluster was presented</w:t>
      </w:r>
      <w:r w:rsidR="000E0D5D">
        <w:rPr>
          <w:rFonts w:ascii="Times New Roman" w:hAnsi="Times New Roman" w:cs="Times New Roman"/>
          <w:sz w:val="24"/>
          <w:szCs w:val="24"/>
        </w:rPr>
        <w:t xml:space="preserve"> for the five and six-cluster models</w:t>
      </w:r>
      <w:r w:rsidR="00BC7BF4" w:rsidRPr="00BC7BF4">
        <w:rPr>
          <w:rFonts w:ascii="Times New Roman" w:hAnsi="Times New Roman" w:cs="Times New Roman"/>
          <w:sz w:val="24"/>
          <w:szCs w:val="24"/>
        </w:rPr>
        <w:t>:</w:t>
      </w:r>
    </w:p>
    <w:tbl>
      <w:tblPr>
        <w:tblW w:w="1920" w:type="dxa"/>
        <w:tblInd w:w="1874" w:type="dxa"/>
        <w:tblLook w:val="04A0" w:firstRow="1" w:lastRow="0" w:firstColumn="1" w:lastColumn="0" w:noHBand="0" w:noVBand="1"/>
      </w:tblPr>
      <w:tblGrid>
        <w:gridCol w:w="1003"/>
        <w:gridCol w:w="917"/>
      </w:tblGrid>
      <w:tr w:rsidR="003C2F1F" w:rsidRPr="003C2F1F" w14:paraId="02631AEB" w14:textId="77777777" w:rsidTr="000E0D5D">
        <w:trPr>
          <w:trHeight w:val="636"/>
        </w:trPr>
        <w:tc>
          <w:tcPr>
            <w:tcW w:w="1003" w:type="dxa"/>
            <w:tcBorders>
              <w:top w:val="single" w:sz="8" w:space="0" w:color="auto"/>
              <w:left w:val="single" w:sz="8" w:space="0" w:color="auto"/>
              <w:bottom w:val="single" w:sz="8" w:space="0" w:color="auto"/>
              <w:right w:val="single" w:sz="8" w:space="0" w:color="auto"/>
            </w:tcBorders>
            <w:vAlign w:val="center"/>
            <w:hideMark/>
          </w:tcPr>
          <w:p w14:paraId="604750BC" w14:textId="77777777"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Cluster Number</w:t>
            </w:r>
          </w:p>
        </w:tc>
        <w:tc>
          <w:tcPr>
            <w:tcW w:w="917" w:type="dxa"/>
            <w:tcBorders>
              <w:top w:val="single" w:sz="8" w:space="0" w:color="auto"/>
              <w:left w:val="nil"/>
              <w:bottom w:val="single" w:sz="8" w:space="0" w:color="auto"/>
              <w:right w:val="single" w:sz="8" w:space="0" w:color="auto"/>
            </w:tcBorders>
            <w:vAlign w:val="center"/>
            <w:hideMark/>
          </w:tcPr>
          <w:p w14:paraId="2AF133F5" w14:textId="77777777"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Count</w:t>
            </w:r>
          </w:p>
        </w:tc>
      </w:tr>
      <w:tr w:rsidR="003C2F1F" w:rsidRPr="003C2F1F" w14:paraId="1AFE6223"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2F0C65D7" w14:textId="77777777" w:rsidR="003C2F1F" w:rsidRPr="003C2F1F" w:rsidRDefault="003C2F1F" w:rsidP="003C2F1F">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0</w:t>
            </w:r>
          </w:p>
        </w:tc>
        <w:tc>
          <w:tcPr>
            <w:tcW w:w="917" w:type="dxa"/>
            <w:tcBorders>
              <w:top w:val="nil"/>
              <w:left w:val="nil"/>
              <w:bottom w:val="single" w:sz="8" w:space="0" w:color="auto"/>
              <w:right w:val="single" w:sz="8" w:space="0" w:color="auto"/>
            </w:tcBorders>
            <w:vAlign w:val="center"/>
            <w:hideMark/>
          </w:tcPr>
          <w:p w14:paraId="09ABB2FE" w14:textId="3349B20E"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eastAsia="en-US"/>
              </w:rPr>
              <w:t>196</w:t>
            </w:r>
          </w:p>
        </w:tc>
      </w:tr>
      <w:tr w:rsidR="003C2F1F" w:rsidRPr="003C2F1F" w14:paraId="18EED0ED"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2C07A478" w14:textId="77777777"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1</w:t>
            </w:r>
          </w:p>
        </w:tc>
        <w:tc>
          <w:tcPr>
            <w:tcW w:w="917" w:type="dxa"/>
            <w:tcBorders>
              <w:top w:val="nil"/>
              <w:left w:val="nil"/>
              <w:bottom w:val="single" w:sz="8" w:space="0" w:color="auto"/>
              <w:right w:val="single" w:sz="8" w:space="0" w:color="auto"/>
            </w:tcBorders>
            <w:vAlign w:val="center"/>
            <w:hideMark/>
          </w:tcPr>
          <w:p w14:paraId="3C3D5B92" w14:textId="215EB4F8"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eastAsia="en-US"/>
              </w:rPr>
              <w:t>221</w:t>
            </w:r>
          </w:p>
        </w:tc>
      </w:tr>
      <w:tr w:rsidR="003C2F1F" w:rsidRPr="003C2F1F" w14:paraId="0707680F"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1CD1C242" w14:textId="77777777"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2</w:t>
            </w:r>
          </w:p>
        </w:tc>
        <w:tc>
          <w:tcPr>
            <w:tcW w:w="917" w:type="dxa"/>
            <w:tcBorders>
              <w:top w:val="nil"/>
              <w:left w:val="nil"/>
              <w:bottom w:val="single" w:sz="8" w:space="0" w:color="auto"/>
              <w:right w:val="single" w:sz="8" w:space="0" w:color="auto"/>
            </w:tcBorders>
            <w:vAlign w:val="center"/>
            <w:hideMark/>
          </w:tcPr>
          <w:p w14:paraId="36160D42" w14:textId="710F6FD6"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eastAsia="en-US"/>
              </w:rPr>
              <w:t>776</w:t>
            </w:r>
          </w:p>
        </w:tc>
      </w:tr>
      <w:tr w:rsidR="003C2F1F" w:rsidRPr="003C2F1F" w14:paraId="7EAF1DBC"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422FBB13" w14:textId="77777777"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3</w:t>
            </w:r>
          </w:p>
        </w:tc>
        <w:tc>
          <w:tcPr>
            <w:tcW w:w="917" w:type="dxa"/>
            <w:tcBorders>
              <w:top w:val="nil"/>
              <w:left w:val="nil"/>
              <w:bottom w:val="single" w:sz="8" w:space="0" w:color="auto"/>
              <w:right w:val="single" w:sz="8" w:space="0" w:color="auto"/>
            </w:tcBorders>
            <w:vAlign w:val="center"/>
            <w:hideMark/>
          </w:tcPr>
          <w:p w14:paraId="3C28A783" w14:textId="16B27762"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eastAsia="en-US"/>
              </w:rPr>
              <w:t>534</w:t>
            </w:r>
          </w:p>
        </w:tc>
      </w:tr>
      <w:tr w:rsidR="003C2F1F" w:rsidRPr="003C2F1F" w14:paraId="7BBA53F7" w14:textId="77777777" w:rsidTr="000E0D5D">
        <w:trPr>
          <w:trHeight w:val="324"/>
        </w:trPr>
        <w:tc>
          <w:tcPr>
            <w:tcW w:w="1003" w:type="dxa"/>
            <w:tcBorders>
              <w:top w:val="nil"/>
              <w:left w:val="single" w:sz="8" w:space="0" w:color="auto"/>
              <w:bottom w:val="single" w:sz="8" w:space="0" w:color="auto"/>
              <w:right w:val="single" w:sz="8" w:space="0" w:color="auto"/>
            </w:tcBorders>
            <w:vAlign w:val="center"/>
            <w:hideMark/>
          </w:tcPr>
          <w:p w14:paraId="1F14AAA3" w14:textId="77777777"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sidRPr="003C2F1F">
              <w:rPr>
                <w:rFonts w:ascii="Times New Roman" w:eastAsia="Times New Roman" w:hAnsi="Times New Roman" w:cs="Times New Roman"/>
                <w:color w:val="000000"/>
                <w:sz w:val="24"/>
                <w:szCs w:val="24"/>
                <w:lang w:eastAsia="en-US"/>
              </w:rPr>
              <w:t>4</w:t>
            </w:r>
          </w:p>
        </w:tc>
        <w:tc>
          <w:tcPr>
            <w:tcW w:w="917" w:type="dxa"/>
            <w:tcBorders>
              <w:top w:val="nil"/>
              <w:left w:val="nil"/>
              <w:bottom w:val="single" w:sz="8" w:space="0" w:color="auto"/>
              <w:right w:val="single" w:sz="8" w:space="0" w:color="auto"/>
            </w:tcBorders>
            <w:vAlign w:val="center"/>
            <w:hideMark/>
          </w:tcPr>
          <w:p w14:paraId="76E2F412" w14:textId="5C287EEE" w:rsidR="003C2F1F" w:rsidRPr="003C2F1F" w:rsidRDefault="003C2F1F" w:rsidP="005E457A">
            <w:pPr>
              <w:spacing w:line="240" w:lineRule="auto"/>
              <w:jc w:val="center"/>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eastAsia="en-US"/>
              </w:rPr>
              <w:t>534</w:t>
            </w:r>
          </w:p>
        </w:tc>
      </w:tr>
    </w:tbl>
    <w:p w14:paraId="3A7CFEE2" w14:textId="26F61F68" w:rsidR="003C2F1F" w:rsidRDefault="003C2F1F" w:rsidP="00BC7BF4">
      <w:pPr>
        <w:spacing w:line="480" w:lineRule="auto"/>
        <w:rPr>
          <w:rFonts w:ascii="Times New Roman" w:hAnsi="Times New Roman" w:cs="Times New Roman"/>
          <w:sz w:val="24"/>
          <w:szCs w:val="24"/>
        </w:rPr>
      </w:pPr>
    </w:p>
    <w:p w14:paraId="251EC27F" w14:textId="1DC214B6" w:rsidR="00BC7BF4" w:rsidRDefault="00BC7BF4" w:rsidP="003C2F1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Deciding the correct number of clusters was a core problem in </w:t>
      </w:r>
      <w:r w:rsidR="000E0D5D">
        <w:rPr>
          <w:rFonts w:ascii="Times New Roman" w:hAnsi="Times New Roman" w:cs="Times New Roman"/>
          <w:sz w:val="24"/>
          <w:szCs w:val="24"/>
        </w:rPr>
        <w:t>this</w:t>
      </w:r>
      <w:r>
        <w:rPr>
          <w:rFonts w:ascii="Times New Roman" w:hAnsi="Times New Roman" w:cs="Times New Roman"/>
          <w:sz w:val="24"/>
          <w:szCs w:val="24"/>
        </w:rPr>
        <w:t xml:space="preserve"> experiment, and our analysis illustrates how results vary depending on the number chosen. When applying the elbow method, the results were essentially </w:t>
      </w:r>
      <w:r w:rsidR="006B4A32">
        <w:rPr>
          <w:rFonts w:ascii="Times New Roman" w:hAnsi="Times New Roman" w:cs="Times New Roman"/>
          <w:sz w:val="24"/>
          <w:szCs w:val="24"/>
        </w:rPr>
        <w:t xml:space="preserve">smooth, </w:t>
      </w:r>
      <w:r>
        <w:rPr>
          <w:rFonts w:ascii="Times New Roman" w:hAnsi="Times New Roman" w:cs="Times New Roman"/>
          <w:sz w:val="24"/>
          <w:szCs w:val="24"/>
        </w:rPr>
        <w:t>and no actionable takeaway</w:t>
      </w:r>
      <w:r w:rsidR="00C43AC7">
        <w:rPr>
          <w:rFonts w:ascii="Times New Roman" w:hAnsi="Times New Roman" w:cs="Times New Roman"/>
          <w:sz w:val="24"/>
          <w:szCs w:val="24"/>
        </w:rPr>
        <w:t>s</w:t>
      </w:r>
      <w:r>
        <w:rPr>
          <w:rFonts w:ascii="Times New Roman" w:hAnsi="Times New Roman" w:cs="Times New Roman"/>
          <w:sz w:val="24"/>
          <w:szCs w:val="24"/>
        </w:rPr>
        <w:t xml:space="preserve"> </w:t>
      </w:r>
      <w:r w:rsidR="00C43AC7">
        <w:rPr>
          <w:rFonts w:ascii="Times New Roman" w:hAnsi="Times New Roman" w:cs="Times New Roman"/>
          <w:sz w:val="24"/>
          <w:szCs w:val="24"/>
        </w:rPr>
        <w:t>were</w:t>
      </w:r>
      <w:r>
        <w:rPr>
          <w:rFonts w:ascii="Times New Roman" w:hAnsi="Times New Roman" w:cs="Times New Roman"/>
          <w:sz w:val="24"/>
          <w:szCs w:val="24"/>
        </w:rPr>
        <w:t xml:space="preserve"> presented.</w:t>
      </w:r>
    </w:p>
    <w:p w14:paraId="2B4DEA1F" w14:textId="77777777" w:rsidR="006B4A32" w:rsidRDefault="00133B7F" w:rsidP="006B4A32">
      <w:pPr>
        <w:spacing w:line="480" w:lineRule="auto"/>
        <w:jc w:val="center"/>
        <w:rPr>
          <w:rFonts w:ascii="Times New Roman" w:hAnsi="Times New Roman" w:cs="Times New Roman"/>
          <w:sz w:val="24"/>
          <w:szCs w:val="24"/>
        </w:rPr>
      </w:pPr>
      <w:r w:rsidRPr="00133B7F">
        <w:rPr>
          <w:rFonts w:ascii="Times New Roman" w:hAnsi="Times New Roman" w:cs="Times New Roman"/>
          <w:noProof/>
          <w:sz w:val="24"/>
          <w:szCs w:val="24"/>
        </w:rPr>
        <w:lastRenderedPageBreak/>
        <w:drawing>
          <wp:inline distT="0" distB="0" distL="0" distR="0" wp14:anchorId="61C65BA5" wp14:editId="40A48D54">
            <wp:extent cx="3040380" cy="2280285"/>
            <wp:effectExtent l="0" t="0" r="7620" b="5715"/>
            <wp:docPr id="1764984951" name="Picture 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84951" name="Picture 1" descr="A graph of a number of clusters&#10;&#10;AI-generated content may be incorrect."/>
                    <pic:cNvPicPr/>
                  </pic:nvPicPr>
                  <pic:blipFill>
                    <a:blip r:embed="rId7"/>
                    <a:stretch>
                      <a:fillRect/>
                    </a:stretch>
                  </pic:blipFill>
                  <pic:spPr>
                    <a:xfrm>
                      <a:off x="0" y="0"/>
                      <a:ext cx="3040380" cy="2280285"/>
                    </a:xfrm>
                    <a:prstGeom prst="rect">
                      <a:avLst/>
                    </a:prstGeom>
                  </pic:spPr>
                </pic:pic>
              </a:graphicData>
            </a:graphic>
          </wp:inline>
        </w:drawing>
      </w:r>
    </w:p>
    <w:p w14:paraId="11C849FD" w14:textId="659728A5" w:rsidR="00133B7F" w:rsidRDefault="00BC7BF4" w:rsidP="006B4A32">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Silhouette Method showed a</w:t>
      </w:r>
      <w:r w:rsidR="00133B7F">
        <w:rPr>
          <w:rFonts w:ascii="Times New Roman" w:hAnsi="Times New Roman" w:cs="Times New Roman"/>
          <w:sz w:val="24"/>
          <w:szCs w:val="24"/>
        </w:rPr>
        <w:t xml:space="preserve"> best score of </w:t>
      </w:r>
      <w:r w:rsidR="00C43AC7">
        <w:rPr>
          <w:rFonts w:ascii="Times New Roman" w:hAnsi="Times New Roman" w:cs="Times New Roman"/>
          <w:sz w:val="24"/>
          <w:szCs w:val="24"/>
        </w:rPr>
        <w:t>0</w:t>
      </w:r>
      <w:r w:rsidR="00133B7F">
        <w:rPr>
          <w:rFonts w:ascii="Times New Roman" w:hAnsi="Times New Roman" w:cs="Times New Roman"/>
          <w:sz w:val="24"/>
          <w:szCs w:val="24"/>
        </w:rPr>
        <w:t>.366 for two clusters and a decrease in score for the first ten clusters</w:t>
      </w:r>
      <w:r>
        <w:rPr>
          <w:rFonts w:ascii="Times New Roman" w:hAnsi="Times New Roman" w:cs="Times New Roman"/>
          <w:sz w:val="24"/>
          <w:szCs w:val="24"/>
        </w:rPr>
        <w:t xml:space="preserve">, but a dramatic drop </w:t>
      </w:r>
      <w:r w:rsidR="00CF39B0">
        <w:rPr>
          <w:rFonts w:ascii="Times New Roman" w:hAnsi="Times New Roman" w:cs="Times New Roman"/>
          <w:sz w:val="24"/>
          <w:szCs w:val="24"/>
        </w:rPr>
        <w:t xml:space="preserve">in </w:t>
      </w:r>
      <w:r>
        <w:rPr>
          <w:rFonts w:ascii="Times New Roman" w:hAnsi="Times New Roman" w:cs="Times New Roman"/>
          <w:sz w:val="24"/>
          <w:szCs w:val="24"/>
        </w:rPr>
        <w:t>scores</w:t>
      </w:r>
      <w:r w:rsidR="00133B7F">
        <w:rPr>
          <w:rFonts w:ascii="Times New Roman" w:hAnsi="Times New Roman" w:cs="Times New Roman"/>
          <w:sz w:val="24"/>
          <w:szCs w:val="24"/>
        </w:rPr>
        <w:t xml:space="preserve"> </w:t>
      </w:r>
      <w:r>
        <w:rPr>
          <w:rFonts w:ascii="Times New Roman" w:hAnsi="Times New Roman" w:cs="Times New Roman"/>
          <w:sz w:val="24"/>
          <w:szCs w:val="24"/>
        </w:rPr>
        <w:t xml:space="preserve">for eleven to </w:t>
      </w:r>
      <w:r w:rsidR="00133B7F">
        <w:rPr>
          <w:rFonts w:ascii="Times New Roman" w:hAnsi="Times New Roman" w:cs="Times New Roman"/>
          <w:sz w:val="24"/>
          <w:szCs w:val="24"/>
        </w:rPr>
        <w:t>twenty</w:t>
      </w:r>
      <w:r>
        <w:rPr>
          <w:rFonts w:ascii="Times New Roman" w:hAnsi="Times New Roman" w:cs="Times New Roman"/>
          <w:sz w:val="24"/>
          <w:szCs w:val="24"/>
        </w:rPr>
        <w:t xml:space="preserve"> clusters.</w:t>
      </w:r>
      <w:r w:rsidR="00133B7F">
        <w:rPr>
          <w:rFonts w:ascii="Times New Roman" w:hAnsi="Times New Roman" w:cs="Times New Roman"/>
          <w:sz w:val="24"/>
          <w:szCs w:val="24"/>
        </w:rPr>
        <w:t xml:space="preserve"> </w:t>
      </w:r>
    </w:p>
    <w:p w14:paraId="54165DC9" w14:textId="62393238" w:rsidR="00133B7F" w:rsidRPr="00264463" w:rsidRDefault="00133B7F" w:rsidP="00C624EB">
      <w:pPr>
        <w:spacing w:line="480" w:lineRule="auto"/>
        <w:jc w:val="center"/>
        <w:rPr>
          <w:rFonts w:ascii="Times New Roman" w:hAnsi="Times New Roman" w:cs="Times New Roman"/>
          <w:sz w:val="24"/>
          <w:szCs w:val="24"/>
          <w:highlight w:val="yellow"/>
        </w:rPr>
      </w:pPr>
      <w:r w:rsidRPr="00133B7F">
        <w:rPr>
          <w:rFonts w:ascii="Times New Roman" w:hAnsi="Times New Roman" w:cs="Times New Roman"/>
          <w:noProof/>
          <w:sz w:val="24"/>
          <w:szCs w:val="24"/>
        </w:rPr>
        <w:drawing>
          <wp:inline distT="0" distB="0" distL="0" distR="0" wp14:anchorId="47486915" wp14:editId="0CF806DD">
            <wp:extent cx="2926080" cy="2194560"/>
            <wp:effectExtent l="0" t="0" r="7620" b="0"/>
            <wp:docPr id="410866888" name="Picture 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66888" name="Picture 1" descr="A graph of a number of clusters&#10;&#10;AI-generated content may be incorrect."/>
                    <pic:cNvPicPr/>
                  </pic:nvPicPr>
                  <pic:blipFill>
                    <a:blip r:embed="rId8"/>
                    <a:stretch>
                      <a:fillRect/>
                    </a:stretch>
                  </pic:blipFill>
                  <pic:spPr>
                    <a:xfrm>
                      <a:off x="0" y="0"/>
                      <a:ext cx="2926080" cy="2194560"/>
                    </a:xfrm>
                    <a:prstGeom prst="rect">
                      <a:avLst/>
                    </a:prstGeom>
                  </pic:spPr>
                </pic:pic>
              </a:graphicData>
            </a:graphic>
          </wp:inline>
        </w:drawing>
      </w:r>
    </w:p>
    <w:p w14:paraId="1D185502" w14:textId="0194D7A8" w:rsidR="006E515B" w:rsidRPr="00CF39B0" w:rsidRDefault="00BC7BF4" w:rsidP="006B4A32">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 is essential to look for localized peaks in the silhouette graph to identify where the optimal number of clusters </w:t>
      </w:r>
      <w:r w:rsidR="006B4A32">
        <w:rPr>
          <w:rFonts w:ascii="Times New Roman" w:hAnsi="Times New Roman" w:cs="Times New Roman"/>
          <w:sz w:val="24"/>
          <w:szCs w:val="24"/>
        </w:rPr>
        <w:t>is</w:t>
      </w:r>
      <w:r>
        <w:rPr>
          <w:rFonts w:ascii="Times New Roman" w:hAnsi="Times New Roman" w:cs="Times New Roman"/>
          <w:sz w:val="24"/>
          <w:szCs w:val="24"/>
        </w:rPr>
        <w:t>. However, since a localized peak would not be relevant until after eleven clusters, it is important to question whether dividing our data int</w:t>
      </w:r>
      <w:r w:rsidR="00CF39B0">
        <w:rPr>
          <w:rFonts w:ascii="Times New Roman" w:hAnsi="Times New Roman" w:cs="Times New Roman"/>
          <w:sz w:val="24"/>
          <w:szCs w:val="24"/>
        </w:rPr>
        <w:t xml:space="preserve">o that </w:t>
      </w:r>
      <w:r>
        <w:rPr>
          <w:rFonts w:ascii="Times New Roman" w:hAnsi="Times New Roman" w:cs="Times New Roman"/>
          <w:sz w:val="24"/>
          <w:szCs w:val="24"/>
        </w:rPr>
        <w:t xml:space="preserve">many groups would improve our analysis. It is difficult to imagine that we could identify eleven or more </w:t>
      </w:r>
      <w:r w:rsidR="00CF39B0">
        <w:rPr>
          <w:rFonts w:ascii="Times New Roman" w:hAnsi="Times New Roman" w:cs="Times New Roman"/>
          <w:sz w:val="24"/>
          <w:szCs w:val="24"/>
        </w:rPr>
        <w:t>unique</w:t>
      </w:r>
      <w:r>
        <w:rPr>
          <w:rFonts w:ascii="Times New Roman" w:hAnsi="Times New Roman" w:cs="Times New Roman"/>
          <w:sz w:val="24"/>
          <w:szCs w:val="24"/>
        </w:rPr>
        <w:t xml:space="preserve"> groups of market sentiment over the past decade or so, and for this reason, </w:t>
      </w:r>
      <w:r w:rsidR="004B4750">
        <w:rPr>
          <w:rFonts w:ascii="Times New Roman" w:hAnsi="Times New Roman" w:cs="Times New Roman"/>
          <w:sz w:val="24"/>
          <w:szCs w:val="24"/>
        </w:rPr>
        <w:t>our cluster number will stay in single digits</w:t>
      </w:r>
      <w:r>
        <w:rPr>
          <w:rFonts w:ascii="Times New Roman" w:hAnsi="Times New Roman" w:cs="Times New Roman"/>
          <w:sz w:val="24"/>
          <w:szCs w:val="24"/>
        </w:rPr>
        <w:t>. This analysis best represents how cluster</w:t>
      </w:r>
      <w:r w:rsidR="004B4750">
        <w:rPr>
          <w:rFonts w:ascii="Times New Roman" w:hAnsi="Times New Roman" w:cs="Times New Roman"/>
          <w:sz w:val="24"/>
          <w:szCs w:val="24"/>
        </w:rPr>
        <w:t xml:space="preserve"> size</w:t>
      </w:r>
      <w:r>
        <w:rPr>
          <w:rFonts w:ascii="Times New Roman" w:hAnsi="Times New Roman" w:cs="Times New Roman"/>
          <w:sz w:val="24"/>
          <w:szCs w:val="24"/>
        </w:rPr>
        <w:t xml:space="preserve"> should not be based on numbers generated by algorithms and shown on charts, but</w:t>
      </w:r>
      <w:r w:rsidR="00C43AC7">
        <w:rPr>
          <w:rFonts w:ascii="Times New Roman" w:hAnsi="Times New Roman" w:cs="Times New Roman"/>
          <w:sz w:val="24"/>
          <w:szCs w:val="24"/>
        </w:rPr>
        <w:t xml:space="preserve"> rather</w:t>
      </w:r>
      <w:r>
        <w:rPr>
          <w:rFonts w:ascii="Times New Roman" w:hAnsi="Times New Roman" w:cs="Times New Roman"/>
          <w:sz w:val="24"/>
          <w:szCs w:val="24"/>
        </w:rPr>
        <w:t xml:space="preserve"> by identifying the best way to present your findings in interesting and intuitive ways to your audience.</w:t>
      </w:r>
    </w:p>
    <w:p w14:paraId="5A5B01D6" w14:textId="39881F1A" w:rsidR="006E515B" w:rsidRDefault="006E515B" w:rsidP="006E515B">
      <w:pPr>
        <w:spacing w:line="480" w:lineRule="auto"/>
        <w:rPr>
          <w:rFonts w:ascii="Times New Roman" w:hAnsi="Times New Roman" w:cs="Times New Roman"/>
          <w:sz w:val="24"/>
          <w:szCs w:val="24"/>
        </w:rPr>
      </w:pPr>
      <w:r w:rsidRPr="006E515B">
        <w:rPr>
          <w:rFonts w:ascii="Times New Roman" w:hAnsi="Times New Roman" w:cs="Times New Roman"/>
          <w:sz w:val="24"/>
          <w:szCs w:val="24"/>
        </w:rPr>
        <w:lastRenderedPageBreak/>
        <w:tab/>
      </w:r>
      <w:r w:rsidR="004B4750">
        <w:rPr>
          <w:rFonts w:ascii="Times New Roman" w:hAnsi="Times New Roman" w:cs="Times New Roman"/>
          <w:sz w:val="24"/>
          <w:szCs w:val="24"/>
        </w:rPr>
        <w:t>With</w:t>
      </w:r>
      <w:r>
        <w:rPr>
          <w:rFonts w:ascii="Times New Roman" w:hAnsi="Times New Roman" w:cs="Times New Roman"/>
          <w:sz w:val="24"/>
          <w:szCs w:val="24"/>
        </w:rPr>
        <w:t xml:space="preserve"> </w:t>
      </w:r>
      <w:r w:rsidR="00CF39B0">
        <w:rPr>
          <w:rFonts w:ascii="Times New Roman" w:hAnsi="Times New Roman" w:cs="Times New Roman"/>
          <w:sz w:val="24"/>
          <w:szCs w:val="24"/>
        </w:rPr>
        <w:t>five</w:t>
      </w:r>
      <w:r>
        <w:rPr>
          <w:rFonts w:ascii="Times New Roman" w:hAnsi="Times New Roman" w:cs="Times New Roman"/>
          <w:sz w:val="24"/>
          <w:szCs w:val="24"/>
        </w:rPr>
        <w:t xml:space="preserve"> clusters, the heat maps generated illustrated </w:t>
      </w:r>
      <w:r w:rsidR="00CF39B0">
        <w:rPr>
          <w:rFonts w:ascii="Times New Roman" w:hAnsi="Times New Roman" w:cs="Times New Roman"/>
          <w:sz w:val="24"/>
          <w:szCs w:val="24"/>
        </w:rPr>
        <w:t>five</w:t>
      </w:r>
      <w:r>
        <w:rPr>
          <w:rFonts w:ascii="Times New Roman" w:hAnsi="Times New Roman" w:cs="Times New Roman"/>
          <w:sz w:val="24"/>
          <w:szCs w:val="24"/>
        </w:rPr>
        <w:t xml:space="preserve"> distinct markets that accurately illustrated market sentiments over the </w:t>
      </w:r>
      <w:r w:rsidR="00C43AC7">
        <w:rPr>
          <w:rFonts w:ascii="Times New Roman" w:hAnsi="Times New Roman" w:cs="Times New Roman"/>
          <w:sz w:val="24"/>
          <w:szCs w:val="24"/>
        </w:rPr>
        <w:t>period</w:t>
      </w:r>
      <w:r w:rsidR="000E0D5D">
        <w:rPr>
          <w:rFonts w:ascii="Times New Roman" w:hAnsi="Times New Roman" w:cs="Times New Roman"/>
          <w:sz w:val="24"/>
          <w:szCs w:val="24"/>
        </w:rPr>
        <w:t>s</w:t>
      </w:r>
      <w:r>
        <w:rPr>
          <w:rFonts w:ascii="Times New Roman" w:hAnsi="Times New Roman" w:cs="Times New Roman"/>
          <w:sz w:val="24"/>
          <w:szCs w:val="24"/>
        </w:rPr>
        <w:t xml:space="preserve"> pulled. </w:t>
      </w:r>
      <w:r w:rsidR="00140233">
        <w:rPr>
          <w:rFonts w:ascii="Times New Roman" w:hAnsi="Times New Roman" w:cs="Times New Roman"/>
          <w:sz w:val="24"/>
          <w:szCs w:val="24"/>
        </w:rPr>
        <w:t xml:space="preserve">Cluster </w:t>
      </w:r>
      <w:r w:rsidR="00F9086A">
        <w:rPr>
          <w:rFonts w:ascii="Times New Roman" w:hAnsi="Times New Roman" w:cs="Times New Roman"/>
          <w:sz w:val="24"/>
          <w:szCs w:val="24"/>
        </w:rPr>
        <w:t>Zero</w:t>
      </w:r>
      <w:r w:rsidR="00140233">
        <w:rPr>
          <w:rFonts w:ascii="Times New Roman" w:hAnsi="Times New Roman" w:cs="Times New Roman"/>
          <w:sz w:val="24"/>
          <w:szCs w:val="24"/>
        </w:rPr>
        <w:t xml:space="preserve">, characterized by strong contango (prices increase in the future) markets and a strengthening dollar, was plotted between 2020 and 2022, which was a period of </w:t>
      </w:r>
      <w:r w:rsidR="006D5B79">
        <w:rPr>
          <w:rFonts w:ascii="Times New Roman" w:hAnsi="Times New Roman" w:cs="Times New Roman"/>
          <w:sz w:val="24"/>
          <w:szCs w:val="24"/>
        </w:rPr>
        <w:t>recovery</w:t>
      </w:r>
      <w:r w:rsidR="00140233">
        <w:rPr>
          <w:rFonts w:ascii="Times New Roman" w:hAnsi="Times New Roman" w:cs="Times New Roman"/>
          <w:sz w:val="24"/>
          <w:szCs w:val="24"/>
        </w:rPr>
        <w:t xml:space="preserve"> for the world economy after the </w:t>
      </w:r>
      <w:r w:rsidR="006D5B79">
        <w:rPr>
          <w:rFonts w:ascii="Times New Roman" w:hAnsi="Times New Roman" w:cs="Times New Roman"/>
          <w:sz w:val="24"/>
          <w:szCs w:val="24"/>
        </w:rPr>
        <w:t>COVID-19 pandemic</w:t>
      </w:r>
      <w:r w:rsidR="00140233">
        <w:rPr>
          <w:rFonts w:ascii="Times New Roman" w:hAnsi="Times New Roman" w:cs="Times New Roman"/>
          <w:sz w:val="24"/>
          <w:szCs w:val="24"/>
        </w:rPr>
        <w:t xml:space="preserve"> </w:t>
      </w:r>
      <w:r w:rsidR="004B4750">
        <w:rPr>
          <w:rFonts w:ascii="Times New Roman" w:hAnsi="Times New Roman" w:cs="Times New Roman"/>
          <w:sz w:val="24"/>
          <w:szCs w:val="24"/>
        </w:rPr>
        <w:t>subsided</w:t>
      </w:r>
      <w:r w:rsidR="00140233">
        <w:rPr>
          <w:rFonts w:ascii="Times New Roman" w:hAnsi="Times New Roman" w:cs="Times New Roman"/>
          <w:sz w:val="24"/>
          <w:szCs w:val="24"/>
        </w:rPr>
        <w:t xml:space="preserve">. Cluster </w:t>
      </w:r>
      <w:r w:rsidR="00716FBE">
        <w:rPr>
          <w:rFonts w:ascii="Times New Roman" w:hAnsi="Times New Roman" w:cs="Times New Roman"/>
          <w:sz w:val="24"/>
          <w:szCs w:val="24"/>
        </w:rPr>
        <w:t>One</w:t>
      </w:r>
      <w:r w:rsidR="00140233">
        <w:rPr>
          <w:rFonts w:ascii="Times New Roman" w:hAnsi="Times New Roman" w:cs="Times New Roman"/>
          <w:sz w:val="24"/>
          <w:szCs w:val="24"/>
        </w:rPr>
        <w:t xml:space="preserve">, characterized by </w:t>
      </w:r>
      <w:r w:rsidR="00F9086A">
        <w:rPr>
          <w:rFonts w:ascii="Times New Roman" w:hAnsi="Times New Roman" w:cs="Times New Roman"/>
          <w:sz w:val="24"/>
          <w:szCs w:val="24"/>
        </w:rPr>
        <w:t xml:space="preserve">markets in backwardation </w:t>
      </w:r>
      <w:r w:rsidR="00C43AC7">
        <w:rPr>
          <w:rFonts w:ascii="Times New Roman" w:hAnsi="Times New Roman" w:cs="Times New Roman"/>
          <w:sz w:val="24"/>
          <w:szCs w:val="24"/>
        </w:rPr>
        <w:t xml:space="preserve">(future prices lower than current prices) </w:t>
      </w:r>
      <w:r w:rsidR="00F9086A">
        <w:rPr>
          <w:rFonts w:ascii="Times New Roman" w:hAnsi="Times New Roman" w:cs="Times New Roman"/>
          <w:sz w:val="24"/>
          <w:szCs w:val="24"/>
        </w:rPr>
        <w:t xml:space="preserve">and a weakening dollar, was plotted from 2022 to 2023, a period of </w:t>
      </w:r>
      <w:r w:rsidR="006D5B79">
        <w:rPr>
          <w:rFonts w:ascii="Times New Roman" w:hAnsi="Times New Roman" w:cs="Times New Roman"/>
          <w:sz w:val="24"/>
          <w:szCs w:val="24"/>
        </w:rPr>
        <w:t>heavy</w:t>
      </w:r>
      <w:r w:rsidR="00F9086A">
        <w:rPr>
          <w:rFonts w:ascii="Times New Roman" w:hAnsi="Times New Roman" w:cs="Times New Roman"/>
          <w:sz w:val="24"/>
          <w:szCs w:val="24"/>
        </w:rPr>
        <w:t xml:space="preserve"> inflation and economic uncertainty under the</w:t>
      </w:r>
      <w:r w:rsidR="00C43AC7">
        <w:rPr>
          <w:rFonts w:ascii="Times New Roman" w:hAnsi="Times New Roman" w:cs="Times New Roman"/>
          <w:sz w:val="24"/>
          <w:szCs w:val="24"/>
        </w:rPr>
        <w:t xml:space="preserve"> Biden Administration</w:t>
      </w:r>
      <w:r w:rsidR="00F9086A">
        <w:rPr>
          <w:rFonts w:ascii="Times New Roman" w:hAnsi="Times New Roman" w:cs="Times New Roman"/>
          <w:sz w:val="24"/>
          <w:szCs w:val="24"/>
        </w:rPr>
        <w:t xml:space="preserve">. Clusters Two and Three were periods of mild backwardation and contango markets, </w:t>
      </w:r>
      <w:r w:rsidR="006D5B79">
        <w:rPr>
          <w:rFonts w:ascii="Times New Roman" w:hAnsi="Times New Roman" w:cs="Times New Roman"/>
          <w:sz w:val="24"/>
          <w:szCs w:val="24"/>
        </w:rPr>
        <w:t>respectively</w:t>
      </w:r>
      <w:r w:rsidR="00F9086A">
        <w:rPr>
          <w:rFonts w:ascii="Times New Roman" w:hAnsi="Times New Roman" w:cs="Times New Roman"/>
          <w:sz w:val="24"/>
          <w:szCs w:val="24"/>
        </w:rPr>
        <w:t xml:space="preserve">, </w:t>
      </w:r>
      <w:r w:rsidR="00716FBE">
        <w:rPr>
          <w:rFonts w:ascii="Times New Roman" w:hAnsi="Times New Roman" w:cs="Times New Roman"/>
          <w:sz w:val="24"/>
          <w:szCs w:val="24"/>
        </w:rPr>
        <w:t>but were not continuous like the first two. Cluster Four had no defined trend.</w:t>
      </w:r>
      <w:r w:rsidR="004B4750">
        <w:rPr>
          <w:rFonts w:ascii="Times New Roman" w:hAnsi="Times New Roman" w:cs="Times New Roman"/>
          <w:sz w:val="24"/>
          <w:szCs w:val="24"/>
        </w:rPr>
        <w:t xml:space="preserve"> E</w:t>
      </w:r>
      <w:r w:rsidR="00716FBE">
        <w:rPr>
          <w:rFonts w:ascii="Times New Roman" w:hAnsi="Times New Roman" w:cs="Times New Roman"/>
          <w:sz w:val="24"/>
          <w:szCs w:val="24"/>
        </w:rPr>
        <w:t>quit</w:t>
      </w:r>
      <w:r w:rsidR="00C43AC7">
        <w:rPr>
          <w:rFonts w:ascii="Times New Roman" w:hAnsi="Times New Roman" w:cs="Times New Roman"/>
          <w:sz w:val="24"/>
          <w:szCs w:val="24"/>
        </w:rPr>
        <w:t>y</w:t>
      </w:r>
      <w:r w:rsidR="00716FBE">
        <w:rPr>
          <w:rFonts w:ascii="Times New Roman" w:hAnsi="Times New Roman" w:cs="Times New Roman"/>
          <w:sz w:val="24"/>
          <w:szCs w:val="24"/>
        </w:rPr>
        <w:t xml:space="preserve"> </w:t>
      </w:r>
      <w:r w:rsidR="000E0D5D">
        <w:rPr>
          <w:rFonts w:ascii="Times New Roman" w:hAnsi="Times New Roman" w:cs="Times New Roman"/>
          <w:sz w:val="24"/>
          <w:szCs w:val="24"/>
        </w:rPr>
        <w:t>indices</w:t>
      </w:r>
      <w:r w:rsidR="00716FBE">
        <w:rPr>
          <w:rFonts w:ascii="Times New Roman" w:hAnsi="Times New Roman" w:cs="Times New Roman"/>
          <w:sz w:val="24"/>
          <w:szCs w:val="24"/>
        </w:rPr>
        <w:t xml:space="preserve"> were bullish</w:t>
      </w:r>
      <w:r w:rsidR="006D5B79">
        <w:rPr>
          <w:rFonts w:ascii="Times New Roman" w:hAnsi="Times New Roman" w:cs="Times New Roman"/>
          <w:sz w:val="24"/>
          <w:szCs w:val="24"/>
        </w:rPr>
        <w:t>,</w:t>
      </w:r>
      <w:r w:rsidR="00716FBE">
        <w:rPr>
          <w:rFonts w:ascii="Times New Roman" w:hAnsi="Times New Roman" w:cs="Times New Roman"/>
          <w:sz w:val="24"/>
          <w:szCs w:val="24"/>
        </w:rPr>
        <w:t xml:space="preserve"> but the other assets reflected mixed sentiments along with a </w:t>
      </w:r>
      <w:r w:rsidR="00CF39B0">
        <w:rPr>
          <w:rFonts w:ascii="Times New Roman" w:hAnsi="Times New Roman" w:cs="Times New Roman"/>
          <w:sz w:val="24"/>
          <w:szCs w:val="24"/>
        </w:rPr>
        <w:t>weakening</w:t>
      </w:r>
      <w:r w:rsidR="00716FBE">
        <w:rPr>
          <w:rFonts w:ascii="Times New Roman" w:hAnsi="Times New Roman" w:cs="Times New Roman"/>
          <w:sz w:val="24"/>
          <w:szCs w:val="24"/>
        </w:rPr>
        <w:t xml:space="preserve"> dollar. It was plotted </w:t>
      </w:r>
      <w:r w:rsidR="006D5B79">
        <w:rPr>
          <w:rFonts w:ascii="Times New Roman" w:hAnsi="Times New Roman" w:cs="Times New Roman"/>
          <w:sz w:val="24"/>
          <w:szCs w:val="24"/>
        </w:rPr>
        <w:t>over</w:t>
      </w:r>
      <w:r w:rsidR="00716FBE">
        <w:rPr>
          <w:rFonts w:ascii="Times New Roman" w:hAnsi="Times New Roman" w:cs="Times New Roman"/>
          <w:sz w:val="24"/>
          <w:szCs w:val="24"/>
        </w:rPr>
        <w:t xml:space="preserve"> a small </w:t>
      </w:r>
      <w:r w:rsidR="00CF39B0">
        <w:rPr>
          <w:rFonts w:ascii="Times New Roman" w:hAnsi="Times New Roman" w:cs="Times New Roman"/>
          <w:sz w:val="24"/>
          <w:szCs w:val="24"/>
        </w:rPr>
        <w:t>period</w:t>
      </w:r>
      <w:r w:rsidR="00716FBE">
        <w:rPr>
          <w:rFonts w:ascii="Times New Roman" w:hAnsi="Times New Roman" w:cs="Times New Roman"/>
          <w:sz w:val="24"/>
          <w:szCs w:val="24"/>
        </w:rPr>
        <w:t xml:space="preserve"> after 2024, possibly representing the wild shifts our markets have experienced under </w:t>
      </w:r>
      <w:r w:rsidR="004B4750">
        <w:rPr>
          <w:rFonts w:ascii="Times New Roman" w:hAnsi="Times New Roman" w:cs="Times New Roman"/>
          <w:sz w:val="24"/>
          <w:szCs w:val="24"/>
        </w:rPr>
        <w:t>the current administration</w:t>
      </w:r>
      <w:r w:rsidR="00716FBE">
        <w:rPr>
          <w:rFonts w:ascii="Times New Roman" w:hAnsi="Times New Roman" w:cs="Times New Roman"/>
          <w:sz w:val="24"/>
          <w:szCs w:val="24"/>
        </w:rPr>
        <w:t>.</w:t>
      </w:r>
      <w:r w:rsidR="000E0D5D">
        <w:rPr>
          <w:rFonts w:ascii="Times New Roman" w:hAnsi="Times New Roman" w:cs="Times New Roman"/>
          <w:sz w:val="24"/>
          <w:szCs w:val="24"/>
        </w:rPr>
        <w:t xml:space="preserve"> A</w:t>
      </w:r>
      <w:r w:rsidR="00716FBE">
        <w:rPr>
          <w:rFonts w:ascii="Times New Roman" w:hAnsi="Times New Roman" w:cs="Times New Roman"/>
          <w:sz w:val="24"/>
          <w:szCs w:val="24"/>
        </w:rPr>
        <w:t xml:space="preserve">s shown by our values key on the right, no asset experienced a period where depreciation was much greater than 5%, while appreciation reached greater than 15% in some cases, including </w:t>
      </w:r>
      <w:r w:rsidR="004B4750">
        <w:rPr>
          <w:rFonts w:ascii="Times New Roman" w:hAnsi="Times New Roman" w:cs="Times New Roman"/>
          <w:sz w:val="24"/>
          <w:szCs w:val="24"/>
        </w:rPr>
        <w:t>the</w:t>
      </w:r>
      <w:r w:rsidR="00716FBE">
        <w:rPr>
          <w:rFonts w:ascii="Times New Roman" w:hAnsi="Times New Roman" w:cs="Times New Roman"/>
          <w:sz w:val="24"/>
          <w:szCs w:val="24"/>
        </w:rPr>
        <w:t xml:space="preserve"> equit</w:t>
      </w:r>
      <w:r w:rsidR="00C43AC7">
        <w:rPr>
          <w:rFonts w:ascii="Times New Roman" w:hAnsi="Times New Roman" w:cs="Times New Roman"/>
          <w:sz w:val="24"/>
          <w:szCs w:val="24"/>
        </w:rPr>
        <w:t>y</w:t>
      </w:r>
      <w:r w:rsidR="00716FBE">
        <w:rPr>
          <w:rFonts w:ascii="Times New Roman" w:hAnsi="Times New Roman" w:cs="Times New Roman"/>
          <w:sz w:val="24"/>
          <w:szCs w:val="24"/>
        </w:rPr>
        <w:t xml:space="preserve"> indices in Zero and natural gas in Four.</w:t>
      </w:r>
    </w:p>
    <w:p w14:paraId="5FCABD22" w14:textId="0DA8DF2E" w:rsidR="00133B7F" w:rsidRDefault="00133B7F" w:rsidP="006E515B">
      <w:pPr>
        <w:spacing w:line="480" w:lineRule="auto"/>
        <w:rPr>
          <w:rFonts w:ascii="Times New Roman" w:hAnsi="Times New Roman" w:cs="Times New Roman"/>
          <w:sz w:val="24"/>
          <w:szCs w:val="24"/>
        </w:rPr>
      </w:pPr>
      <w:r w:rsidRPr="00133B7F">
        <w:rPr>
          <w:rFonts w:ascii="Times New Roman" w:hAnsi="Times New Roman" w:cs="Times New Roman"/>
          <w:noProof/>
          <w:sz w:val="24"/>
          <w:szCs w:val="24"/>
        </w:rPr>
        <w:drawing>
          <wp:inline distT="0" distB="0" distL="0" distR="0" wp14:anchorId="52FB4406" wp14:editId="4DD62BD9">
            <wp:extent cx="2721328" cy="2171700"/>
            <wp:effectExtent l="0" t="0" r="3175" b="0"/>
            <wp:docPr id="13850450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5046" name="Picture 1" descr="A screenshot of a graph&#10;&#10;AI-generated content may be incorrect."/>
                    <pic:cNvPicPr/>
                  </pic:nvPicPr>
                  <pic:blipFill>
                    <a:blip r:embed="rId9"/>
                    <a:stretch>
                      <a:fillRect/>
                    </a:stretch>
                  </pic:blipFill>
                  <pic:spPr>
                    <a:xfrm>
                      <a:off x="0" y="0"/>
                      <a:ext cx="2728321" cy="2177281"/>
                    </a:xfrm>
                    <a:prstGeom prst="rect">
                      <a:avLst/>
                    </a:prstGeom>
                  </pic:spPr>
                </pic:pic>
              </a:graphicData>
            </a:graphic>
          </wp:inline>
        </w:drawing>
      </w:r>
      <w:r w:rsidRPr="00133B7F">
        <w:rPr>
          <w:noProof/>
        </w:rPr>
        <w:t xml:space="preserve"> </w:t>
      </w:r>
      <w:r w:rsidRPr="00133B7F">
        <w:rPr>
          <w:rFonts w:ascii="Times New Roman" w:hAnsi="Times New Roman" w:cs="Times New Roman"/>
          <w:noProof/>
          <w:sz w:val="24"/>
          <w:szCs w:val="24"/>
        </w:rPr>
        <w:drawing>
          <wp:inline distT="0" distB="0" distL="0" distR="0" wp14:anchorId="34DFF188" wp14:editId="2BBBC829">
            <wp:extent cx="2946400" cy="2209800"/>
            <wp:effectExtent l="0" t="0" r="6350" b="0"/>
            <wp:docPr id="1067513554" name="Picture 1" descr="A screen 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13554" name="Picture 1" descr="A screen shot of a calendar&#10;&#10;AI-generated content may be incorrect."/>
                    <pic:cNvPicPr/>
                  </pic:nvPicPr>
                  <pic:blipFill>
                    <a:blip r:embed="rId10"/>
                    <a:stretch>
                      <a:fillRect/>
                    </a:stretch>
                  </pic:blipFill>
                  <pic:spPr>
                    <a:xfrm>
                      <a:off x="0" y="0"/>
                      <a:ext cx="2946400" cy="2209800"/>
                    </a:xfrm>
                    <a:prstGeom prst="rect">
                      <a:avLst/>
                    </a:prstGeom>
                  </pic:spPr>
                </pic:pic>
              </a:graphicData>
            </a:graphic>
          </wp:inline>
        </w:drawing>
      </w:r>
    </w:p>
    <w:p w14:paraId="6976F62A" w14:textId="76F7B257" w:rsidR="00264463" w:rsidRDefault="00964073" w:rsidP="006E515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One additional cluster was added to our algorithm to assess how results might differ, and while they were numbered differently, the algorithm identified many of the same patterns. There </w:t>
      </w:r>
      <w:r w:rsidR="003C2F1F">
        <w:rPr>
          <w:rFonts w:ascii="Times New Roman" w:hAnsi="Times New Roman" w:cs="Times New Roman"/>
          <w:sz w:val="24"/>
          <w:szCs w:val="24"/>
        </w:rPr>
        <w:t>were</w:t>
      </w:r>
      <w:r>
        <w:rPr>
          <w:rFonts w:ascii="Times New Roman" w:hAnsi="Times New Roman" w:cs="Times New Roman"/>
          <w:sz w:val="24"/>
          <w:szCs w:val="24"/>
        </w:rPr>
        <w:t xml:space="preserve"> strong contango markets across the board after </w:t>
      </w:r>
      <w:r w:rsidR="00BC7BF4">
        <w:rPr>
          <w:rFonts w:ascii="Times New Roman" w:hAnsi="Times New Roman" w:cs="Times New Roman"/>
          <w:sz w:val="24"/>
          <w:szCs w:val="24"/>
        </w:rPr>
        <w:t>COVID</w:t>
      </w:r>
      <w:r w:rsidR="00667D8D">
        <w:rPr>
          <w:rFonts w:ascii="Times New Roman" w:hAnsi="Times New Roman" w:cs="Times New Roman"/>
          <w:sz w:val="24"/>
          <w:szCs w:val="24"/>
        </w:rPr>
        <w:t xml:space="preserve">, backwardation and dollar </w:t>
      </w:r>
      <w:r w:rsidR="00667D8D">
        <w:rPr>
          <w:rFonts w:ascii="Times New Roman" w:hAnsi="Times New Roman" w:cs="Times New Roman"/>
          <w:sz w:val="24"/>
          <w:szCs w:val="24"/>
        </w:rPr>
        <w:lastRenderedPageBreak/>
        <w:t xml:space="preserve">depreciation from 2022-2023, and then slightly more mixed results in the other clusters. This experiment hardly improved our analysis, and it was clear that continuing to add clusters would not help us identify trends </w:t>
      </w:r>
      <w:r w:rsidR="006D5B79">
        <w:rPr>
          <w:rFonts w:ascii="Times New Roman" w:hAnsi="Times New Roman" w:cs="Times New Roman"/>
          <w:sz w:val="24"/>
          <w:szCs w:val="24"/>
        </w:rPr>
        <w:t>or</w:t>
      </w:r>
      <w:r w:rsidR="00667D8D">
        <w:rPr>
          <w:rFonts w:ascii="Times New Roman" w:hAnsi="Times New Roman" w:cs="Times New Roman"/>
          <w:sz w:val="24"/>
          <w:szCs w:val="24"/>
        </w:rPr>
        <w:t xml:space="preserve"> simplify our results. </w:t>
      </w:r>
    </w:p>
    <w:p w14:paraId="1ADCF657" w14:textId="730F6F6B" w:rsidR="00CF39B0" w:rsidRDefault="00133B7F" w:rsidP="00964073">
      <w:pPr>
        <w:rPr>
          <w:rFonts w:ascii="Goudy Old Style" w:hAnsi="Goudy Old Style"/>
          <w:highlight w:val="yellow"/>
        </w:rPr>
      </w:pPr>
      <w:r w:rsidRPr="00133B7F">
        <w:rPr>
          <w:rFonts w:ascii="Goudy Old Style" w:hAnsi="Goudy Old Style"/>
          <w:noProof/>
        </w:rPr>
        <w:drawing>
          <wp:inline distT="0" distB="0" distL="0" distR="0" wp14:anchorId="4FF04582" wp14:editId="140489AA">
            <wp:extent cx="2783840" cy="2087880"/>
            <wp:effectExtent l="0" t="0" r="0" b="7620"/>
            <wp:docPr id="278403333" name="Picture 1" descr="A colorful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03333" name="Picture 1" descr="A colorful squares with white text&#10;&#10;AI-generated content may be incorrect."/>
                    <pic:cNvPicPr/>
                  </pic:nvPicPr>
                  <pic:blipFill>
                    <a:blip r:embed="rId11"/>
                    <a:stretch>
                      <a:fillRect/>
                    </a:stretch>
                  </pic:blipFill>
                  <pic:spPr>
                    <a:xfrm>
                      <a:off x="0" y="0"/>
                      <a:ext cx="2783840" cy="2087880"/>
                    </a:xfrm>
                    <a:prstGeom prst="rect">
                      <a:avLst/>
                    </a:prstGeom>
                  </pic:spPr>
                </pic:pic>
              </a:graphicData>
            </a:graphic>
          </wp:inline>
        </w:drawing>
      </w:r>
      <w:r w:rsidR="00CF39B0" w:rsidRPr="00133B7F">
        <w:rPr>
          <w:rFonts w:ascii="Goudy Old Style" w:hAnsi="Goudy Old Style"/>
          <w:noProof/>
        </w:rPr>
        <w:drawing>
          <wp:inline distT="0" distB="0" distL="0" distR="0" wp14:anchorId="5A38880E" wp14:editId="2880C309">
            <wp:extent cx="2783840" cy="2087880"/>
            <wp:effectExtent l="0" t="0" r="0" b="7620"/>
            <wp:docPr id="2101132677" name="Picture 1" descr="A colorful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32677" name="Picture 1" descr="A colorful lines on a white background&#10;&#10;AI-generated content may be incorrect."/>
                    <pic:cNvPicPr/>
                  </pic:nvPicPr>
                  <pic:blipFill>
                    <a:blip r:embed="rId12"/>
                    <a:stretch>
                      <a:fillRect/>
                    </a:stretch>
                  </pic:blipFill>
                  <pic:spPr>
                    <a:xfrm>
                      <a:off x="0" y="0"/>
                      <a:ext cx="2783840" cy="2087880"/>
                    </a:xfrm>
                    <a:prstGeom prst="rect">
                      <a:avLst/>
                    </a:prstGeom>
                  </pic:spPr>
                </pic:pic>
              </a:graphicData>
            </a:graphic>
          </wp:inline>
        </w:drawing>
      </w:r>
    </w:p>
    <w:p w14:paraId="6C99A0DF" w14:textId="7DC5C628" w:rsidR="00133B7F" w:rsidRDefault="00133B7F" w:rsidP="00964073">
      <w:pPr>
        <w:rPr>
          <w:rFonts w:ascii="Goudy Old Style" w:hAnsi="Goudy Old Style"/>
          <w:highlight w:val="yellow"/>
        </w:rPr>
      </w:pPr>
    </w:p>
    <w:p w14:paraId="206CA6F4" w14:textId="6A2E9D04" w:rsidR="00AB7998" w:rsidRDefault="00CE2FBC" w:rsidP="00CF39B0">
      <w:pPr>
        <w:spacing w:line="480" w:lineRule="auto"/>
        <w:ind w:firstLine="720"/>
        <w:rPr>
          <w:rFonts w:ascii="Goudy Old Style" w:hAnsi="Goudy Old Style"/>
          <w:highlight w:val="yellow"/>
        </w:rPr>
      </w:pPr>
      <w:r>
        <w:rPr>
          <w:rFonts w:ascii="Times New Roman" w:hAnsi="Times New Roman" w:cs="Times New Roman"/>
          <w:sz w:val="24"/>
          <w:szCs w:val="24"/>
        </w:rPr>
        <w:t>W</w:t>
      </w:r>
      <w:r w:rsidR="00AB7998">
        <w:rPr>
          <w:rFonts w:ascii="Times New Roman" w:hAnsi="Times New Roman" w:cs="Times New Roman"/>
          <w:sz w:val="24"/>
          <w:szCs w:val="24"/>
        </w:rPr>
        <w:t xml:space="preserve">hile our results were limited, this experiment was able to effectively group assets in periods of different market sentiment and create </w:t>
      </w:r>
      <w:r w:rsidR="00872D4D">
        <w:rPr>
          <w:rFonts w:ascii="Times New Roman" w:hAnsi="Times New Roman" w:cs="Times New Roman"/>
          <w:sz w:val="24"/>
          <w:szCs w:val="24"/>
        </w:rPr>
        <w:t xml:space="preserve">intuitive </w:t>
      </w:r>
      <w:r w:rsidR="00AB7998">
        <w:rPr>
          <w:rFonts w:ascii="Times New Roman" w:hAnsi="Times New Roman" w:cs="Times New Roman"/>
          <w:sz w:val="24"/>
          <w:szCs w:val="24"/>
        </w:rPr>
        <w:t xml:space="preserve">ways to see how different </w:t>
      </w:r>
      <w:r w:rsidR="00872D4D">
        <w:rPr>
          <w:rFonts w:ascii="Times New Roman" w:hAnsi="Times New Roman" w:cs="Times New Roman"/>
          <w:sz w:val="24"/>
          <w:szCs w:val="24"/>
        </w:rPr>
        <w:t xml:space="preserve">futures </w:t>
      </w:r>
      <w:r w:rsidR="00AB7998">
        <w:rPr>
          <w:rFonts w:ascii="Times New Roman" w:hAnsi="Times New Roman" w:cs="Times New Roman"/>
          <w:sz w:val="24"/>
          <w:szCs w:val="24"/>
        </w:rPr>
        <w:t xml:space="preserve">markets </w:t>
      </w:r>
      <w:r w:rsidR="00872D4D">
        <w:rPr>
          <w:rFonts w:ascii="Times New Roman" w:hAnsi="Times New Roman" w:cs="Times New Roman"/>
          <w:sz w:val="24"/>
          <w:szCs w:val="24"/>
        </w:rPr>
        <w:t>have</w:t>
      </w:r>
      <w:r w:rsidR="00AB7998">
        <w:rPr>
          <w:rFonts w:ascii="Times New Roman" w:hAnsi="Times New Roman" w:cs="Times New Roman"/>
          <w:sz w:val="24"/>
          <w:szCs w:val="24"/>
        </w:rPr>
        <w:t xml:space="preserve"> move</w:t>
      </w:r>
      <w:r w:rsidR="00872D4D">
        <w:rPr>
          <w:rFonts w:ascii="Times New Roman" w:hAnsi="Times New Roman" w:cs="Times New Roman"/>
          <w:sz w:val="24"/>
          <w:szCs w:val="24"/>
        </w:rPr>
        <w:t>d</w:t>
      </w:r>
      <w:r w:rsidR="00AB7998">
        <w:rPr>
          <w:rFonts w:ascii="Times New Roman" w:hAnsi="Times New Roman" w:cs="Times New Roman"/>
          <w:sz w:val="24"/>
          <w:szCs w:val="24"/>
        </w:rPr>
        <w:t xml:space="preserve"> in conjunction with each other. This algorithm is </w:t>
      </w:r>
      <w:r w:rsidR="00872D4D">
        <w:rPr>
          <w:rFonts w:ascii="Times New Roman" w:hAnsi="Times New Roman" w:cs="Times New Roman"/>
          <w:sz w:val="24"/>
          <w:szCs w:val="24"/>
        </w:rPr>
        <w:t>rarely applied to time-series data sets, but it performed admirably when clustering th</w:t>
      </w:r>
      <w:r w:rsidR="00CF39B0">
        <w:rPr>
          <w:rFonts w:ascii="Times New Roman" w:hAnsi="Times New Roman" w:cs="Times New Roman"/>
          <w:sz w:val="24"/>
          <w:szCs w:val="24"/>
        </w:rPr>
        <w:t>is data</w:t>
      </w:r>
      <w:r w:rsidR="006D5B79">
        <w:rPr>
          <w:rFonts w:ascii="Times New Roman" w:hAnsi="Times New Roman" w:cs="Times New Roman"/>
          <w:sz w:val="24"/>
          <w:szCs w:val="24"/>
        </w:rPr>
        <w:t>,</w:t>
      </w:r>
      <w:r w:rsidR="00872D4D">
        <w:rPr>
          <w:rFonts w:ascii="Times New Roman" w:hAnsi="Times New Roman" w:cs="Times New Roman"/>
          <w:sz w:val="24"/>
          <w:szCs w:val="24"/>
        </w:rPr>
        <w:t xml:space="preserve"> and with more data could be used in fascinating experiments. In the future, it would be interesting to see how this can be applied solely to </w:t>
      </w:r>
      <w:r w:rsidR="006D5B79">
        <w:rPr>
          <w:rFonts w:ascii="Times New Roman" w:hAnsi="Times New Roman" w:cs="Times New Roman"/>
          <w:sz w:val="24"/>
          <w:szCs w:val="24"/>
        </w:rPr>
        <w:t>equity</w:t>
      </w:r>
      <w:r w:rsidR="00872D4D">
        <w:rPr>
          <w:rFonts w:ascii="Times New Roman" w:hAnsi="Times New Roman" w:cs="Times New Roman"/>
          <w:sz w:val="24"/>
          <w:szCs w:val="24"/>
        </w:rPr>
        <w:t xml:space="preserve"> markets, focusing on </w:t>
      </w:r>
      <w:r w:rsidR="00D9304A">
        <w:rPr>
          <w:rFonts w:ascii="Times New Roman" w:hAnsi="Times New Roman" w:cs="Times New Roman"/>
          <w:sz w:val="24"/>
          <w:szCs w:val="24"/>
        </w:rPr>
        <w:t xml:space="preserve">groups of stocks (tech, financial, industrial, pharmaceutical) and seeing how these markets have moved in relation over time. </w:t>
      </w:r>
      <w:r w:rsidRPr="00AB7998">
        <w:rPr>
          <w:rFonts w:ascii="Times New Roman" w:hAnsi="Times New Roman" w:cs="Times New Roman"/>
          <w:sz w:val="24"/>
          <w:szCs w:val="24"/>
        </w:rPr>
        <w:t>In conclusion</w:t>
      </w:r>
      <w:r>
        <w:rPr>
          <w:rFonts w:ascii="Times New Roman" w:hAnsi="Times New Roman" w:cs="Times New Roman"/>
          <w:sz w:val="24"/>
          <w:szCs w:val="24"/>
        </w:rPr>
        <w:t xml:space="preserve">, this was an incredible introduction </w:t>
      </w:r>
      <w:r w:rsidR="00CF39B0">
        <w:rPr>
          <w:rFonts w:ascii="Times New Roman" w:hAnsi="Times New Roman" w:cs="Times New Roman"/>
          <w:sz w:val="24"/>
          <w:szCs w:val="24"/>
        </w:rPr>
        <w:t>to</w:t>
      </w:r>
      <w:r>
        <w:rPr>
          <w:rFonts w:ascii="Times New Roman" w:hAnsi="Times New Roman" w:cs="Times New Roman"/>
          <w:sz w:val="24"/>
          <w:szCs w:val="24"/>
        </w:rPr>
        <w:t xml:space="preserve"> running unsupervised machine learning algorithms for data analysis</w:t>
      </w:r>
      <w:r w:rsidR="00CF39B0">
        <w:rPr>
          <w:rFonts w:ascii="Times New Roman" w:hAnsi="Times New Roman" w:cs="Times New Roman"/>
          <w:sz w:val="24"/>
          <w:szCs w:val="24"/>
        </w:rPr>
        <w:t>, and I am excited to continue experimenting with similar tools in the future</w:t>
      </w:r>
      <w:r>
        <w:rPr>
          <w:rFonts w:ascii="Times New Roman" w:hAnsi="Times New Roman" w:cs="Times New Roman"/>
          <w:sz w:val="24"/>
          <w:szCs w:val="24"/>
        </w:rPr>
        <w:t>.</w:t>
      </w:r>
    </w:p>
    <w:p w14:paraId="525895A8" w14:textId="77777777" w:rsidR="00AB7998" w:rsidRDefault="00AB7998" w:rsidP="00964073">
      <w:pPr>
        <w:rPr>
          <w:rFonts w:ascii="Goudy Old Style" w:hAnsi="Goudy Old Style"/>
          <w:highlight w:val="yellow"/>
        </w:rPr>
      </w:pPr>
    </w:p>
    <w:p w14:paraId="6FE01B4F" w14:textId="77777777" w:rsidR="00D9304A" w:rsidRDefault="00D9304A" w:rsidP="00964073">
      <w:pPr>
        <w:rPr>
          <w:rFonts w:ascii="Goudy Old Style" w:hAnsi="Goudy Old Style"/>
          <w:highlight w:val="yellow"/>
        </w:rPr>
      </w:pPr>
    </w:p>
    <w:p w14:paraId="0FDB0354" w14:textId="77777777" w:rsidR="00D9304A" w:rsidRDefault="00D9304A" w:rsidP="00964073">
      <w:pPr>
        <w:rPr>
          <w:rFonts w:ascii="Goudy Old Style" w:hAnsi="Goudy Old Style"/>
          <w:highlight w:val="yellow"/>
        </w:rPr>
      </w:pPr>
    </w:p>
    <w:p w14:paraId="152864AA" w14:textId="77777777" w:rsidR="00D9304A" w:rsidRDefault="00D9304A" w:rsidP="00964073">
      <w:pPr>
        <w:rPr>
          <w:rFonts w:ascii="Goudy Old Style" w:hAnsi="Goudy Old Style"/>
          <w:highlight w:val="yellow"/>
        </w:rPr>
      </w:pPr>
    </w:p>
    <w:p w14:paraId="7DEB266F" w14:textId="77777777" w:rsidR="00D9304A" w:rsidRDefault="00D9304A" w:rsidP="00964073">
      <w:pPr>
        <w:rPr>
          <w:rFonts w:ascii="Goudy Old Style" w:hAnsi="Goudy Old Style"/>
          <w:highlight w:val="yellow"/>
        </w:rPr>
      </w:pPr>
    </w:p>
    <w:p w14:paraId="41712E0F" w14:textId="77777777" w:rsidR="000E0D5D" w:rsidRPr="006E515B" w:rsidRDefault="000E0D5D" w:rsidP="00964073">
      <w:pPr>
        <w:rPr>
          <w:rFonts w:ascii="Goudy Old Style" w:hAnsi="Goudy Old Style"/>
          <w:highlight w:val="yellow"/>
        </w:rPr>
      </w:pPr>
    </w:p>
    <w:p w14:paraId="61B61555" w14:textId="77777777" w:rsidR="00D9304A" w:rsidRDefault="00D9304A" w:rsidP="00D9304A">
      <w:pPr>
        <w:rPr>
          <w:rFonts w:ascii="Goudy Old Style" w:hAnsi="Goudy Old Style"/>
          <w:highlight w:val="yellow"/>
        </w:rPr>
      </w:pPr>
    </w:p>
    <w:p w14:paraId="62A3EEB5" w14:textId="77777777" w:rsidR="003C2F1F" w:rsidRDefault="003C2F1F" w:rsidP="00D9304A">
      <w:pPr>
        <w:spacing w:line="480" w:lineRule="auto"/>
        <w:jc w:val="center"/>
        <w:rPr>
          <w:rFonts w:ascii="Times New Roman" w:hAnsi="Times New Roman" w:cs="Times New Roman"/>
          <w:sz w:val="24"/>
          <w:szCs w:val="24"/>
        </w:rPr>
      </w:pPr>
    </w:p>
    <w:p w14:paraId="0F766F64" w14:textId="250F9A6C" w:rsidR="00D9304A" w:rsidRPr="00D9304A" w:rsidRDefault="00D9304A" w:rsidP="00D9304A">
      <w:pPr>
        <w:spacing w:line="480" w:lineRule="auto"/>
        <w:jc w:val="center"/>
        <w:rPr>
          <w:rFonts w:ascii="Times New Roman" w:hAnsi="Times New Roman" w:cs="Times New Roman"/>
          <w:sz w:val="24"/>
          <w:szCs w:val="24"/>
        </w:rPr>
      </w:pPr>
      <w:r w:rsidRPr="00D9304A">
        <w:rPr>
          <w:rFonts w:ascii="Times New Roman" w:hAnsi="Times New Roman" w:cs="Times New Roman"/>
          <w:sz w:val="24"/>
          <w:szCs w:val="24"/>
        </w:rPr>
        <w:lastRenderedPageBreak/>
        <w:t>Works Cited</w:t>
      </w:r>
    </w:p>
    <w:p w14:paraId="16673E5D" w14:textId="77777777" w:rsidR="00D9304A" w:rsidRPr="00D9304A" w:rsidRDefault="00D9304A" w:rsidP="00D9304A">
      <w:pPr>
        <w:pStyle w:val="p1"/>
        <w:spacing w:line="480" w:lineRule="auto"/>
        <w:rPr>
          <w:sz w:val="24"/>
          <w:szCs w:val="24"/>
        </w:rPr>
      </w:pPr>
      <w:r w:rsidRPr="00D9304A">
        <w:rPr>
          <w:sz w:val="24"/>
          <w:szCs w:val="24"/>
        </w:rPr>
        <w:t>Hao, T., Q. Liu, D. Miao, and Y. Tse. 2025. “Predicting Commodity Returns Through Image-</w:t>
      </w:r>
    </w:p>
    <w:p w14:paraId="11D02A9D" w14:textId="77777777" w:rsidR="00D9304A" w:rsidRPr="00D9304A" w:rsidRDefault="00D9304A" w:rsidP="00D9304A">
      <w:pPr>
        <w:pStyle w:val="p1"/>
        <w:spacing w:line="480" w:lineRule="auto"/>
        <w:ind w:firstLine="720"/>
        <w:rPr>
          <w:sz w:val="24"/>
          <w:szCs w:val="24"/>
        </w:rPr>
      </w:pPr>
      <w:r w:rsidRPr="00D9304A">
        <w:rPr>
          <w:sz w:val="24"/>
          <w:szCs w:val="24"/>
        </w:rPr>
        <w:t xml:space="preserve">Based Price Patterns.” </w:t>
      </w:r>
      <w:r w:rsidRPr="00D9304A">
        <w:rPr>
          <w:i/>
          <w:iCs/>
          <w:sz w:val="24"/>
          <w:szCs w:val="24"/>
        </w:rPr>
        <w:t>The Journal of Futures Markets</w:t>
      </w:r>
      <w:r w:rsidRPr="00D9304A">
        <w:rPr>
          <w:sz w:val="24"/>
          <w:szCs w:val="24"/>
        </w:rPr>
        <w:t xml:space="preserve"> 45: 2434–</w:t>
      </w:r>
    </w:p>
    <w:p w14:paraId="79FF7EAE" w14:textId="77777777" w:rsidR="00D9304A" w:rsidRPr="00D9304A" w:rsidRDefault="00D9304A" w:rsidP="00D9304A">
      <w:pPr>
        <w:pStyle w:val="p2"/>
        <w:spacing w:line="480" w:lineRule="auto"/>
        <w:ind w:firstLine="720"/>
        <w:rPr>
          <w:sz w:val="24"/>
          <w:szCs w:val="24"/>
        </w:rPr>
      </w:pPr>
      <w:r w:rsidRPr="00D9304A">
        <w:rPr>
          <w:rStyle w:val="s1"/>
          <w:sz w:val="24"/>
          <w:szCs w:val="24"/>
        </w:rPr>
        <w:t xml:space="preserve">2456. </w:t>
      </w:r>
      <w:r w:rsidRPr="00D9304A">
        <w:rPr>
          <w:sz w:val="24"/>
          <w:szCs w:val="24"/>
        </w:rPr>
        <w:t>https://doi.org/10.1002/fut.70043</w:t>
      </w:r>
      <w:r w:rsidRPr="00D9304A">
        <w:rPr>
          <w:rStyle w:val="s1"/>
          <w:sz w:val="24"/>
          <w:szCs w:val="24"/>
        </w:rPr>
        <w:t>.</w:t>
      </w:r>
    </w:p>
    <w:p w14:paraId="59ABDB83" w14:textId="77777777" w:rsidR="00D9304A" w:rsidRPr="00D9304A" w:rsidRDefault="00D9304A" w:rsidP="00D9304A">
      <w:pPr>
        <w:pStyle w:val="p1"/>
        <w:spacing w:line="480" w:lineRule="auto"/>
        <w:rPr>
          <w:sz w:val="24"/>
          <w:szCs w:val="24"/>
        </w:rPr>
      </w:pPr>
      <w:r w:rsidRPr="00D9304A">
        <w:rPr>
          <w:sz w:val="24"/>
          <w:szCs w:val="24"/>
        </w:rPr>
        <w:t xml:space="preserve">Bali, T. G., Beckmeyer, H., </w:t>
      </w:r>
      <w:proofErr w:type="spellStart"/>
      <w:r w:rsidRPr="00D9304A">
        <w:rPr>
          <w:sz w:val="24"/>
          <w:szCs w:val="24"/>
        </w:rPr>
        <w:t>Mörke</w:t>
      </w:r>
      <w:proofErr w:type="spellEnd"/>
      <w:r w:rsidRPr="00D9304A">
        <w:rPr>
          <w:sz w:val="24"/>
          <w:szCs w:val="24"/>
        </w:rPr>
        <w:t xml:space="preserve">, M., &amp; Weigert, F. (2023). </w:t>
      </w:r>
      <w:r w:rsidRPr="00D9304A">
        <w:rPr>
          <w:i/>
          <w:iCs/>
          <w:sz w:val="24"/>
          <w:szCs w:val="24"/>
        </w:rPr>
        <w:t>Option return predictability with</w:t>
      </w:r>
    </w:p>
    <w:p w14:paraId="311105A2" w14:textId="77777777" w:rsidR="00D9304A" w:rsidRPr="00D9304A" w:rsidRDefault="00D9304A" w:rsidP="00D9304A">
      <w:pPr>
        <w:pStyle w:val="p1"/>
        <w:spacing w:line="480" w:lineRule="auto"/>
        <w:ind w:firstLine="720"/>
        <w:rPr>
          <w:sz w:val="24"/>
          <w:szCs w:val="24"/>
        </w:rPr>
      </w:pPr>
      <w:r w:rsidRPr="00D9304A">
        <w:rPr>
          <w:i/>
          <w:iCs/>
          <w:sz w:val="24"/>
          <w:szCs w:val="24"/>
        </w:rPr>
        <w:t>machine learning and big data</w:t>
      </w:r>
      <w:r w:rsidRPr="00D9304A">
        <w:rPr>
          <w:sz w:val="24"/>
          <w:szCs w:val="24"/>
        </w:rPr>
        <w:t>. The Review of Financial Studies, 36(9), 3548–3602.</w:t>
      </w:r>
    </w:p>
    <w:p w14:paraId="3A3421BF" w14:textId="705F3894" w:rsidR="00D9304A" w:rsidRPr="000E0D5D" w:rsidRDefault="00D9304A" w:rsidP="000E0D5D">
      <w:pPr>
        <w:pStyle w:val="p2"/>
        <w:spacing w:line="480" w:lineRule="auto"/>
        <w:ind w:firstLine="720"/>
        <w:rPr>
          <w:sz w:val="24"/>
          <w:szCs w:val="24"/>
        </w:rPr>
      </w:pPr>
      <w:r w:rsidRPr="00D9304A">
        <w:rPr>
          <w:sz w:val="24"/>
          <w:szCs w:val="24"/>
        </w:rPr>
        <w:t>Https://doi.org/10.1093/rfs/hhad017</w:t>
      </w:r>
    </w:p>
    <w:sectPr w:rsidR="00D9304A" w:rsidRPr="000E0D5D">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63C01" w14:textId="77777777" w:rsidR="00543A25" w:rsidRDefault="00543A25" w:rsidP="00D9304A">
      <w:pPr>
        <w:spacing w:line="240" w:lineRule="auto"/>
      </w:pPr>
      <w:r>
        <w:separator/>
      </w:r>
    </w:p>
  </w:endnote>
  <w:endnote w:type="continuationSeparator" w:id="0">
    <w:p w14:paraId="52A21AF6" w14:textId="77777777" w:rsidR="00543A25" w:rsidRDefault="00543A25" w:rsidP="00D930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51395" w14:textId="77777777" w:rsidR="00543A25" w:rsidRDefault="00543A25" w:rsidP="00D9304A">
      <w:pPr>
        <w:spacing w:line="240" w:lineRule="auto"/>
      </w:pPr>
      <w:r>
        <w:separator/>
      </w:r>
    </w:p>
  </w:footnote>
  <w:footnote w:type="continuationSeparator" w:id="0">
    <w:p w14:paraId="5FBDDC54" w14:textId="77777777" w:rsidR="00543A25" w:rsidRDefault="00543A25" w:rsidP="00D930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3629977"/>
      <w:docPartObj>
        <w:docPartGallery w:val="Page Numbers (Top of Page)"/>
        <w:docPartUnique/>
      </w:docPartObj>
    </w:sdtPr>
    <w:sdtContent>
      <w:p w14:paraId="0D93976C" w14:textId="071E7A54" w:rsidR="00D9304A" w:rsidRDefault="00D9304A" w:rsidP="00A8034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BCD711" w14:textId="77777777" w:rsidR="00D9304A" w:rsidRDefault="00D9304A" w:rsidP="00D9304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2080590667"/>
      <w:docPartObj>
        <w:docPartGallery w:val="Page Numbers (Top of Page)"/>
        <w:docPartUnique/>
      </w:docPartObj>
    </w:sdtPr>
    <w:sdtContent>
      <w:p w14:paraId="1F10E592" w14:textId="49A8C161" w:rsidR="00D9304A" w:rsidRPr="00D9304A" w:rsidRDefault="00D9304A" w:rsidP="00A80348">
        <w:pPr>
          <w:pStyle w:val="Header"/>
          <w:framePr w:wrap="none" w:vAnchor="text" w:hAnchor="margin" w:xAlign="right" w:y="1"/>
          <w:rPr>
            <w:rStyle w:val="PageNumber"/>
            <w:rFonts w:ascii="Times New Roman" w:hAnsi="Times New Roman" w:cs="Times New Roman"/>
            <w:sz w:val="24"/>
            <w:szCs w:val="24"/>
          </w:rPr>
        </w:pPr>
        <w:r w:rsidRPr="00D9304A">
          <w:rPr>
            <w:rStyle w:val="PageNumber"/>
            <w:rFonts w:ascii="Times New Roman" w:hAnsi="Times New Roman" w:cs="Times New Roman"/>
            <w:sz w:val="24"/>
            <w:szCs w:val="24"/>
          </w:rPr>
          <w:t xml:space="preserve">Crow </w:t>
        </w:r>
        <w:r w:rsidRPr="00D9304A">
          <w:rPr>
            <w:rStyle w:val="PageNumber"/>
            <w:rFonts w:ascii="Times New Roman" w:hAnsi="Times New Roman" w:cs="Times New Roman"/>
            <w:sz w:val="24"/>
            <w:szCs w:val="24"/>
          </w:rPr>
          <w:fldChar w:fldCharType="begin"/>
        </w:r>
        <w:r w:rsidRPr="00D9304A">
          <w:rPr>
            <w:rStyle w:val="PageNumber"/>
            <w:rFonts w:ascii="Times New Roman" w:hAnsi="Times New Roman" w:cs="Times New Roman"/>
            <w:sz w:val="24"/>
            <w:szCs w:val="24"/>
          </w:rPr>
          <w:instrText xml:space="preserve"> PAGE </w:instrText>
        </w:r>
        <w:r w:rsidRPr="00D9304A">
          <w:rPr>
            <w:rStyle w:val="PageNumber"/>
            <w:rFonts w:ascii="Times New Roman" w:hAnsi="Times New Roman" w:cs="Times New Roman"/>
            <w:sz w:val="24"/>
            <w:szCs w:val="24"/>
          </w:rPr>
          <w:fldChar w:fldCharType="separate"/>
        </w:r>
        <w:r w:rsidRPr="00D9304A">
          <w:rPr>
            <w:rStyle w:val="PageNumber"/>
            <w:rFonts w:ascii="Times New Roman" w:hAnsi="Times New Roman" w:cs="Times New Roman"/>
            <w:noProof/>
            <w:sz w:val="24"/>
            <w:szCs w:val="24"/>
          </w:rPr>
          <w:t>1</w:t>
        </w:r>
        <w:r w:rsidRPr="00D9304A">
          <w:rPr>
            <w:rStyle w:val="PageNumber"/>
            <w:rFonts w:ascii="Times New Roman" w:hAnsi="Times New Roman" w:cs="Times New Roman"/>
            <w:sz w:val="24"/>
            <w:szCs w:val="24"/>
          </w:rPr>
          <w:fldChar w:fldCharType="end"/>
        </w:r>
      </w:p>
    </w:sdtContent>
  </w:sdt>
  <w:p w14:paraId="2D0B2180" w14:textId="77777777" w:rsidR="00D9304A" w:rsidRDefault="00D9304A" w:rsidP="00D9304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243B"/>
    <w:multiLevelType w:val="multilevel"/>
    <w:tmpl w:val="5FE65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766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5B"/>
    <w:rsid w:val="00026726"/>
    <w:rsid w:val="000E0D5D"/>
    <w:rsid w:val="00133B7F"/>
    <w:rsid w:val="00140233"/>
    <w:rsid w:val="00264463"/>
    <w:rsid w:val="00284628"/>
    <w:rsid w:val="003633AB"/>
    <w:rsid w:val="003C2F1F"/>
    <w:rsid w:val="004B4750"/>
    <w:rsid w:val="004B490C"/>
    <w:rsid w:val="004F0E22"/>
    <w:rsid w:val="004F37F6"/>
    <w:rsid w:val="00521697"/>
    <w:rsid w:val="00543A25"/>
    <w:rsid w:val="00544D14"/>
    <w:rsid w:val="00667D8D"/>
    <w:rsid w:val="006B4A32"/>
    <w:rsid w:val="006D5B79"/>
    <w:rsid w:val="006E515B"/>
    <w:rsid w:val="00716FBE"/>
    <w:rsid w:val="00872D4D"/>
    <w:rsid w:val="00964073"/>
    <w:rsid w:val="009B2A90"/>
    <w:rsid w:val="009F1BB5"/>
    <w:rsid w:val="00AB7998"/>
    <w:rsid w:val="00B43498"/>
    <w:rsid w:val="00BC7BF4"/>
    <w:rsid w:val="00C43AC7"/>
    <w:rsid w:val="00C624EB"/>
    <w:rsid w:val="00CE2FBC"/>
    <w:rsid w:val="00CF39B0"/>
    <w:rsid w:val="00D66621"/>
    <w:rsid w:val="00D9304A"/>
    <w:rsid w:val="00E84C51"/>
    <w:rsid w:val="00F135E2"/>
    <w:rsid w:val="00F62967"/>
    <w:rsid w:val="00F90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D586"/>
  <w15:chartTrackingRefBased/>
  <w15:docId w15:val="{063C1EB9-B94D-4FAA-934C-CEE564ACB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15B"/>
    <w:pPr>
      <w:spacing w:after="0" w:line="276" w:lineRule="auto"/>
    </w:pPr>
    <w:rPr>
      <w:rFonts w:ascii="Arial" w:eastAsia="Arial" w:hAnsi="Arial" w:cs="Arial"/>
      <w:lang w:val="en"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304A"/>
    <w:pPr>
      <w:tabs>
        <w:tab w:val="center" w:pos="4680"/>
        <w:tab w:val="right" w:pos="9360"/>
      </w:tabs>
      <w:spacing w:line="240" w:lineRule="auto"/>
    </w:pPr>
  </w:style>
  <w:style w:type="character" w:customStyle="1" w:styleId="HeaderChar">
    <w:name w:val="Header Char"/>
    <w:basedOn w:val="DefaultParagraphFont"/>
    <w:link w:val="Header"/>
    <w:uiPriority w:val="99"/>
    <w:rsid w:val="00D9304A"/>
    <w:rPr>
      <w:rFonts w:ascii="Arial" w:eastAsia="Arial" w:hAnsi="Arial" w:cs="Arial"/>
      <w:lang w:val="en" w:eastAsia="en-IE"/>
    </w:rPr>
  </w:style>
  <w:style w:type="character" w:styleId="PageNumber">
    <w:name w:val="page number"/>
    <w:basedOn w:val="DefaultParagraphFont"/>
    <w:uiPriority w:val="99"/>
    <w:semiHidden/>
    <w:unhideWhenUsed/>
    <w:rsid w:val="00D9304A"/>
  </w:style>
  <w:style w:type="paragraph" w:styleId="Footer">
    <w:name w:val="footer"/>
    <w:basedOn w:val="Normal"/>
    <w:link w:val="FooterChar"/>
    <w:uiPriority w:val="99"/>
    <w:unhideWhenUsed/>
    <w:rsid w:val="00D9304A"/>
    <w:pPr>
      <w:tabs>
        <w:tab w:val="center" w:pos="4680"/>
        <w:tab w:val="right" w:pos="9360"/>
      </w:tabs>
      <w:spacing w:line="240" w:lineRule="auto"/>
    </w:pPr>
  </w:style>
  <w:style w:type="character" w:customStyle="1" w:styleId="FooterChar">
    <w:name w:val="Footer Char"/>
    <w:basedOn w:val="DefaultParagraphFont"/>
    <w:link w:val="Footer"/>
    <w:uiPriority w:val="99"/>
    <w:rsid w:val="00D9304A"/>
    <w:rPr>
      <w:rFonts w:ascii="Arial" w:eastAsia="Arial" w:hAnsi="Arial" w:cs="Arial"/>
      <w:lang w:val="en" w:eastAsia="en-IE"/>
    </w:rPr>
  </w:style>
  <w:style w:type="paragraph" w:customStyle="1" w:styleId="p1">
    <w:name w:val="p1"/>
    <w:basedOn w:val="Normal"/>
    <w:rsid w:val="00D9304A"/>
    <w:pPr>
      <w:spacing w:line="240" w:lineRule="auto"/>
    </w:pPr>
    <w:rPr>
      <w:rFonts w:ascii="Times New Roman" w:eastAsia="Times New Roman" w:hAnsi="Times New Roman" w:cs="Times New Roman"/>
      <w:color w:val="000000"/>
      <w:sz w:val="18"/>
      <w:szCs w:val="18"/>
      <w:lang w:val="en-US" w:eastAsia="en-US"/>
    </w:rPr>
  </w:style>
  <w:style w:type="paragraph" w:customStyle="1" w:styleId="p2">
    <w:name w:val="p2"/>
    <w:basedOn w:val="Normal"/>
    <w:rsid w:val="00D9304A"/>
    <w:pPr>
      <w:spacing w:line="240" w:lineRule="auto"/>
    </w:pPr>
    <w:rPr>
      <w:rFonts w:ascii="Times New Roman" w:eastAsia="Times New Roman" w:hAnsi="Times New Roman" w:cs="Times New Roman"/>
      <w:color w:val="386573"/>
      <w:sz w:val="18"/>
      <w:szCs w:val="18"/>
      <w:lang w:val="en-US" w:eastAsia="en-US"/>
    </w:rPr>
  </w:style>
  <w:style w:type="character" w:customStyle="1" w:styleId="s1">
    <w:name w:val="s1"/>
    <w:basedOn w:val="DefaultParagraphFont"/>
    <w:rsid w:val="00D9304A"/>
    <w:rPr>
      <w:color w:val="000000"/>
    </w:rPr>
  </w:style>
  <w:style w:type="table" w:styleId="TableGrid">
    <w:name w:val="Table Grid"/>
    <w:basedOn w:val="TableNormal"/>
    <w:uiPriority w:val="39"/>
    <w:rsid w:val="00BC7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1140</Words>
  <Characters>6277</Characters>
  <Application>Microsoft Office Word</Application>
  <DocSecurity>0</DocSecurity>
  <Lines>129</Lines>
  <Paragraphs>49</Paragraphs>
  <ScaleCrop>false</ScaleCrop>
  <HeadingPairs>
    <vt:vector size="2" baseType="variant">
      <vt:variant>
        <vt:lpstr>Title</vt:lpstr>
      </vt:variant>
      <vt:variant>
        <vt:i4>1</vt:i4>
      </vt:variant>
    </vt:vector>
  </HeadingPairs>
  <TitlesOfParts>
    <vt:vector size="1" baseType="lpstr">
      <vt:lpstr/>
    </vt:vector>
  </TitlesOfParts>
  <Company>University of Notre Dame</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Crow</dc:creator>
  <cp:keywords/>
  <dc:description/>
  <cp:lastModifiedBy>thomas crow</cp:lastModifiedBy>
  <cp:revision>3</cp:revision>
  <dcterms:created xsi:type="dcterms:W3CDTF">2025-12-05T22:53:00Z</dcterms:created>
  <dcterms:modified xsi:type="dcterms:W3CDTF">2025-12-05T23:23:00Z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6664edd2-f4e1-4864-ac9d-bcb5e5aa720a</vt:lpwstr>
  </property>
</Properties>
</file>