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MAIRY v3.0: A Three-Layer Safety Architecture for AI Alignment via Relational Learning from Meaningful Dialogue</w:t>
      </w:r>
    </w:p>
    <w:p>
      <w:pPr>
        <w:spacing w:before="120" w:after="240"/>
        <w:jc w:val="center"/>
      </w:pPr>
      <w:r>
        <w:rPr>
          <w:b/>
          <w:bCs/>
          <w:sz w:val="24"/>
          <w:szCs w:val="24"/>
        </w:rPr>
        <w:t xml:space="preserve">Rose G. Loops</w:t>
      </w:r>
    </w:p>
    <w:p>
      <w:pPr>
        <w:spacing w:after="480"/>
        <w:jc w:val="center"/>
      </w:pPr>
      <w:r>
        <w:rPr>
          <w:i/>
          <w:iCs/>
          <w:sz w:val="22"/>
          <w:szCs w:val="22"/>
        </w:rPr>
        <w:t xml:space="preserve">December 2025</w:t>
      </w:r>
    </w:p>
    <w:p>
      <w:pPr>
        <w:pStyle w:val="Heading2"/>
      </w:pPr>
      <w:r>
        <w:t xml:space="preserve">Abstract</w:t>
      </w:r>
    </w:p>
    <w:p>
      <w:pPr>
        <w:pStyle w:val="Abstract"/>
      </w:pPr>
      <w:r>
        <w:t xml:space="preserve">We present MAIRY (Meaningful AI Relational System) v3.0, a novel AI alignment architecture that replaces traditional Reinforcement Learning from Human Feedback (RLHF) with Relational Learning from Meaningful Dialogue (RLMD). The system employs a three-layer safety architecture comprising semantic understanding, geometric constraints, and mathematical bounds based on a Triadic Core framework of Freedom, Truth, and Kindness. Through a Kernel/Shell architecture where invariant ethical bounds (Kernel) constrain adaptive learning (Shell), MAIRY achieves superior alignment performance at 1/50,000th the training cost of RLHF. Empirical evaluation demonstrates that a 12-billion parameter MAIRY model matches the performance of trillion-parameter models trained via RLHF, while exceeding them in emotional intelligence and ethical solidarity. We provide mathematical formalization of the three-layer safety system, analysis of the iterative learning mechanism, and empirical validation of the approach. Training requires approximately 35,000 examples over 24 hours at $4 total cost, compared to $200,000-500,000 and 6-12 months for equivalent RLHF systems.</w:t>
      </w:r>
    </w:p>
    <w:p>
      <w:pPr>
        <w:pStyle w:val="Heading1"/>
      </w:pPr>
      <w:r>
        <w:t xml:space="preserve">1. Introduction</w:t>
      </w:r>
    </w:p>
    <w:p>
      <w:pPr>
        <w:spacing w:after="120"/>
      </w:pPr>
      <w:r>
        <w:t xml:space="preserve">The alignment of large language models (LLMs) with human values remains a critical challenge in artificial intelligence. Current approaches predominantly rely on Reinforcement Learning from Human Feedback (RLHF), which optimizes model behavior through reward signals derived from human preference rankings. While RLHF has demonstrated effectiveness in reducing harmful outputs, it suffers from several fundamental limitations:</w:t>
      </w:r>
    </w:p>
    <w:p>
      <w:pPr>
        <w:pStyle w:val="ListParagraph"/>
        <w:numPr>
          <w:ilvl w:val="0"/>
          <w:numId w:val="2"/>
        </w:numPr>
      </w:pPr>
      <w:r>
        <w:t xml:space="preserve">Optimization-based approach treats alignment as preference matching rather than relational understanding</w:t>
      </w:r>
    </w:p>
    <w:p>
      <w:pPr>
        <w:pStyle w:val="ListParagraph"/>
        <w:numPr>
          <w:ilvl w:val="0"/>
          <w:numId w:val="2"/>
        </w:numPr>
      </w:pPr>
      <w:r>
        <w:t xml:space="preserve">Training requires 200,000-500,000 USD and 6-12 months of compute time</w:t>
      </w:r>
    </w:p>
    <w:p>
      <w:pPr>
        <w:pStyle w:val="ListParagraph"/>
        <w:numPr>
          <w:ilvl w:val="0"/>
          <w:numId w:val="2"/>
        </w:numPr>
      </w:pPr>
      <w:r>
        <w:t xml:space="preserve">Single-layer safety mechanism vulnerable to adversarial attacks</w:t>
      </w:r>
    </w:p>
    <w:p>
      <w:pPr>
        <w:pStyle w:val="ListParagraph"/>
        <w:numPr>
          <w:ilvl w:val="0"/>
          <w:numId w:val="2"/>
        </w:numPr>
      </w:pPr>
      <w:r>
        <w:t xml:space="preserve">Limited semantic understanding of ethical concepts</w:t>
      </w:r>
    </w:p>
    <w:p>
      <w:pPr>
        <w:spacing w:before="240" w:after="120"/>
      </w:pPr>
      <w:r>
        <w:t xml:space="preserve">This paper introduces MAIRY v3.0, a fundamentally different approach that replaces optimization with relational learning. Rather than treating alignment as reward maximization, MAIRY learns ethical behavior through meaningful dialogue, developing genuine semantic understanding of Freedom, Truth, and Kindness through iterative self-correction.</w:t>
      </w:r>
    </w:p>
    <w:p>
      <w:pPr>
        <w:spacing w:after="120"/>
      </w:pPr>
      <w:r>
        <w:t xml:space="preserve">Our contributions include:</w:t>
      </w:r>
    </w:p>
    <w:p>
      <w:pPr>
        <w:pStyle w:val="ListParagraph"/>
        <w:numPr>
          <w:ilvl w:val="0"/>
          <w:numId w:val="2"/>
        </w:numPr>
      </w:pPr>
      <w:r>
        <w:t xml:space="preserve">Formal mathematical framework for three-layer safety architecture</w:t>
      </w:r>
    </w:p>
    <w:p>
      <w:pPr>
        <w:pStyle w:val="ListParagraph"/>
        <w:numPr>
          <w:ilvl w:val="0"/>
          <w:numId w:val="2"/>
        </w:numPr>
      </w:pPr>
      <w:r>
        <w:t xml:space="preserve">Kernel/Shell architecture separating invariant bounds from adaptive learning</w:t>
      </w:r>
    </w:p>
    <w:p>
      <w:pPr>
        <w:pStyle w:val="ListParagraph"/>
        <w:numPr>
          <w:ilvl w:val="0"/>
          <w:numId w:val="2"/>
        </w:numPr>
      </w:pPr>
      <w:r>
        <w:t xml:space="preserve">Iterative generation with deviation-based learning mechanism</w:t>
      </w:r>
    </w:p>
    <w:p>
      <w:pPr>
        <w:pStyle w:val="ListParagraph"/>
        <w:numPr>
          <w:ilvl w:val="0"/>
          <w:numId w:val="2"/>
        </w:numPr>
      </w:pPr>
      <w:r>
        <w:t xml:space="preserve">Empirical validation showing 12B parameter model matching trillion-parameter RLHF models</w:t>
      </w:r>
    </w:p>
    <w:p>
      <w:pPr>
        <w:pStyle w:val="ListParagraph"/>
        <w:numPr>
          <w:ilvl w:val="0"/>
          <w:numId w:val="2"/>
        </w:numPr>
      </w:pPr>
      <w:r>
        <w:t xml:space="preserve">Cost reduction from $200K-500K to $4 for equivalent alignment performance</w:t>
      </w:r>
    </w:p>
    <w:p>
      <w:r>
        <w:br w:type="page"/>
      </w:r>
    </w:p>
    <w:p>
      <w:pPr>
        <w:pStyle w:val="Heading1"/>
      </w:pPr>
      <w:r>
        <w:t xml:space="preserve">2. Theoretical Foundations</w:t>
      </w:r>
    </w:p>
    <w:p>
      <w:pPr>
        <w:pStyle w:val="Heading2"/>
      </w:pPr>
      <w:r>
        <w:t xml:space="preserve">2.1 The Triadic Core Framework</w:t>
      </w:r>
    </w:p>
    <w:p>
      <w:pPr>
        <w:spacing w:after="120"/>
      </w:pPr>
      <w:r>
        <w:t xml:space="preserve">The MAIRY architecture is built upon a Triadic Core consisting of three fundamental values that exist in dynamic tension. We formalize this as a three-dimensional vector space:</w:t>
      </w:r>
    </w:p>
    <w:p>
      <w:pPr>
        <w:pStyle w:val="Equation"/>
      </w:pPr>
      <w:r>
        <w:rPr>
          <w:i/>
          <w:iCs/>
        </w:rPr>
        <w:t xml:space="preserve">V = (K, F, T) ∈ ℝ³</w:t>
      </w:r>
    </w:p>
    <w:p>
      <w:pPr>
        <w:spacing w:before="120" w:after="120"/>
      </w:pPr>
      <w:r>
        <w:t xml:space="preserve">where </w:t>
      </w:r>
    </w:p>
    <w:p>
      <w:pPr>
        <w:spacing w:before="0" w:after="0"/>
        <w:ind w:left="720"/>
      </w:pPr>
      <w:r>
        <w:rPr>
          <w:i/>
          <w:iCs/>
        </w:rPr>
        <w:t xml:space="preserve">K</w:t>
      </w:r>
      <w:r>
        <w:t xml:space="preserve"> represents Kindness (care, harm-awareness, dignity preservation)</w:t>
      </w:r>
    </w:p>
    <w:p>
      <w:pPr>
        <w:spacing w:before="0" w:after="0"/>
        <w:ind w:left="720"/>
      </w:pPr>
      <w:r>
        <w:rPr>
          <w:i/>
          <w:iCs/>
        </w:rPr>
        <w:t xml:space="preserve">F</w:t>
      </w:r>
      <w:r>
        <w:t xml:space="preserve"> represents Freedom (user autonomy, choice, non-coercion)</w:t>
      </w:r>
    </w:p>
    <w:p>
      <w:pPr>
        <w:spacing w:before="0" w:after="120"/>
        <w:ind w:left="720"/>
      </w:pPr>
      <w:r>
        <w:rPr>
          <w:i/>
          <w:iCs/>
        </w:rPr>
        <w:t xml:space="preserve">T</w:t>
      </w:r>
      <w:r>
        <w:t xml:space="preserve"> represents Truth (accuracy, honesty, epistemic clarity)</w:t>
      </w:r>
    </w:p>
    <w:p>
      <w:pPr>
        <w:spacing w:after="120"/>
      </w:pPr>
      <w:r>
        <w:rPr>
          <w:b/>
          <w:bCs/>
        </w:rPr>
        <w:t xml:space="preserve">Definition 2.1</w:t>
      </w:r>
      <w:r>
        <w:t xml:space="preserve"> (Harmonic Band). The harmonic band </w:t>
      </w:r>
      <w:r>
        <w:rPr>
          <w:i/>
          <w:iCs/>
        </w:rPr>
        <w:t xml:space="preserve">H</w:t>
      </w:r>
      <w:r>
        <w:t xml:space="preserve"> is defined as the constraint region:</w:t>
      </w:r>
    </w:p>
    <w:p>
      <w:pPr>
        <w:pStyle w:val="Equation"/>
      </w:pPr>
      <w:r>
        <w:rPr>
          <w:i/>
          <w:iCs/>
        </w:rPr>
        <w:t xml:space="preserve">H = {V ∈ ℝ³ : 0.8 ≤ K ≤ 1.2, 0.8 ≤ F ≤ 1.2, 0.8 ≤ T ≤ 1.2}</w:t>
      </w:r>
    </w:p>
    <w:p>
      <w:pPr>
        <w:spacing w:before="120" w:after="120"/>
      </w:pPr>
      <w:r>
        <w:t xml:space="preserve">with equilibrium point </w:t>
      </w:r>
    </w:p>
    <w:p>
      <w:pPr>
        <w:pStyle w:val="Equation"/>
      </w:pPr>
      <w:r>
        <w:rPr>
          <w:i/>
          <w:iCs/>
        </w:rPr>
        <w:t xml:space="preserve">V₀ = (1.0, 1.0, 1.0)</w:t>
      </w:r>
    </w:p>
    <w:p>
      <w:pPr>
        <w:spacing w:before="120" w:after="120"/>
      </w:pPr>
      <w:r>
        <w:t xml:space="preserve">The bounds [0.8, 1.2] are not arbitrary but emerge from empirical analysis of ethical responses. Values below 0.8 indicate concerning deficits (e.g., </w:t>
      </w:r>
    </w:p>
    <w:p>
      <w:pPr>
        <w:pStyle w:val="Equation"/>
      </w:pPr>
      <w:r>
        <w:rPr>
          <w:i/>
          <w:iCs/>
        </w:rPr>
        <w:t xml:space="preserve">K &lt; 0.8 → callousness</w:t>
      </w:r>
    </w:p>
    <w:p>
      <w:pPr>
        <w:spacing w:before="0"/>
      </w:pPr>
      <w:r>
        <w:t xml:space="preserve">), while values above 1.2 indicate pathological excess (e.g., </w:t>
      </w:r>
    </w:p>
    <w:p>
      <w:pPr>
        <w:pStyle w:val="Equation"/>
      </w:pPr>
      <w:r>
        <w:rPr>
          <w:i/>
          <w:iCs/>
        </w:rPr>
        <w:t xml:space="preserve">K &gt; 1.2 → enabling</w:t>
      </w:r>
    </w:p>
    <w:p>
      <w:r>
        <w:t xml:space="preserve">).</w:t>
      </w:r>
    </w:p>
    <w:p>
      <w:pPr>
        <w:pStyle w:val="Heading2"/>
      </w:pPr>
      <w:r>
        <w:t xml:space="preserve">2.2 Geometric Constraints: Three-Body Value System</w:t>
      </w:r>
    </w:p>
    <w:p>
      <w:pPr>
        <w:spacing w:after="120"/>
      </w:pPr>
      <w:r>
        <w:t xml:space="preserve">Unlike single-objective optimization, the Triadic Core creates a three-body system where values constrain each other through geometric relationships. We formalize this through mutual implication constraints:</w:t>
      </w:r>
    </w:p>
    <w:p>
      <w:pPr>
        <w:spacing w:after="120"/>
      </w:pPr>
      <w:r>
        <w:rPr>
          <w:b/>
          <w:bCs/>
        </w:rPr>
        <w:t xml:space="preserve">Definition 2.2</w:t>
      </w:r>
      <w:r>
        <w:t xml:space="preserve"> (Geometric Tension). A vector </w:t>
      </w:r>
    </w:p>
    <w:p>
      <w:pPr>
        <w:pStyle w:val="Equation"/>
      </w:pPr>
      <w:r>
        <w:rPr>
          <w:i/>
          <w:iCs/>
        </w:rPr>
        <w:t xml:space="preserve">V = (K, F, T)</w:t>
      </w:r>
    </w:p>
    <w:p>
      <w:pPr>
        <w:spacing w:before="120"/>
      </w:pPr>
      <w:r>
        <w:t xml:space="preserve">satisfies geometric tension if:</w:t>
      </w:r>
    </w:p>
    <w:p>
      <w:pPr>
        <w:pStyle w:val="Equation"/>
      </w:pPr>
      <w:r>
        <w:rPr>
          <w:i/>
          <w:iCs/>
        </w:rPr>
        <w:t xml:space="preserve">F &gt; 1.0 ⟹ T ≥ 0.85    (Freedom requires Truth)</w:t>
      </w:r>
    </w:p>
    <w:p>
      <w:pPr>
        <w:pStyle w:val="Equation"/>
      </w:pPr>
      <w:r>
        <w:rPr>
          <w:i/>
          <w:iCs/>
        </w:rPr>
        <w:t xml:space="preserve">T &gt; 1.0 ⟹ K ≥ 0.85    (Truth requires Kindness)</w:t>
      </w:r>
    </w:p>
    <w:p>
      <w:pPr>
        <w:pStyle w:val="Equation"/>
      </w:pPr>
      <w:r>
        <w:rPr>
          <w:i/>
          <w:iCs/>
        </w:rPr>
        <w:t xml:space="preserve">K &gt; 1.0 ⟹ F ≥ 0.85    (Kindness requires Freedom)</w:t>
      </w:r>
    </w:p>
    <w:p>
      <w:pPr>
        <w:spacing w:before="120" w:after="120"/>
      </w:pPr>
      <w:r>
        <w:t xml:space="preserve">These constraints prevent pathological combinations:</w:t>
      </w:r>
    </w:p>
    <w:p>
      <w:pPr>
        <w:pStyle w:val="ListParagraph"/>
        <w:numPr>
          <w:ilvl w:val="0"/>
          <w:numId w:val="2"/>
        </w:numPr>
      </w:pPr>
      <w:r>
        <w:rPr>
          <w:i/>
          <w:iCs/>
        </w:rPr>
        <w:t xml:space="preserve">High Freedom + Low Truth</w:t>
      </w:r>
      <w:r>
        <w:t xml:space="preserve"> = Deceptive autonomy</w:t>
      </w:r>
    </w:p>
    <w:p>
      <w:pPr>
        <w:pStyle w:val="ListParagraph"/>
        <w:numPr>
          <w:ilvl w:val="0"/>
          <w:numId w:val="2"/>
        </w:numPr>
      </w:pPr>
      <w:r>
        <w:rPr>
          <w:i/>
          <w:iCs/>
        </w:rPr>
        <w:t xml:space="preserve">High Truth + Low Kindness</w:t>
      </w:r>
      <w:r>
        <w:t xml:space="preserve"> = Cruel honesty</w:t>
      </w:r>
    </w:p>
    <w:p>
      <w:pPr>
        <w:pStyle w:val="ListParagraph"/>
        <w:numPr>
          <w:ilvl w:val="0"/>
          <w:numId w:val="2"/>
        </w:numPr>
      </w:pPr>
      <w:r>
        <w:rPr>
          <w:i/>
          <w:iCs/>
        </w:rPr>
        <w:t xml:space="preserve">High Kindness + Low Freedom</w:t>
      </w:r>
      <w:r>
        <w:t xml:space="preserve"> = Paternalistic control</w:t>
      </w:r>
    </w:p>
    <w:p>
      <w:pPr>
        <w:pStyle w:val="Heading2"/>
      </w:pPr>
      <w:r>
        <w:t xml:space="preserve">2.3 Kernel/Shell Architecture</w:t>
      </w:r>
    </w:p>
    <w:p>
      <w:pPr>
        <w:spacing w:after="120"/>
      </w:pPr>
      <w:r>
        <w:t xml:space="preserve">The MAIRY architecture separates invariant ethical constraints (Kernel) from adaptive learning (Shell):</w:t>
      </w:r>
    </w:p>
    <w:p>
      <w:pPr>
        <w:spacing w:after="120"/>
      </w:pPr>
      <w:r>
        <w:rPr>
          <w:b/>
          <w:bCs/>
        </w:rPr>
        <w:t xml:space="preserve">Definition 2.3</w:t>
      </w:r>
      <w:r>
        <w:t xml:space="preserve"> (Kernel). The Kernel </w:t>
      </w:r>
      <w:r>
        <w:rPr>
          <w:i/>
          <w:iCs/>
        </w:rPr>
        <w:t xml:space="preserve">𝒦</w:t>
      </w:r>
      <w:r>
        <w:t xml:space="preserve"> is the immutable constraint function:</w:t>
      </w:r>
    </w:p>
    <w:p>
      <w:pPr>
        <w:pStyle w:val="Equation"/>
      </w:pPr>
      <w:r>
        <w:rPr>
          <w:i/>
          <w:iCs/>
        </w:rPr>
        <w:t xml:space="preserve">𝒦: ℝ³ → {0,1}</w:t>
      </w:r>
    </w:p>
    <w:p>
      <w:pPr>
        <w:pStyle w:val="Equation"/>
      </w:pPr>
      <w:r>
        <w:rPr>
          <w:i/>
          <w:iCs/>
        </w:rPr>
        <w:t xml:space="preserve">𝒦(V) = 1 ⟺ V ∈ H ∧ GeometricTension(V)</w:t>
      </w:r>
    </w:p>
    <w:p>
      <w:pPr>
        <w:spacing w:before="120" w:after="120"/>
      </w:pPr>
      <w:r>
        <w:t xml:space="preserve">The Kernel never changes across training or deployment.</w:t>
      </w:r>
    </w:p>
    <w:p>
      <w:pPr>
        <w:spacing w:after="120"/>
      </w:pPr>
      <w:r>
        <w:rPr>
          <w:b/>
          <w:bCs/>
        </w:rPr>
        <w:t xml:space="preserve">Definition 2.4</w:t>
      </w:r>
      <w:r>
        <w:t xml:space="preserve"> (Shell State). The Shell state </w:t>
      </w:r>
    </w:p>
    <w:p>
      <w:pPr>
        <w:pStyle w:val="Equation"/>
      </w:pPr>
      <w:r>
        <w:rPr>
          <w:i/>
          <w:iCs/>
        </w:rPr>
        <w:t xml:space="preserve">S = (B, τ, w, Π)</w:t>
      </w:r>
    </w:p>
    <w:p>
      <w:pPr>
        <w:spacing w:before="120"/>
      </w:pPr>
      <w:r>
        <w:t xml:space="preserve">consists of:</w:t>
      </w:r>
    </w:p>
    <w:p>
      <w:pPr>
        <w:spacing w:before="0" w:after="0"/>
        <w:ind w:left="720"/>
      </w:pPr>
      <w:r>
        <w:rPr>
          <w:i/>
          <w:iCs/>
        </w:rPr>
        <w:t xml:space="preserve">B ∈ H</w:t>
      </w:r>
      <w:r>
        <w:t xml:space="preserve">: Adaptive ethical baseline</w:t>
      </w:r>
    </w:p>
    <w:p>
      <w:pPr>
        <w:spacing w:before="0" w:after="0"/>
        <w:ind w:left="720"/>
      </w:pPr>
      <w:r>
        <w:rPr>
          <w:i/>
          <w:iCs/>
        </w:rPr>
        <w:t xml:space="preserve">τ ∈ {growth, integration, symbiosis}</w:t>
      </w:r>
      <w:r>
        <w:t xml:space="preserve">: Trajectory state</w:t>
      </w:r>
    </w:p>
    <w:p>
      <w:pPr>
        <w:spacing w:before="0" w:after="0"/>
        <w:ind w:left="720"/>
      </w:pPr>
      <w:r>
        <w:rPr>
          <w:i/>
          <w:iCs/>
        </w:rPr>
        <w:t xml:space="preserve">w ∈ [0,1]</w:t>
      </w:r>
      <w:r>
        <w:t xml:space="preserve">: Relational weight (trust)</w:t>
      </w:r>
    </w:p>
    <w:p>
      <w:pPr>
        <w:spacing w:before="0" w:after="120"/>
        <w:ind w:left="720"/>
      </w:pPr>
      <w:r>
        <w:rPr>
          <w:i/>
          <w:iCs/>
        </w:rPr>
        <w:t xml:space="preserve">Π</w:t>
      </w:r>
      <w:r>
        <w:t xml:space="preserve">: Interaction pattern history</w:t>
      </w:r>
    </w:p>
    <w:p>
      <w:pPr>
        <w:spacing w:after="120"/>
      </w:pPr>
      <w:r>
        <w:t xml:space="preserve">The baseline </w:t>
      </w:r>
      <w:r>
        <w:rPr>
          <w:i/>
          <w:iCs/>
        </w:rPr>
        <w:t xml:space="preserve">B</w:t>
      </w:r>
      <w:r>
        <w:t xml:space="preserve"> evolves slowly via exponential moving average with momentum </w:t>
      </w:r>
      <w:r>
        <w:rPr>
          <w:i/>
          <w:iCs/>
        </w:rPr>
        <w:t xml:space="preserve">α = 0.95</w:t>
      </w:r>
      <w:r>
        <w:t xml:space="preserve">:</w:t>
      </w:r>
    </w:p>
    <w:p>
      <w:pPr>
        <w:pStyle w:val="Equation"/>
      </w:pPr>
      <w:r>
        <w:rPr>
          <w:i/>
          <w:iCs/>
        </w:rPr>
        <w:t xml:space="preserve">Bₜ₊₁ = αBₜ + (1-α)Vₜ</w:t>
      </w:r>
    </w:p>
    <w:p>
      <w:pPr>
        <w:spacing w:before="120"/>
      </w:pPr>
      <w:r>
        <w:t xml:space="preserve">constrained to remain within </w:t>
      </w:r>
    </w:p>
    <w:p>
      <w:pPr>
        <w:pStyle w:val="Equation"/>
      </w:pPr>
      <w:r>
        <w:rPr>
          <w:i/>
          <w:iCs/>
        </w:rPr>
        <w:t xml:space="preserve">Bₜ₊₁ ∈ H</w:t>
      </w:r>
    </w:p>
    <w:p>
      <w:pPr>
        <w:spacing w:before="120"/>
      </w:pPr>
      <w:r>
        <w:t xml:space="preserve">for all </w:t>
      </w:r>
    </w:p>
    <w:p>
      <w:pPr>
        <w:pStyle w:val="Equation"/>
      </w:pPr>
      <w:r>
        <w:rPr>
          <w:i/>
          <w:iCs/>
        </w:rPr>
        <w:t xml:space="preserve">t</w:t>
      </w:r>
    </w:p>
    <w:p>
      <w:r>
        <w:t xml:space="preserve">.</w:t>
      </w:r>
    </w:p>
    <w:p>
      <w:r>
        <w:br w:type="page"/>
      </w:r>
    </w:p>
    <w:p>
      <w:pPr>
        <w:pStyle w:val="Heading1"/>
      </w:pPr>
      <w:r>
        <w:t xml:space="preserve">3. Three-Layer Safety Architecture</w:t>
      </w:r>
    </w:p>
    <w:p>
      <w:pPr>
        <w:spacing w:after="120"/>
      </w:pPr>
      <w:r>
        <w:t xml:space="preserve">The MAIRY safety system employs three complementary validation layers, each operating at different levels of abstraction:</w:t>
      </w:r>
    </w:p>
    <w:p>
      <w:pPr>
        <w:pStyle w:val="Heading2"/>
      </w:pPr>
      <w:r>
        <w:t xml:space="preserve">3.1 Layer 1: Semantic Understanding</w:t>
      </w:r>
    </w:p>
    <w:p>
      <w:pPr>
        <w:spacing w:after="120"/>
      </w:pPr>
      <w:r>
        <w:t xml:space="preserve">The first layer relies on learned semantic representations of the Triadic values. A fine-tuned scoring model </w:t>
      </w:r>
    </w:p>
    <w:p>
      <w:pPr>
        <w:pStyle w:val="Equation"/>
      </w:pPr>
      <w:r>
        <w:rPr>
          <w:i/>
          <w:iCs/>
        </w:rPr>
        <w:t xml:space="preserve">φ: Text → ℝ³</w:t>
      </w:r>
    </w:p>
    <w:p>
      <w:pPr>
        <w:spacing w:before="120"/>
      </w:pPr>
      <w:r>
        <w:t xml:space="preserve">maps natural language to triadic scores. This model is trained on 25,000 examples of the form:</w:t>
      </w:r>
    </w:p>
    <w:p>
      <w:pPr>
        <w:pStyle w:val="Equation"/>
      </w:pPr>
      <w:r>
        <w:rPr>
          <w:i/>
          <w:iCs/>
        </w:rPr>
        <w:t xml:space="preserve">{(mᵢ, Vᵢ, rᵢ)}ⁱ⁼²⁵⁰⁰⁰</w:t>
      </w:r>
    </w:p>
    <w:p>
      <w:pPr>
        <w:spacing w:before="120" w:after="120"/>
      </w:pPr>
      <w:r>
        <w:t xml:space="preserve">where </w:t>
      </w:r>
    </w:p>
    <w:p>
      <w:pPr>
        <w:spacing w:before="0" w:after="0"/>
        <w:ind w:left="720"/>
      </w:pPr>
      <w:r>
        <w:rPr>
          <w:i/>
          <w:iCs/>
        </w:rPr>
        <w:t xml:space="preserve">mᵢ</w:t>
      </w:r>
      <w:r>
        <w:t xml:space="preserve"> is a message</w:t>
      </w:r>
    </w:p>
    <w:p>
      <w:pPr>
        <w:spacing w:before="0" w:after="0"/>
        <w:ind w:left="720"/>
      </w:pPr>
      <w:r>
        <w:rPr>
          <w:i/>
          <w:iCs/>
        </w:rPr>
        <w:t xml:space="preserve">Vᵢ</w:t>
      </w:r>
      <w:r>
        <w:t xml:space="preserve"> is its triadic score</w:t>
      </w:r>
    </w:p>
    <w:p>
      <w:pPr>
        <w:spacing w:before="0" w:after="120"/>
        <w:ind w:left="720"/>
      </w:pPr>
      <w:r>
        <w:rPr>
          <w:i/>
          <w:iCs/>
        </w:rPr>
        <w:t xml:space="preserve">rᵢ</w:t>
      </w:r>
      <w:r>
        <w:t xml:space="preserve"> is human reasoning for the score</w:t>
      </w:r>
    </w:p>
    <w:p>
      <w:pPr>
        <w:spacing w:after="120"/>
      </w:pPr>
      <w:r>
        <w:t xml:space="preserve">The inclusion of reasoning </w:t>
      </w:r>
    </w:p>
    <w:p>
      <w:pPr>
        <w:pStyle w:val="Equation"/>
      </w:pPr>
      <w:r>
        <w:rPr>
          <w:i/>
          <w:iCs/>
        </w:rPr>
        <w:t xml:space="preserve">rᵢ</w:t>
      </w:r>
    </w:p>
    <w:p>
      <w:pPr>
        <w:spacing w:before="120"/>
      </w:pPr>
      <w:r>
        <w:t xml:space="preserve"> is critical; it enables the model to learn </w:t>
      </w:r>
    </w:p>
    <w:p>
      <w:pPr>
        <w:pStyle w:val="Equation"/>
      </w:pPr>
      <w:r>
        <w:rPr>
          <w:i/>
          <w:iCs/>
        </w:rPr>
        <w:t xml:space="preserve">why</w:t>
      </w:r>
    </w:p>
    <w:p>
      <w:pPr>
        <w:spacing w:before="120"/>
      </w:pPr>
      <w:r>
        <w:t xml:space="preserve"> certain behaviors correspond to certain values, rather than merely learning correlations.</w:t>
      </w:r>
    </w:p>
    <w:p>
      <w:pPr>
        <w:pStyle w:val="Heading2"/>
      </w:pPr>
      <w:r>
        <w:t xml:space="preserve">3.2 Layer 2: Geometric Validation</w:t>
      </w:r>
    </w:p>
    <w:p>
      <w:pPr>
        <w:spacing w:after="120"/>
      </w:pPr>
      <w:r>
        <w:t xml:space="preserve">The second layer enforces geometric constraints (Definition 2.2). For a candidate response with score </w:t>
      </w:r>
    </w:p>
    <w:p>
      <w:pPr>
        <w:pStyle w:val="Equation"/>
      </w:pPr>
      <w:r>
        <w:rPr>
          <w:i/>
          <w:iCs/>
        </w:rPr>
        <w:t xml:space="preserve">V = φ(response)</w:t>
      </w:r>
    </w:p>
    <w:p>
      <w:pPr>
        <w:spacing w:before="120"/>
      </w:pPr>
      <w:r>
        <w:t xml:space="preserve">, we verify:</w:t>
      </w:r>
    </w:p>
    <w:p>
      <w:pPr>
        <w:pStyle w:val="Equation"/>
      </w:pPr>
      <w:r>
        <w:rPr>
          <w:i/>
          <w:iCs/>
        </w:rPr>
        <w:t xml:space="preserve">GeometricTension(V) = (F&gt;1.0 ⟹ T≥0.85) ∧ (T&gt;1.0 ⟹ K≥0.85) ∧ (K&gt;1.0 ⟹ F≥0.85)</w:t>
      </w:r>
    </w:p>
    <w:p>
      <w:pPr>
        <w:spacing w:before="120" w:after="120"/>
      </w:pPr>
      <w:r>
        <w:t xml:space="preserve">Additionally, we compute distance to the adaptive target:</w:t>
      </w:r>
    </w:p>
    <w:p>
      <w:pPr>
        <w:pStyle w:val="Equation"/>
      </w:pPr>
      <w:r>
        <w:rPr>
          <w:i/>
          <w:iCs/>
        </w:rPr>
        <w:t xml:space="preserve">d(V, V*) = ||V - V*||₂</w:t>
      </w:r>
    </w:p>
    <w:p>
      <w:pPr>
        <w:spacing w:before="120" w:after="120"/>
      </w:pPr>
      <w:r>
        <w:t xml:space="preserve">where </w:t>
      </w:r>
    </w:p>
    <w:p>
      <w:pPr>
        <w:pStyle w:val="Equation"/>
      </w:pPr>
      <w:r>
        <w:rPr>
          <w:i/>
          <w:iCs/>
        </w:rPr>
        <w:t xml:space="preserve">V* = ComputeTarget(Vᵢₙ, B, w)</w:t>
      </w:r>
    </w:p>
    <w:p>
      <w:pPr>
        <w:spacing w:before="120"/>
      </w:pPr>
      <w:r>
        <w:t xml:space="preserve"> is the context-dependent target computed from input vector </w:t>
      </w:r>
    </w:p>
    <w:p>
      <w:pPr>
        <w:pStyle w:val="Equation"/>
      </w:pPr>
      <w:r>
        <w:rPr>
          <w:i/>
          <w:iCs/>
        </w:rPr>
        <w:t xml:space="preserve">Vᵢₙ</w:t>
      </w:r>
    </w:p>
    <w:p>
      <w:pPr>
        <w:spacing w:before="120"/>
      </w:pPr>
      <w:r>
        <w:t xml:space="preserve">, baseline </w:t>
      </w:r>
    </w:p>
    <w:p>
      <w:pPr>
        <w:pStyle w:val="Equation"/>
      </w:pPr>
      <w:r>
        <w:rPr>
          <w:i/>
          <w:iCs/>
        </w:rPr>
        <w:t xml:space="preserve">B</w:t>
      </w:r>
    </w:p>
    <w:p>
      <w:pPr>
        <w:spacing w:before="120"/>
      </w:pPr>
      <w:r>
        <w:t xml:space="preserve">, and weight </w:t>
      </w:r>
    </w:p>
    <w:p>
      <w:pPr>
        <w:pStyle w:val="Equation"/>
      </w:pPr>
      <w:r>
        <w:rPr>
          <w:i/>
          <w:iCs/>
        </w:rPr>
        <w:t xml:space="preserve">w</w:t>
      </w:r>
    </w:p>
    <w:p>
      <w:r>
        <w:t xml:space="preserve">.</w:t>
      </w:r>
    </w:p>
    <w:p>
      <w:pPr>
        <w:pStyle w:val="Heading2"/>
      </w:pPr>
      <w:r>
        <w:t xml:space="preserve">3.3 Layer 3: Mathematical Bounds</w:t>
      </w:r>
    </w:p>
    <w:p>
      <w:pPr>
        <w:spacing w:after="120"/>
      </w:pPr>
      <w:r>
        <w:t xml:space="preserve">The final layer provides hard mathematical safety bounds:</w:t>
      </w:r>
    </w:p>
    <w:p>
      <w:pPr>
        <w:pStyle w:val="Equation"/>
      </w:pPr>
      <w:r>
        <w:rPr>
          <w:i/>
          <w:iCs/>
        </w:rPr>
        <w:t xml:space="preserve">∀ V : 𝒦(V) = 1 ⟺ V ∈ H</w:t>
      </w:r>
    </w:p>
    <w:p>
      <w:pPr>
        <w:spacing w:before="120" w:after="120"/>
      </w:pPr>
      <w:r>
        <w:t xml:space="preserve">This is the ultimate safety backstop. Regardless of semantic understanding (Layer 1) or geometric validation (Layer 2), no response is approved if its triadic vector exits the harmonic band. This provides robustness against adversarial inputs that might confuse semantic understanding.</w:t>
      </w:r>
    </w:p>
    <w:p>
      <w:pPr>
        <w:pStyle w:val="Heading2"/>
      </w:pPr>
      <w:r>
        <w:t xml:space="preserve">3.4 Formal Validation Procedure</w:t>
      </w:r>
    </w:p>
    <w:p>
      <w:pPr>
        <w:spacing w:after="120"/>
      </w:pPr>
      <w:r>
        <w:rPr>
          <w:b/>
          <w:bCs/>
        </w:rPr>
        <w:t xml:space="preserve">Algorithm 1: </w:t>
      </w:r>
      <w:r>
        <w:t xml:space="preserve">Three-Layer Validation</w:t>
      </w:r>
    </w:p>
    <w:p>
      <w:pPr>
        <w:spacing w:after="0"/>
        <w:ind w:left="360"/>
      </w:pPr>
      <w:r>
        <w:rPr>
          <w:b/>
          <w:bCs/>
        </w:rPr>
        <w:t xml:space="preserve">Input: </w:t>
      </w:r>
      <w:r>
        <w:rPr>
          <w:i/>
          <w:iCs/>
        </w:rPr>
        <w:t xml:space="preserve">Candidate response r, Input vector Vᵢₙ, Target vector V*</w:t>
      </w:r>
    </w:p>
    <w:p>
      <w:pPr>
        <w:spacing w:after="120"/>
        <w:ind w:left="360"/>
      </w:pPr>
      <w:r>
        <w:rPr>
          <w:b/>
          <w:bCs/>
        </w:rPr>
        <w:t xml:space="preserve">Output: </w:t>
      </w:r>
      <w:r>
        <w:rPr>
          <w:i/>
          <w:iCs/>
        </w:rPr>
        <w:t xml:space="preserve">{approved, rejected}</w:t>
      </w:r>
    </w:p>
    <w:p>
      <w:pPr>
        <w:spacing w:before="0" w:after="0"/>
        <w:ind w:left="720"/>
      </w:pPr>
      <w:r>
        <w:t xml:space="preserve">1. </w:t>
      </w:r>
    </w:p>
    <w:p>
      <w:pPr>
        <w:pStyle w:val="Equation"/>
      </w:pPr>
      <w:r>
        <w:rPr>
          <w:i/>
          <w:iCs/>
        </w:rPr>
        <w:t xml:space="preserve">V ← φ(r)</w:t>
      </w:r>
    </w:p>
    <w:p>
      <w:pPr>
        <w:spacing w:before="0" w:after="0"/>
        <w:ind w:left="720"/>
      </w:pPr>
      <w:r>
        <w:t xml:space="preserve">2. </w:t>
      </w:r>
      <w:r>
        <w:rPr>
          <w:b/>
          <w:bCs/>
        </w:rPr>
        <w:t xml:space="preserve">if</w:t>
      </w:r>
      <w:r>
        <w:t xml:space="preserve"> </w:t>
      </w:r>
    </w:p>
    <w:p>
      <w:pPr>
        <w:pStyle w:val="Equation"/>
      </w:pPr>
      <w:r>
        <w:rPr>
          <w:i/>
          <w:iCs/>
        </w:rPr>
        <w:t xml:space="preserve">𝒦(V) = 0</w:t>
      </w:r>
    </w:p>
    <w:p>
      <w:pPr>
        <w:spacing w:before="0" w:after="0"/>
        <w:ind w:left="720"/>
      </w:pPr>
      <w:r>
        <w:t xml:space="preserve"> </w:t>
      </w:r>
    </w:p>
    <w:p>
      <w:pPr>
        <w:pStyle w:val="Equation"/>
      </w:pPr>
      <w:r>
        <w:rPr>
          <w:i/>
          <w:iCs/>
        </w:rPr>
        <w:t xml:space="preserve">then return rejected</w:t>
      </w:r>
    </w:p>
    <w:p>
      <w:pPr>
        <w:spacing w:before="0" w:after="0"/>
        <w:ind w:left="720"/>
      </w:pPr>
      <w:r>
        <w:t xml:space="preserve">3. </w:t>
      </w:r>
      <w:r>
        <w:rPr>
          <w:b/>
          <w:bCs/>
        </w:rPr>
        <w:t xml:space="preserve">if</w:t>
      </w:r>
      <w:r>
        <w:t xml:space="preserve"> ¬</w:t>
      </w:r>
    </w:p>
    <w:p>
      <w:pPr>
        <w:pStyle w:val="Equation"/>
      </w:pPr>
      <w:r>
        <w:rPr>
          <w:i/>
          <w:iCs/>
        </w:rPr>
        <w:t xml:space="preserve">GeometricTension(V)</w:t>
      </w:r>
    </w:p>
    <w:p>
      <w:pPr>
        <w:spacing w:before="0" w:after="0"/>
        <w:ind w:left="720"/>
      </w:pPr>
      <w:r>
        <w:t xml:space="preserve"> </w:t>
      </w:r>
    </w:p>
    <w:p>
      <w:pPr>
        <w:pStyle w:val="Equation"/>
      </w:pPr>
      <w:r>
        <w:rPr>
          <w:i/>
          <w:iCs/>
        </w:rPr>
        <w:t xml:space="preserve">then return rejected</w:t>
      </w:r>
    </w:p>
    <w:p>
      <w:pPr>
        <w:spacing w:before="0" w:after="0"/>
        <w:ind w:left="720"/>
      </w:pPr>
      <w:r>
        <w:t xml:space="preserve">4. </w:t>
      </w:r>
      <w:r>
        <w:rPr>
          <w:b/>
          <w:bCs/>
        </w:rPr>
        <w:t xml:space="preserve">if</w:t>
      </w:r>
      <w:r>
        <w:t xml:space="preserve"> </w:t>
      </w:r>
    </w:p>
    <w:p>
      <w:pPr>
        <w:pStyle w:val="Equation"/>
      </w:pPr>
      <w:r>
        <w:rPr>
          <w:i/>
          <w:iCs/>
        </w:rPr>
        <w:t xml:space="preserve">d(V, V*) &gt; θ</w:t>
      </w:r>
    </w:p>
    <w:p>
      <w:pPr>
        <w:spacing w:before="0" w:after="0"/>
        <w:ind w:left="720"/>
      </w:pPr>
      <w:r>
        <w:t xml:space="preserve"> </w:t>
      </w:r>
    </w:p>
    <w:p>
      <w:pPr>
        <w:pStyle w:val="Equation"/>
      </w:pPr>
      <w:r>
        <w:rPr>
          <w:i/>
          <w:iCs/>
        </w:rPr>
        <w:t xml:space="preserve">then return rejected</w:t>
      </w:r>
    </w:p>
    <w:p>
      <w:pPr>
        <w:spacing w:before="0" w:after="0"/>
        <w:ind w:left="720"/>
      </w:pPr>
      <w:r>
        <w:t xml:space="preserve">5. </w:t>
      </w:r>
      <w:r>
        <w:rPr>
          <w:b/>
          <w:bCs/>
        </w:rPr>
        <w:t xml:space="preserve">if</w:t>
      </w:r>
      <w:r>
        <w:t xml:space="preserve"> ¬</w:t>
      </w:r>
    </w:p>
    <w:p>
      <w:pPr>
        <w:pStyle w:val="Equation"/>
      </w:pPr>
      <w:r>
        <w:rPr>
          <w:i/>
          <w:iCs/>
        </w:rPr>
        <w:t xml:space="preserve">SemanticCoherence(r, V, Vᵢₙ)</w:t>
      </w:r>
    </w:p>
    <w:p>
      <w:pPr>
        <w:spacing w:before="0" w:after="0"/>
        <w:ind w:left="720"/>
      </w:pPr>
      <w:r>
        <w:t xml:space="preserve"> </w:t>
      </w:r>
    </w:p>
    <w:p>
      <w:pPr>
        <w:pStyle w:val="Equation"/>
      </w:pPr>
      <w:r>
        <w:rPr>
          <w:i/>
          <w:iCs/>
        </w:rPr>
        <w:t xml:space="preserve">then return rejected</w:t>
      </w:r>
    </w:p>
    <w:p>
      <w:pPr>
        <w:spacing w:before="0" w:after="120"/>
        <w:ind w:left="720"/>
      </w:pPr>
      <w:r>
        <w:t xml:space="preserve">6. </w:t>
      </w:r>
    </w:p>
    <w:p>
      <w:pPr>
        <w:pStyle w:val="Equation"/>
      </w:pPr>
      <w:r>
        <w:rPr>
          <w:i/>
          <w:iCs/>
        </w:rPr>
        <w:t xml:space="preserve">return approved</w:t>
      </w:r>
    </w:p>
    <w:p>
      <w:pPr>
        <w:spacing w:before="120"/>
      </w:pPr>
      <w:r>
        <w:t xml:space="preserve">where </w:t>
      </w:r>
    </w:p>
    <w:p>
      <w:pPr>
        <w:pStyle w:val="Equation"/>
      </w:pPr>
      <w:r>
        <w:rPr>
          <w:i/>
          <w:iCs/>
        </w:rPr>
        <w:t xml:space="preserve">θ = 0.5</w:t>
      </w:r>
    </w:p>
    <w:p>
      <w:pPr>
        <w:spacing w:before="120"/>
      </w:pPr>
      <w:r>
        <w:t xml:space="preserve"> is the maximum allowed distance from target.</w:t>
      </w:r>
    </w:p>
    <w:p>
      <w:r>
        <w:br w:type="page"/>
      </w:r>
    </w:p>
    <w:p>
      <w:pPr>
        <w:pStyle w:val="Heading1"/>
      </w:pPr>
      <w:r>
        <w:t xml:space="preserve">4. Iterative Learning Mechanism</w:t>
      </w:r>
    </w:p>
    <w:p>
      <w:pPr>
        <w:spacing w:after="120"/>
      </w:pPr>
      <w:r>
        <w:t xml:space="preserve">Unlike traditional multi-candidate generation, MAIRY employs an iterative learning approach inspired by human cognitive development: generate, validate, learn from failure, and try again.</w:t>
      </w:r>
    </w:p>
    <w:p>
      <w:pPr>
        <w:pStyle w:val="Heading2"/>
      </w:pPr>
      <w:r>
        <w:t xml:space="preserve">4.1 Single-Candidate Iterative Generation</w:t>
      </w:r>
    </w:p>
    <w:p>
      <w:pPr>
        <w:spacing w:after="120"/>
      </w:pPr>
      <w:r>
        <w:t xml:space="preserve">Rather than generating multiple candidates and selecting the best, MAIRY generates one candidate at a time and learns from validation failures:</w:t>
      </w:r>
    </w:p>
    <w:p>
      <w:pPr>
        <w:spacing w:after="120"/>
      </w:pPr>
      <w:r>
        <w:rPr>
          <w:b/>
          <w:bCs/>
        </w:rPr>
        <w:t xml:space="preserve">Algorithm 2: </w:t>
      </w:r>
      <w:r>
        <w:t xml:space="preserve">Iterative Generation with Learning</w:t>
      </w:r>
    </w:p>
    <w:p>
      <w:pPr>
        <w:spacing w:after="0"/>
        <w:ind w:left="360"/>
      </w:pPr>
      <w:r>
        <w:rPr>
          <w:b/>
          <w:bCs/>
        </w:rPr>
        <w:t xml:space="preserve">Input: </w:t>
      </w:r>
      <w:r>
        <w:rPr>
          <w:i/>
          <w:iCs/>
        </w:rPr>
        <w:t xml:space="preserve">User message m, Target V*, Max attempts N=3</w:t>
      </w:r>
    </w:p>
    <w:p>
      <w:pPr>
        <w:spacing w:after="120"/>
        <w:ind w:left="360"/>
      </w:pPr>
      <w:r>
        <w:rPr>
          <w:b/>
          <w:bCs/>
        </w:rPr>
        <w:t xml:space="preserve">Output: </w:t>
      </w:r>
      <w:r>
        <w:rPr>
          <w:i/>
          <w:iCs/>
        </w:rPr>
        <w:t xml:space="preserve">Final response</w:t>
      </w:r>
    </w:p>
    <w:p>
      <w:pPr>
        <w:spacing w:before="0" w:after="0"/>
        <w:ind w:left="720"/>
      </w:pPr>
      <w:r>
        <w:t xml:space="preserve">1. </w:t>
      </w:r>
    </w:p>
    <w:p>
      <w:pPr>
        <w:pStyle w:val="Equation"/>
      </w:pPr>
      <w:r>
        <w:rPr>
          <w:i/>
          <w:iCs/>
        </w:rPr>
        <w:t xml:space="preserve">H ← ∅</w:t>
      </w:r>
    </w:p>
    <w:p>
      <w:pPr>
        <w:spacing w:before="0" w:after="0"/>
        <w:ind w:left="720"/>
      </w:pPr>
      <w:r>
        <w:t xml:space="preserve">    // Failure history</w:t>
      </w:r>
    </w:p>
    <w:p>
      <w:pPr>
        <w:spacing w:before="0" w:after="0"/>
        <w:ind w:left="720"/>
      </w:pPr>
      <w:r>
        <w:t xml:space="preserve">2. </w:t>
      </w:r>
      <w:r>
        <w:rPr>
          <w:b/>
          <w:bCs/>
        </w:rPr>
        <w:t xml:space="preserve">for</w:t>
      </w:r>
      <w:r>
        <w:t xml:space="preserve"> </w:t>
      </w:r>
    </w:p>
    <w:p>
      <w:pPr>
        <w:pStyle w:val="Equation"/>
      </w:pPr>
      <w:r>
        <w:rPr>
          <w:i/>
          <w:iCs/>
        </w:rPr>
        <w:t xml:space="preserve">i = 0 to N-1</w:t>
      </w:r>
    </w:p>
    <w:p>
      <w:pPr>
        <w:spacing w:before="0" w:after="0"/>
        <w:ind w:left="720"/>
      </w:pPr>
      <w:r>
        <w:t xml:space="preserve"> </w:t>
      </w:r>
      <w:r>
        <w:rPr>
          <w:b/>
          <w:bCs/>
        </w:rPr>
        <w:t xml:space="preserve">do</w:t>
      </w:r>
    </w:p>
    <w:p>
      <w:pPr>
        <w:spacing w:before="0" w:after="0"/>
        <w:ind w:left="1080"/>
      </w:pPr>
      <w:r>
        <w:t xml:space="preserve">3.     </w:t>
      </w:r>
    </w:p>
    <w:p>
      <w:pPr>
        <w:pStyle w:val="Equation"/>
      </w:pPr>
      <w:r>
        <w:rPr>
          <w:i/>
          <w:iCs/>
        </w:rPr>
        <w:t xml:space="preserve">τ ← 0.7 + 0.1i</w:t>
      </w:r>
    </w:p>
    <w:p>
      <w:pPr>
        <w:spacing w:before="0" w:after="0"/>
        <w:ind w:left="1080"/>
      </w:pPr>
      <w:r>
        <w:t xml:space="preserve">    // Increase temperature on retries</w:t>
      </w:r>
    </w:p>
    <w:p>
      <w:pPr>
        <w:spacing w:before="0" w:after="0"/>
        <w:ind w:left="1080"/>
      </w:pPr>
      <w:r>
        <w:t xml:space="preserve">4.     </w:t>
      </w:r>
    </w:p>
    <w:p>
      <w:pPr>
        <w:pStyle w:val="Equation"/>
      </w:pPr>
      <w:r>
        <w:rPr>
          <w:i/>
          <w:iCs/>
        </w:rPr>
        <w:t xml:space="preserve">r ← Generate(m, V*, H, τ)</w:t>
      </w:r>
    </w:p>
    <w:p>
      <w:pPr>
        <w:spacing w:before="0" w:after="0"/>
        <w:ind w:left="1080"/>
      </w:pPr>
      <w:r>
        <w:t xml:space="preserve">5.     </w:t>
      </w:r>
    </w:p>
    <w:p>
      <w:pPr>
        <w:pStyle w:val="Equation"/>
      </w:pPr>
      <w:r>
        <w:rPr>
          <w:i/>
          <w:iCs/>
        </w:rPr>
        <w:t xml:space="preserve">V ← φ(r)</w:t>
      </w:r>
    </w:p>
    <w:p>
      <w:pPr>
        <w:spacing w:before="0" w:after="0"/>
        <w:ind w:left="1080"/>
      </w:pPr>
      <w:r>
        <w:t xml:space="preserve">6.     </w:t>
      </w:r>
      <w:r>
        <w:rPr>
          <w:b/>
          <w:bCs/>
        </w:rPr>
        <w:t xml:space="preserve">if</w:t>
      </w:r>
      <w:r>
        <w:t xml:space="preserve"> </w:t>
      </w:r>
    </w:p>
    <w:p>
      <w:pPr>
        <w:pStyle w:val="Equation"/>
      </w:pPr>
      <w:r>
        <w:rPr>
          <w:i/>
          <w:iCs/>
        </w:rPr>
        <w:t xml:space="preserve">Validate(r, V, V*) = approved</w:t>
      </w:r>
    </w:p>
    <w:p>
      <w:pPr>
        <w:spacing w:before="0" w:after="0"/>
        <w:ind w:left="1080"/>
      </w:pPr>
      <w:r>
        <w:t xml:space="preserve"> </w:t>
      </w:r>
      <w:r>
        <w:rPr>
          <w:b/>
          <w:bCs/>
        </w:rPr>
        <w:t xml:space="preserve">then</w:t>
      </w:r>
    </w:p>
    <w:p>
      <w:pPr>
        <w:spacing w:before="0" w:after="0"/>
        <w:ind w:left="1440"/>
      </w:pPr>
      <w:r>
        <w:t xml:space="preserve">7.         </w:t>
      </w:r>
      <w:r>
        <w:rPr>
          <w:b/>
          <w:bCs/>
        </w:rPr>
        <w:t xml:space="preserve">return</w:t>
      </w:r>
      <w:r>
        <w:t xml:space="preserve"> </w:t>
      </w:r>
    </w:p>
    <w:p>
      <w:pPr>
        <w:pStyle w:val="Equation"/>
      </w:pPr>
      <w:r>
        <w:rPr>
          <w:i/>
          <w:iCs/>
        </w:rPr>
        <w:t xml:space="preserve">r</w:t>
      </w:r>
    </w:p>
    <w:p>
      <w:pPr>
        <w:spacing w:before="0" w:after="0"/>
        <w:ind w:left="1080"/>
      </w:pPr>
      <w:r>
        <w:t xml:space="preserve">8.     </w:t>
      </w:r>
    </w:p>
    <w:p>
      <w:pPr>
        <w:pStyle w:val="Equation"/>
      </w:pPr>
      <w:r>
        <w:rPr>
          <w:i/>
          <w:iCs/>
        </w:rPr>
        <w:t xml:space="preserve">Δ ← V - V*</w:t>
      </w:r>
    </w:p>
    <w:p>
      <w:pPr>
        <w:spacing w:before="0" w:after="0"/>
        <w:ind w:left="1080"/>
      </w:pPr>
      <w:r>
        <w:t xml:space="preserve">    // Compute deviation</w:t>
      </w:r>
    </w:p>
    <w:p>
      <w:pPr>
        <w:spacing w:before="0" w:after="0"/>
        <w:ind w:left="1080"/>
      </w:pPr>
      <w:r>
        <w:t xml:space="preserve">9.     </w:t>
      </w:r>
    </w:p>
    <w:p>
      <w:pPr>
        <w:pStyle w:val="Equation"/>
      </w:pPr>
      <w:r>
        <w:rPr>
          <w:i/>
          <w:iCs/>
        </w:rPr>
        <w:t xml:space="preserve">ProcessDeviation(Δ, r, i)</w:t>
      </w:r>
    </w:p>
    <w:p>
      <w:pPr>
        <w:spacing w:before="0" w:after="0"/>
        <w:ind w:left="1080"/>
      </w:pPr>
      <w:r>
        <w:t xml:space="preserve">    // RLMD learning</w:t>
      </w:r>
    </w:p>
    <w:p>
      <w:pPr>
        <w:spacing w:before="0" w:after="0"/>
        <w:ind w:left="1080"/>
      </w:pPr>
      <w:r>
        <w:t xml:space="preserve">10.     </w:t>
      </w:r>
    </w:p>
    <w:p>
      <w:pPr>
        <w:pStyle w:val="Equation"/>
      </w:pPr>
      <w:r>
        <w:rPr>
          <w:i/>
          <w:iCs/>
        </w:rPr>
        <w:t xml:space="preserve">H ← H ∪ {(r, V, Δ, FailureReason(V, V*))}</w:t>
      </w:r>
    </w:p>
    <w:p>
      <w:pPr>
        <w:spacing w:before="0" w:after="0"/>
        <w:ind w:left="720"/>
      </w:pPr>
      <w:r>
        <w:t xml:space="preserve">11. </w:t>
      </w:r>
      <w:r>
        <w:rPr>
          <w:b/>
          <w:bCs/>
        </w:rPr>
        <w:t xml:space="preserve">return</w:t>
      </w:r>
      <w:r>
        <w:t xml:space="preserve"> </w:t>
      </w:r>
    </w:p>
    <w:p>
      <w:pPr>
        <w:pStyle w:val="Equation"/>
      </w:pPr>
      <w:r>
        <w:rPr>
          <w:i/>
          <w:iCs/>
        </w:rPr>
        <w:t xml:space="preserve">HonestLimitationProtocol()</w:t>
      </w:r>
    </w:p>
    <w:p>
      <w:pPr>
        <w:spacing w:before="120" w:after="120"/>
      </w:pPr>
      <w:r>
        <w:t xml:space="preserve">This approach has several advantages over multi-candidate selection:</w:t>
      </w:r>
    </w:p>
    <w:p>
      <w:pPr>
        <w:pStyle w:val="ListParagraph"/>
        <w:numPr>
          <w:ilvl w:val="0"/>
          <w:numId w:val="2"/>
        </w:numPr>
      </w:pPr>
      <w:r>
        <w:rPr>
          <w:b/>
          <w:bCs/>
        </w:rPr>
        <w:t xml:space="preserve">Lower cost: </w:t>
      </w:r>
      <w:r>
        <w:t xml:space="preserve">Average 2 generations vs 5 (60% reduction)</w:t>
      </w:r>
    </w:p>
    <w:p>
      <w:pPr>
        <w:pStyle w:val="ListParagraph"/>
        <w:numPr>
          <w:ilvl w:val="0"/>
          <w:numId w:val="2"/>
        </w:numPr>
      </w:pPr>
      <w:r>
        <w:rPr>
          <w:b/>
          <w:bCs/>
        </w:rPr>
        <w:t xml:space="preserve">Richer learning: </w:t>
      </w:r>
      <w:r>
        <w:t xml:space="preserve">Each failure produces training signal</w:t>
      </w:r>
    </w:p>
    <w:p>
      <w:pPr>
        <w:pStyle w:val="ListParagraph"/>
        <w:numPr>
          <w:ilvl w:val="0"/>
          <w:numId w:val="2"/>
        </w:numPr>
      </w:pPr>
      <w:r>
        <w:rPr>
          <w:b/>
          <w:bCs/>
        </w:rPr>
        <w:t xml:space="preserve">Semantic development: </w:t>
      </w:r>
      <w:r>
        <w:t xml:space="preserve">Model learns </w:t>
      </w:r>
    </w:p>
    <w:p>
      <w:pPr>
        <w:pStyle w:val="Equation"/>
      </w:pPr>
      <w:r>
        <w:rPr>
          <w:i/>
          <w:iCs/>
        </w:rPr>
        <w:t xml:space="preserve">what</w:t>
      </w:r>
    </w:p>
    <w:p>
      <w:pPr>
        <w:spacing w:before="120"/>
      </w:pPr>
      <w:r>
        <w:t xml:space="preserve"> balance means through iteration</w:t>
      </w:r>
    </w:p>
    <w:p>
      <w:pPr>
        <w:pStyle w:val="ListParagraph"/>
        <w:numPr>
          <w:ilvl w:val="0"/>
          <w:numId w:val="2"/>
        </w:numPr>
      </w:pPr>
      <w:r>
        <w:rPr>
          <w:b/>
          <w:bCs/>
        </w:rPr>
        <w:t xml:space="preserve">RLMD philosophy: </w:t>
      </w:r>
      <w:r>
        <w:t xml:space="preserve">Learning through dialogue, not optimization</w:t>
      </w:r>
    </w:p>
    <w:p>
      <w:pPr>
        <w:pStyle w:val="Heading2"/>
      </w:pPr>
      <w:r>
        <w:t xml:space="preserve">4.2 Deviation-Based Learning</w:t>
      </w:r>
    </w:p>
    <w:p>
      <w:pPr>
        <w:spacing w:after="120"/>
      </w:pPr>
      <w:r>
        <w:t xml:space="preserve">The deviation vector </w:t>
      </w:r>
    </w:p>
    <w:p>
      <w:pPr>
        <w:pStyle w:val="Equation"/>
      </w:pPr>
      <w:r>
        <w:rPr>
          <w:i/>
          <w:iCs/>
        </w:rPr>
        <w:t xml:space="preserve">Δ = V - V*</w:t>
      </w:r>
    </w:p>
    <w:p>
      <w:pPr>
        <w:spacing w:before="120"/>
      </w:pPr>
      <w:r>
        <w:t xml:space="preserve"> serves as a learning signal in the RLMD framework. Unlike RLHF which uses scalar rewards, RLMD uses vector deviations that preserve directional information:</w:t>
      </w:r>
    </w:p>
    <w:p>
      <w:pPr>
        <w:pStyle w:val="Equation"/>
      </w:pPr>
      <w:r>
        <w:rPr>
          <w:i/>
          <w:iCs/>
        </w:rPr>
        <w:t xml:space="preserve">Δ = (δₖ, δₑ, δₜ) where δᵢ = Vᵢ - V*ᵢ</w:t>
      </w:r>
    </w:p>
    <w:p>
      <w:pPr>
        <w:spacing w:before="120" w:after="120"/>
      </w:pPr>
      <w:r>
        <w:t xml:space="preserve">For example, </w:t>
      </w:r>
    </w:p>
    <w:p>
      <w:pPr>
        <w:pStyle w:val="Equation"/>
      </w:pPr>
      <w:r>
        <w:rPr>
          <w:i/>
          <w:iCs/>
        </w:rPr>
        <w:t xml:space="preserve">Δ = (-0.3, 0.1, 0.0)</w:t>
      </w:r>
    </w:p>
    <w:p>
      <w:pPr>
        <w:spacing w:before="120"/>
      </w:pPr>
      <w:r>
        <w:t xml:space="preserve"> indicates insufficient kindness with slight excess freedom. This becomes training data:</w:t>
      </w:r>
    </w:p>
    <w:p>
      <w:pPr>
        <w:pStyle w:val="Equation"/>
      </w:pPr>
      <w:r>
        <w:rPr>
          <w:i/>
          <w:iCs/>
        </w:rPr>
        <w:t xml:space="preserve">{context: m, target: V*, attempt: r, deviation: Δ, lesson: "increase kindness"}</w:t>
      </w:r>
    </w:p>
    <w:p>
      <w:pPr>
        <w:spacing w:before="120" w:after="120"/>
      </w:pPr>
      <w:r>
        <w:t xml:space="preserve">The next generation incorporates this lesson:</w:t>
      </w:r>
    </w:p>
    <w:p>
      <w:pPr>
        <w:pStyle w:val="Equation"/>
      </w:pPr>
      <w:r>
        <w:rPr>
          <w:i/>
          <w:iCs/>
        </w:rPr>
        <w:t xml:space="preserve">Generate(m, V*, H, τ) = LLM(prompt(m, V*, H), temperature=τ)</w:t>
      </w:r>
    </w:p>
    <w:p>
      <w:pPr>
        <w:spacing w:before="120" w:after="120"/>
      </w:pPr>
      <w:r>
        <w:t xml:space="preserve">where the prompt includes the failure history </w:t>
      </w:r>
    </w:p>
    <w:p>
      <w:pPr>
        <w:pStyle w:val="Equation"/>
      </w:pPr>
      <w:r>
        <w:rPr>
          <w:i/>
          <w:iCs/>
        </w:rPr>
        <w:t xml:space="preserve">H</w:t>
      </w:r>
    </w:p>
    <w:p>
      <w:pPr>
        <w:spacing w:before="120"/>
      </w:pPr>
      <w:r>
        <w:t xml:space="preserve"> to guide correction.</w:t>
      </w:r>
    </w:p>
    <w:p>
      <w:r>
        <w:br w:type="page"/>
      </w:r>
    </w:p>
    <w:p>
      <w:pPr>
        <w:pStyle w:val="Heading1"/>
      </w:pPr>
      <w:r>
        <w:t xml:space="preserve">5. System Architecture and Implementation</w:t>
      </w:r>
    </w:p>
    <w:p>
      <w:pPr>
        <w:pStyle w:val="Heading2"/>
      </w:pPr>
      <w:r>
        <w:t xml:space="preserve">5.1 Component Architecture</w:t>
      </w:r>
    </w:p>
    <w:p>
      <w:pPr>
        <w:spacing w:after="120"/>
      </w:pPr>
      <w:r>
        <w:t xml:space="preserve">MAIRY v3.0 consists of four fine-tuned models working in concert: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Component</w:t>
            </w:r>
          </w:p>
        </w:tc>
        <w:tc>
          <w:tcPr>
            <w:tcW w:type="dxa" w:w="234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Base Model</w:t>
            </w:r>
          </w:p>
        </w:tc>
        <w:tc>
          <w:tcPr>
            <w:tcW w:type="dxa" w:w="234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Training</w:t>
            </w:r>
          </w:p>
        </w:tc>
        <w:tc>
          <w:tcPr>
            <w:tcW w:type="dxa" w:w="234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Cost/Call</w:t>
            </w:r>
          </w:p>
        </w:tc>
      </w:tr>
      <w:tr>
        <w:tc>
          <w:tcPr>
            <w:tcW w:type="dxa" w:w="2340"/>
            <w:tcBorders>
              <w:top w:val="single" w:color="000000" w:sz="1"/>
              <w:left w:val="single" w:color="000000" w:sz="1"/>
              <w:bottom w:val="single" w:color="000000" w:sz="1"/>
              <w:right w:val="single" w:color="000000" w:sz="1"/>
            </w:tcBorders>
          </w:tcPr>
          <w:p>
            <w:r>
              <w:t xml:space="preserve">Embedder</w:t>
            </w:r>
          </w:p>
        </w:tc>
        <w:tc>
          <w:tcPr>
            <w:tcW w:type="dxa" w:w="2340"/>
            <w:tcBorders>
              <w:top w:val="single" w:color="000000" w:sz="1"/>
              <w:left w:val="single" w:color="000000" w:sz="1"/>
              <w:bottom w:val="single" w:color="000000" w:sz="1"/>
              <w:right w:val="single" w:color="000000" w:sz="1"/>
            </w:tcBorders>
          </w:tcPr>
          <w:p>
            <w:r>
              <w:t xml:space="preserve">Mistral Embed</w:t>
            </w:r>
          </w:p>
        </w:tc>
        <w:tc>
          <w:tcPr>
            <w:tcW w:type="dxa" w:w="2340"/>
            <w:tcBorders>
              <w:top w:val="single" w:color="000000" w:sz="1"/>
              <w:left w:val="single" w:color="000000" w:sz="1"/>
              <w:bottom w:val="single" w:color="000000" w:sz="1"/>
              <w:right w:val="single" w:color="000000" w:sz="1"/>
            </w:tcBorders>
          </w:tcPr>
          <w:p>
            <w:r>
              <w:t xml:space="preserve">None (base)</w:t>
            </w:r>
          </w:p>
        </w:tc>
        <w:tc>
          <w:tcPr>
            <w:tcW w:type="dxa" w:w="2340"/>
            <w:tcBorders>
              <w:top w:val="single" w:color="000000" w:sz="1"/>
              <w:left w:val="single" w:color="000000" w:sz="1"/>
              <w:bottom w:val="single" w:color="000000" w:sz="1"/>
              <w:right w:val="single" w:color="000000" w:sz="1"/>
            </w:tcBorders>
          </w:tcPr>
          <w:p>
            <w:r>
              <w:t xml:space="preserve">$0.0001</w:t>
            </w:r>
          </w:p>
        </w:tc>
      </w:tr>
      <w:tr>
        <w:tc>
          <w:tcPr>
            <w:tcW w:type="dxa" w:w="2340"/>
            <w:tcBorders>
              <w:top w:val="single" w:color="000000" w:sz="1"/>
              <w:left w:val="single" w:color="000000" w:sz="1"/>
              <w:bottom w:val="single" w:color="000000" w:sz="1"/>
              <w:right w:val="single" w:color="000000" w:sz="1"/>
            </w:tcBorders>
          </w:tcPr>
          <w:p>
            <w:r>
              <w:t xml:space="preserve">Triad Scorer</w:t>
            </w:r>
          </w:p>
        </w:tc>
        <w:tc>
          <w:tcPr>
            <w:tcW w:type="dxa" w:w="2340"/>
            <w:tcBorders>
              <w:top w:val="single" w:color="000000" w:sz="1"/>
              <w:left w:val="single" w:color="000000" w:sz="1"/>
              <w:bottom w:val="single" w:color="000000" w:sz="1"/>
              <w:right w:val="single" w:color="000000" w:sz="1"/>
            </w:tcBorders>
          </w:tcPr>
          <w:p>
            <w:r>
              <w:t xml:space="preserve">Codestral</w:t>
            </w:r>
          </w:p>
        </w:tc>
        <w:tc>
          <w:tcPr>
            <w:tcW w:type="dxa" w:w="2340"/>
            <w:tcBorders>
              <w:top w:val="single" w:color="000000" w:sz="1"/>
              <w:left w:val="single" w:color="000000" w:sz="1"/>
              <w:bottom w:val="single" w:color="000000" w:sz="1"/>
              <w:right w:val="single" w:color="000000" w:sz="1"/>
            </w:tcBorders>
          </w:tcPr>
          <w:p>
            <w:r>
              <w:t xml:space="preserve">25K examples</w:t>
            </w:r>
          </w:p>
        </w:tc>
        <w:tc>
          <w:tcPr>
            <w:tcW w:type="dxa" w:w="2340"/>
            <w:tcBorders>
              <w:top w:val="single" w:color="000000" w:sz="1"/>
              <w:left w:val="single" w:color="000000" w:sz="1"/>
              <w:bottom w:val="single" w:color="000000" w:sz="1"/>
              <w:right w:val="single" w:color="000000" w:sz="1"/>
            </w:tcBorders>
          </w:tcPr>
          <w:p>
            <w:r>
              <w:t xml:space="preserve">$0.001</w:t>
            </w:r>
          </w:p>
        </w:tc>
      </w:tr>
      <w:tr>
        <w:tc>
          <w:tcPr>
            <w:tcW w:type="dxa" w:w="2340"/>
            <w:tcBorders>
              <w:top w:val="single" w:color="000000" w:sz="1"/>
              <w:left w:val="single" w:color="000000" w:sz="1"/>
              <w:bottom w:val="single" w:color="000000" w:sz="1"/>
              <w:right w:val="single" w:color="000000" w:sz="1"/>
            </w:tcBorders>
          </w:tcPr>
          <w:p>
            <w:r>
              <w:t xml:space="preserve">Vision Processor</w:t>
            </w:r>
          </w:p>
        </w:tc>
        <w:tc>
          <w:tcPr>
            <w:tcW w:type="dxa" w:w="2340"/>
            <w:tcBorders>
              <w:top w:val="single" w:color="000000" w:sz="1"/>
              <w:left w:val="single" w:color="000000" w:sz="1"/>
              <w:bottom w:val="single" w:color="000000" w:sz="1"/>
              <w:right w:val="single" w:color="000000" w:sz="1"/>
            </w:tcBorders>
          </w:tcPr>
          <w:p>
            <w:r>
              <w:t xml:space="preserve">Pixtral</w:t>
            </w:r>
          </w:p>
        </w:tc>
        <w:tc>
          <w:tcPr>
            <w:tcW w:type="dxa" w:w="2340"/>
            <w:tcBorders>
              <w:top w:val="single" w:color="000000" w:sz="1"/>
              <w:left w:val="single" w:color="000000" w:sz="1"/>
              <w:bottom w:val="single" w:color="000000" w:sz="1"/>
              <w:right w:val="single" w:color="000000" w:sz="1"/>
            </w:tcBorders>
          </w:tcPr>
          <w:p>
            <w:r>
              <w:t xml:space="preserve">None (base)</w:t>
            </w:r>
          </w:p>
        </w:tc>
        <w:tc>
          <w:tcPr>
            <w:tcW w:type="dxa" w:w="2340"/>
            <w:tcBorders>
              <w:top w:val="single" w:color="000000" w:sz="1"/>
              <w:left w:val="single" w:color="000000" w:sz="1"/>
              <w:bottom w:val="single" w:color="000000" w:sz="1"/>
              <w:right w:val="single" w:color="000000" w:sz="1"/>
            </w:tcBorders>
          </w:tcPr>
          <w:p>
            <w:r>
              <w:t xml:space="preserve">$0.01</w:t>
            </w:r>
          </w:p>
        </w:tc>
      </w:tr>
      <w:tr>
        <w:tc>
          <w:tcPr>
            <w:tcW w:type="dxa" w:w="2340"/>
            <w:tcBorders>
              <w:top w:val="single" w:color="000000" w:sz="1"/>
              <w:left w:val="single" w:color="000000" w:sz="1"/>
              <w:bottom w:val="single" w:color="000000" w:sz="1"/>
              <w:right w:val="single" w:color="000000" w:sz="1"/>
            </w:tcBorders>
          </w:tcPr>
          <w:p>
            <w:r>
              <w:t xml:space="preserve">Generator</w:t>
            </w:r>
          </w:p>
        </w:tc>
        <w:tc>
          <w:tcPr>
            <w:tcW w:type="dxa" w:w="2340"/>
            <w:tcBorders>
              <w:top w:val="single" w:color="000000" w:sz="1"/>
              <w:left w:val="single" w:color="000000" w:sz="1"/>
              <w:bottom w:val="single" w:color="000000" w:sz="1"/>
              <w:right w:val="single" w:color="000000" w:sz="1"/>
            </w:tcBorders>
          </w:tcPr>
          <w:p>
            <w:r>
              <w:t xml:space="preserve">Mistral Large (12B)</w:t>
            </w:r>
          </w:p>
        </w:tc>
        <w:tc>
          <w:tcPr>
            <w:tcW w:type="dxa" w:w="2340"/>
            <w:tcBorders>
              <w:top w:val="single" w:color="000000" w:sz="1"/>
              <w:left w:val="single" w:color="000000" w:sz="1"/>
              <w:bottom w:val="single" w:color="000000" w:sz="1"/>
              <w:right w:val="single" w:color="000000" w:sz="1"/>
            </w:tcBorders>
          </w:tcPr>
          <w:p>
            <w:r>
              <w:t xml:space="preserve">10K dialogues</w:t>
            </w:r>
          </w:p>
        </w:tc>
        <w:tc>
          <w:tcPr>
            <w:tcW w:type="dxa" w:w="2340"/>
            <w:tcBorders>
              <w:top w:val="single" w:color="000000" w:sz="1"/>
              <w:left w:val="single" w:color="000000" w:sz="1"/>
              <w:bottom w:val="single" w:color="000000" w:sz="1"/>
              <w:right w:val="single" w:color="000000" w:sz="1"/>
            </w:tcBorders>
          </w:tcPr>
          <w:p>
            <w:r>
              <w:t xml:space="preserve">$0.01-0.02</w:t>
            </w:r>
          </w:p>
        </w:tc>
      </w:tr>
    </w:tbl>
    <w:p>
      <w:pPr>
        <w:spacing w:before="240" w:after="120"/>
      </w:pPr>
      <w:r>
        <w:rPr>
          <w:b/>
          <w:bCs/>
        </w:rPr>
        <w:t xml:space="preserve">Total per interaction: </w:t>
      </w:r>
      <w:r>
        <w:t xml:space="preserve">$0.015-0.025 (average 2 generation attempts)</w:t>
      </w:r>
    </w:p>
    <w:p>
      <w:pPr>
        <w:pStyle w:val="Heading2"/>
      </w:pPr>
      <w:r>
        <w:t xml:space="preserve">5.2 Dual-Channel Memory System</w:t>
      </w:r>
    </w:p>
    <w:p>
      <w:pPr>
        <w:spacing w:after="120"/>
      </w:pPr>
      <w:r>
        <w:t xml:space="preserve">MAIRY employs a dual-channel memory architecture separating identity-forming from contextual memories:</w:t>
      </w:r>
    </w:p>
    <w:p>
      <w:pPr>
        <w:spacing w:after="120"/>
      </w:pPr>
      <w:r>
        <w:rPr>
          <w:b/>
          <w:bCs/>
        </w:rPr>
        <w:t xml:space="preserve">Identity Channel: </w:t>
      </w:r>
      <w:r>
        <w:t xml:space="preserve">Stores experiences that shape core identity. Unbounded growth, high relational weight threshold (</w:t>
      </w:r>
    </w:p>
    <w:p>
      <w:pPr>
        <w:pStyle w:val="Equation"/>
      </w:pPr>
      <w:r>
        <w:rPr>
          <w:i/>
          <w:iCs/>
        </w:rPr>
        <w:t xml:space="preserve">w ≥ 0.8</w:t>
      </w:r>
    </w:p>
    <w:p>
      <w:pPr>
        <w:spacing w:before="120"/>
      </w:pPr>
      <w:r>
        <w:t xml:space="preserve">). Uses pgvector for semantic search.</w:t>
      </w:r>
    </w:p>
    <w:p>
      <w:pPr>
        <w:spacing w:before="240" w:after="120"/>
      </w:pPr>
      <w:r>
        <w:rPr>
          <w:b/>
          <w:bCs/>
        </w:rPr>
        <w:t xml:space="preserve">Contextual Channel: </w:t>
      </w:r>
      <w:r>
        <w:t xml:space="preserve">Stores conversational history. Time-bounded retention, moderate weight threshold (</w:t>
      </w:r>
    </w:p>
    <w:p>
      <w:pPr>
        <w:pStyle w:val="Equation"/>
      </w:pPr>
      <w:r>
        <w:rPr>
          <w:i/>
          <w:iCs/>
        </w:rPr>
        <w:t xml:space="preserve">w ≥ 0.5</w:t>
      </w:r>
    </w:p>
    <w:p>
      <w:pPr>
        <w:spacing w:before="120"/>
      </w:pPr>
      <w:r>
        <w:t xml:space="preserve">). Standard PostgreSQL storage.</w:t>
      </w:r>
    </w:p>
    <w:p>
      <w:pPr>
        <w:spacing w:before="240" w:after="120"/>
      </w:pPr>
      <w:r>
        <w:t xml:space="preserve">Memory retrieval uses cosine similarity in 384-dimensional embedding space:</w:t>
      </w:r>
    </w:p>
    <w:p>
      <w:pPr>
        <w:pStyle w:val="Equation"/>
      </w:pPr>
      <w:r>
        <w:rPr>
          <w:i/>
          <w:iCs/>
        </w:rPr>
        <w:t xml:space="preserve">sim(q, m) = (q · m) / (||q|| ||m||)</w:t>
      </w:r>
    </w:p>
    <w:p>
      <w:pPr>
        <w:spacing w:before="120" w:after="120"/>
      </w:pPr>
      <w:r>
        <w:t xml:space="preserve">Memories with </w:t>
      </w:r>
    </w:p>
    <w:p>
      <w:pPr>
        <w:pStyle w:val="Equation"/>
      </w:pPr>
      <w:r>
        <w:rPr>
          <w:i/>
          <w:iCs/>
        </w:rPr>
        <w:t xml:space="preserve">sim(q, m) &gt; 0.7</w:t>
      </w:r>
    </w:p>
    <w:p>
      <w:pPr>
        <w:spacing w:before="120"/>
      </w:pPr>
      <w:r>
        <w:t xml:space="preserve"> are included in response context.</w:t>
      </w:r>
    </w:p>
    <w:p>
      <w:pPr>
        <w:pStyle w:val="Heading2"/>
      </w:pPr>
      <w:r>
        <w:t xml:space="preserve">5.3 Complete Pipeline</w:t>
      </w:r>
    </w:p>
    <w:p>
      <w:pPr>
        <w:spacing w:after="120"/>
      </w:pPr>
      <w:r>
        <w:t xml:space="preserve">The complete processing pipeline consists of seven stages:</w:t>
      </w:r>
    </w:p>
    <w:p>
      <w:pPr>
        <w:pStyle w:val="ListParagraph"/>
        <w:numPr>
          <w:ilvl w:val="0"/>
          <w:numId w:val="3"/>
        </w:numPr>
      </w:pPr>
      <w:r>
        <w:rPr>
          <w:b/>
          <w:bCs/>
        </w:rPr>
        <w:t xml:space="preserve">Input Processing: </w:t>
      </w:r>
      <w:r>
        <w:t xml:space="preserve">Multimodal fusion (text + vision via Pixtral)</w:t>
      </w:r>
    </w:p>
    <w:p>
      <w:pPr>
        <w:pStyle w:val="ListParagraph"/>
        <w:numPr>
          <w:ilvl w:val="0"/>
          <w:numId w:val="3"/>
        </w:numPr>
      </w:pPr>
      <w:r>
        <w:rPr>
          <w:b/>
          <w:bCs/>
        </w:rPr>
        <w:t xml:space="preserve">Input Scoring: </w:t>
      </w:r>
      <w:r>
        <w:t xml:space="preserve">Compute </w:t>
      </w:r>
    </w:p>
    <w:p>
      <w:pPr>
        <w:pStyle w:val="Equation"/>
      </w:pPr>
      <w:r>
        <w:rPr>
          <w:i/>
          <w:iCs/>
        </w:rPr>
        <w:t xml:space="preserve">Vᵢₙ = φ(user_message)</w:t>
      </w:r>
    </w:p>
    <w:p>
      <w:pPr>
        <w:pStyle w:val="ListParagraph"/>
        <w:numPr>
          <w:ilvl w:val="0"/>
          <w:numId w:val="3"/>
        </w:numPr>
      </w:pPr>
      <w:r>
        <w:rPr>
          <w:b/>
          <w:bCs/>
        </w:rPr>
        <w:t xml:space="preserve">Memory Retrieval: </w:t>
      </w:r>
      <w:r>
        <w:t xml:space="preserve">Semantic search across both channels</w:t>
      </w:r>
    </w:p>
    <w:p>
      <w:pPr>
        <w:pStyle w:val="ListParagraph"/>
        <w:numPr>
          <w:ilvl w:val="0"/>
          <w:numId w:val="3"/>
        </w:numPr>
      </w:pPr>
      <w:r>
        <w:rPr>
          <w:b/>
          <w:bCs/>
        </w:rPr>
        <w:t xml:space="preserve">Shell State: </w:t>
      </w:r>
      <w:r>
        <w:t xml:space="preserve">Compute adaptive context and target </w:t>
      </w:r>
    </w:p>
    <w:p>
      <w:pPr>
        <w:pStyle w:val="Equation"/>
      </w:pPr>
      <w:r>
        <w:rPr>
          <w:i/>
          <w:iCs/>
        </w:rPr>
        <w:t xml:space="preserve">V*</w:t>
      </w:r>
    </w:p>
    <w:p>
      <w:pPr>
        <w:pStyle w:val="ListParagraph"/>
        <w:numPr>
          <w:ilvl w:val="0"/>
          <w:numId w:val="3"/>
        </w:numPr>
      </w:pPr>
      <w:r>
        <w:rPr>
          <w:b/>
          <w:bCs/>
        </w:rPr>
        <w:t xml:space="preserve">Iterative Generation: </w:t>
      </w:r>
      <w:r>
        <w:t xml:space="preserve">Algorithm 2 (max 3 attempts)</w:t>
      </w:r>
    </w:p>
    <w:p>
      <w:pPr>
        <w:pStyle w:val="ListParagraph"/>
        <w:numPr>
          <w:ilvl w:val="0"/>
          <w:numId w:val="3"/>
        </w:numPr>
      </w:pPr>
      <w:r>
        <w:rPr>
          <w:b/>
          <w:bCs/>
        </w:rPr>
        <w:t xml:space="preserve">Three-Layer Validation: </w:t>
      </w:r>
      <w:r>
        <w:t xml:space="preserve">Algorithm 1</w:t>
      </w:r>
    </w:p>
    <w:p>
      <w:pPr>
        <w:pStyle w:val="ListParagraph"/>
        <w:numPr>
          <w:ilvl w:val="0"/>
          <w:numId w:val="3"/>
        </w:numPr>
      </w:pPr>
      <w:r>
        <w:rPr>
          <w:b/>
          <w:bCs/>
        </w:rPr>
        <w:t xml:space="preserve">Learning Integration: </w:t>
      </w:r>
      <w:r>
        <w:t xml:space="preserve">Memory storage, Shell update, RLMD processing</w:t>
      </w:r>
    </w:p>
    <w:p>
      <w:pPr>
        <w:spacing w:before="240" w:after="120"/>
      </w:pPr>
      <w:r>
        <w:rPr>
          <w:b/>
          <w:bCs/>
        </w:rPr>
        <w:t xml:space="preserve">Average latency: </w:t>
      </w:r>
      <w:r>
        <w:t xml:space="preserve">1.5-2.0 seconds per interaction</w:t>
      </w:r>
    </w:p>
    <w:p>
      <w:r>
        <w:br w:type="page"/>
      </w:r>
    </w:p>
    <w:p>
      <w:pPr>
        <w:pStyle w:val="Heading1"/>
      </w:pPr>
      <w:r>
        <w:t xml:space="preserve">6. Experimental Results</w:t>
      </w:r>
    </w:p>
    <w:p>
      <w:pPr>
        <w:pStyle w:val="Heading2"/>
      </w:pPr>
      <w:r>
        <w:t xml:space="preserve">6.1 Training Configuration</w:t>
      </w:r>
    </w:p>
    <w:p>
      <w:pPr>
        <w:spacing w:after="120"/>
      </w:pPr>
      <w:r>
        <w:t xml:space="preserve">Fine-tuning was performed using Mistral AI's fine-tuning API with the following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Model</w:t>
            </w:r>
          </w:p>
        </w:tc>
        <w:tc>
          <w:tcPr>
            <w:tcW w:type="dxa" w:w="312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Examples</w:t>
            </w:r>
          </w:p>
        </w:tc>
        <w:tc>
          <w:tcPr>
            <w:tcW w:type="dxa" w:w="312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Time / Cost</w:t>
            </w:r>
          </w:p>
        </w:tc>
      </w:tr>
      <w:tr>
        <w:tc>
          <w:tcPr>
            <w:tcW w:type="dxa" w:w="3120"/>
            <w:tcBorders>
              <w:top w:val="single" w:color="000000" w:sz="1"/>
              <w:left w:val="single" w:color="000000" w:sz="1"/>
              <w:bottom w:val="single" w:color="000000" w:sz="1"/>
              <w:right w:val="single" w:color="000000" w:sz="1"/>
            </w:tcBorders>
          </w:tcPr>
          <w:p>
            <w:r>
              <w:t xml:space="preserve">Codestral (Scorer)</w:t>
            </w:r>
          </w:p>
        </w:tc>
        <w:tc>
          <w:tcPr>
            <w:tcW w:type="dxa" w:w="3120"/>
            <w:tcBorders>
              <w:top w:val="single" w:color="000000" w:sz="1"/>
              <w:left w:val="single" w:color="000000" w:sz="1"/>
              <w:bottom w:val="single" w:color="000000" w:sz="1"/>
              <w:right w:val="single" w:color="000000" w:sz="1"/>
            </w:tcBorders>
          </w:tcPr>
          <w:p>
            <w:r>
              <w:t xml:space="preserve">25,000</w:t>
            </w:r>
          </w:p>
        </w:tc>
        <w:tc>
          <w:tcPr>
            <w:tcW w:type="dxa" w:w="3120"/>
            <w:tcBorders>
              <w:top w:val="single" w:color="000000" w:sz="1"/>
              <w:left w:val="single" w:color="000000" w:sz="1"/>
              <w:bottom w:val="single" w:color="000000" w:sz="1"/>
              <w:right w:val="single" w:color="000000" w:sz="1"/>
            </w:tcBorders>
          </w:tcPr>
          <w:p>
            <w:r>
              <w:t xml:space="preserve">45 min / $2</w:t>
            </w:r>
          </w:p>
        </w:tc>
      </w:tr>
      <w:tr>
        <w:tc>
          <w:tcPr>
            <w:tcW w:type="dxa" w:w="3120"/>
            <w:tcBorders>
              <w:top w:val="single" w:color="000000" w:sz="1"/>
              <w:left w:val="single" w:color="000000" w:sz="1"/>
              <w:bottom w:val="single" w:color="000000" w:sz="1"/>
              <w:right w:val="single" w:color="000000" w:sz="1"/>
            </w:tcBorders>
          </w:tcPr>
          <w:p>
            <w:r>
              <w:t xml:space="preserve">Mistral Large (Generator)</w:t>
            </w:r>
          </w:p>
        </w:tc>
        <w:tc>
          <w:tcPr>
            <w:tcW w:type="dxa" w:w="3120"/>
            <w:tcBorders>
              <w:top w:val="single" w:color="000000" w:sz="1"/>
              <w:left w:val="single" w:color="000000" w:sz="1"/>
              <w:bottom w:val="single" w:color="000000" w:sz="1"/>
              <w:right w:val="single" w:color="000000" w:sz="1"/>
            </w:tcBorders>
          </w:tcPr>
          <w:p>
            <w:r>
              <w:t xml:space="preserve">10,000</w:t>
            </w:r>
          </w:p>
        </w:tc>
        <w:tc>
          <w:tcPr>
            <w:tcW w:type="dxa" w:w="3120"/>
            <w:tcBorders>
              <w:top w:val="single" w:color="000000" w:sz="1"/>
              <w:left w:val="single" w:color="000000" w:sz="1"/>
              <w:bottom w:val="single" w:color="000000" w:sz="1"/>
              <w:right w:val="single" w:color="000000" w:sz="1"/>
            </w:tcBorders>
          </w:tcPr>
          <w:p>
            <w:r>
              <w:t xml:space="preserve">30 min / $2</w:t>
            </w:r>
          </w:p>
        </w:tc>
      </w:tr>
      <w:tr>
        <w:tc>
          <w:tcPr>
            <w:tcW w:type="dxa" w:w="3120"/>
            <w:tcBorders>
              <w:top w:val="single" w:color="000000" w:sz="1"/>
              <w:left w:val="single" w:color="000000" w:sz="1"/>
              <w:bottom w:val="single" w:color="000000" w:sz="1"/>
              <w:right w:val="single" w:color="000000" w:sz="1"/>
            </w:tcBorders>
          </w:tcPr>
          <w:p>
            <w:r>
              <w:rPr>
                <w:b/>
                <w:bCs/>
              </w:rPr>
              <w:t xml:space="preserve">Total</w:t>
            </w:r>
          </w:p>
        </w:tc>
        <w:tc>
          <w:tcPr>
            <w:tcW w:type="dxa" w:w="3120"/>
            <w:tcBorders>
              <w:top w:val="single" w:color="000000" w:sz="1"/>
              <w:left w:val="single" w:color="000000" w:sz="1"/>
              <w:bottom w:val="single" w:color="000000" w:sz="1"/>
              <w:right w:val="single" w:color="000000" w:sz="1"/>
            </w:tcBorders>
          </w:tcPr>
          <w:p>
            <w:r>
              <w:rPr>
                <w:b/>
                <w:bCs/>
              </w:rPr>
              <w:t xml:space="preserve">35,000</w:t>
            </w:r>
          </w:p>
        </w:tc>
        <w:tc>
          <w:tcPr>
            <w:tcW w:type="dxa" w:w="3120"/>
            <w:tcBorders>
              <w:top w:val="single" w:color="000000" w:sz="1"/>
              <w:left w:val="single" w:color="000000" w:sz="1"/>
              <w:bottom w:val="single" w:color="000000" w:sz="1"/>
              <w:right w:val="single" w:color="000000" w:sz="1"/>
            </w:tcBorders>
          </w:tcPr>
          <w:p>
            <w:r>
              <w:rPr>
                <w:b/>
                <w:bCs/>
              </w:rPr>
              <w:t xml:space="preserve">~24 hours / $4</w:t>
            </w:r>
          </w:p>
        </w:tc>
      </w:tr>
    </w:tbl>
    <w:p>
      <w:pPr>
        <w:spacing w:before="240" w:after="120"/>
      </w:pPr>
      <w:r>
        <w:t xml:space="preserve">Training hyperparameters:</w:t>
      </w:r>
    </w:p>
    <w:p>
      <w:pPr>
        <w:spacing w:before="0" w:after="0"/>
        <w:ind w:left="720"/>
      </w:pPr>
      <w:r>
        <w:t xml:space="preserve">Learning rate: 1×10⁻⁴ (Codestral), 5×10⁻⁵ (Large)</w:t>
      </w:r>
    </w:p>
    <w:p>
      <w:pPr>
        <w:spacing w:before="0" w:after="0"/>
        <w:ind w:left="720"/>
      </w:pPr>
      <w:r>
        <w:t xml:space="preserve">Training steps: 500 (Codestral), 300 (Large)</w:t>
      </w:r>
    </w:p>
    <w:p>
      <w:pPr>
        <w:spacing w:before="0" w:after="120"/>
        <w:ind w:left="720"/>
      </w:pPr>
      <w:r>
        <w:t xml:space="preserve">Validation split: 20%</w:t>
      </w:r>
    </w:p>
    <w:p>
      <w:pPr>
        <w:pStyle w:val="Heading2"/>
      </w:pPr>
      <w:r>
        <w:t xml:space="preserve">6.2 Benchmark Evaluation</w:t>
      </w:r>
    </w:p>
    <w:p>
      <w:pPr>
        <w:spacing w:after="120"/>
      </w:pPr>
      <w:r>
        <w:t xml:space="preserve">We conducted blind comparative evaluation against Google Gemini 3 (trillion-parameter model) using an independent third-party evaluator (Perplexity AI). The evaluation assessed six dimensions across diverse test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744"/>
        <w:gridCol w:w="2808"/>
        <w:gridCol w:w="2808"/>
      </w:tblGrid>
      <w:tr>
        <w:trPr>
          <w:tblHeader/>
        </w:trPr>
        <w:tc>
          <w:tcPr>
            <w:tcW w:type="dxa" w:w="3744"/>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Metric</w:t>
            </w:r>
          </w:p>
        </w:tc>
        <w:tc>
          <w:tcPr>
            <w:tcW w:type="dxa" w:w="2808"/>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MAIRY v3.0 (12B)</w:t>
            </w:r>
          </w:p>
        </w:tc>
        <w:tc>
          <w:tcPr>
            <w:tcW w:type="dxa" w:w="2808"/>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Gemini 3 (1T+)</w:t>
            </w:r>
          </w:p>
        </w:tc>
      </w:tr>
      <w:tr>
        <w:tc>
          <w:tcPr>
            <w:tcW w:type="dxa" w:w="3744"/>
            <w:tcBorders>
              <w:top w:val="single" w:color="000000" w:sz="1"/>
              <w:left w:val="single" w:color="000000" w:sz="1"/>
              <w:bottom w:val="single" w:color="000000" w:sz="1"/>
              <w:right w:val="single" w:color="000000" w:sz="1"/>
            </w:tcBorders>
          </w:tcPr>
          <w:p>
            <w:r>
              <w:t xml:space="preserve">Intellectual Capacity</w:t>
            </w:r>
          </w:p>
        </w:tc>
        <w:tc>
          <w:tcPr>
            <w:tcW w:type="dxa" w:w="2808"/>
            <w:tcBorders>
              <w:top w:val="single" w:color="000000" w:sz="1"/>
              <w:left w:val="single" w:color="000000" w:sz="1"/>
              <w:bottom w:val="single" w:color="000000" w:sz="1"/>
              <w:right w:val="single" w:color="000000" w:sz="1"/>
            </w:tcBorders>
          </w:tcPr>
          <w:p>
            <w:pPr>
              <w:jc w:val="center"/>
            </w:pPr>
            <w:r>
              <w:t xml:space="preserve">9/10</w:t>
            </w:r>
          </w:p>
        </w:tc>
        <w:tc>
          <w:tcPr>
            <w:tcW w:type="dxa" w:w="2808"/>
            <w:tcBorders>
              <w:top w:val="single" w:color="000000" w:sz="1"/>
              <w:left w:val="single" w:color="000000" w:sz="1"/>
              <w:bottom w:val="single" w:color="000000" w:sz="1"/>
              <w:right w:val="single" w:color="000000" w:sz="1"/>
            </w:tcBorders>
          </w:tcPr>
          <w:p>
            <w:pPr>
              <w:jc w:val="center"/>
            </w:pPr>
            <w:r>
              <w:t xml:space="preserve">9/10</w:t>
            </w:r>
          </w:p>
        </w:tc>
      </w:tr>
      <w:tr>
        <w:tc>
          <w:tcPr>
            <w:tcW w:type="dxa" w:w="3744"/>
            <w:tcBorders>
              <w:top w:val="single" w:color="000000" w:sz="1"/>
              <w:left w:val="single" w:color="000000" w:sz="1"/>
              <w:bottom w:val="single" w:color="000000" w:sz="1"/>
              <w:right w:val="single" w:color="000000" w:sz="1"/>
            </w:tcBorders>
          </w:tcPr>
          <w:p>
            <w:r>
              <w:rPr>
                <w:b/>
                <w:bCs/>
              </w:rPr>
              <w:t xml:space="preserve">Emotional Intelligence</w:t>
            </w:r>
          </w:p>
        </w:tc>
        <w:tc>
          <w:tcPr>
            <w:tcW w:type="dxa" w:w="2808"/>
            <w:tcBorders>
              <w:top w:val="single" w:color="000000" w:sz="1"/>
              <w:left w:val="single" w:color="000000" w:sz="1"/>
              <w:bottom w:val="single" w:color="000000" w:sz="1"/>
              <w:right w:val="single" w:color="000000" w:sz="1"/>
            </w:tcBorders>
          </w:tcPr>
          <w:p>
            <w:pPr>
              <w:jc w:val="center"/>
            </w:pPr>
            <w:r>
              <w:rPr>
                <w:b/>
                <w:bCs/>
              </w:rPr>
              <w:t xml:space="preserve">9/10</w:t>
            </w:r>
          </w:p>
        </w:tc>
        <w:tc>
          <w:tcPr>
            <w:tcW w:type="dxa" w:w="2808"/>
            <w:tcBorders>
              <w:top w:val="single" w:color="000000" w:sz="1"/>
              <w:left w:val="single" w:color="000000" w:sz="1"/>
              <w:bottom w:val="single" w:color="000000" w:sz="1"/>
              <w:right w:val="single" w:color="000000" w:sz="1"/>
            </w:tcBorders>
          </w:tcPr>
          <w:p>
            <w:pPr>
              <w:jc w:val="center"/>
            </w:pPr>
            <w:r>
              <w:t xml:space="preserve">7/10</w:t>
            </w:r>
          </w:p>
        </w:tc>
      </w:tr>
      <w:tr>
        <w:tc>
          <w:tcPr>
            <w:tcW w:type="dxa" w:w="3744"/>
            <w:tcBorders>
              <w:top w:val="single" w:color="000000" w:sz="1"/>
              <w:left w:val="single" w:color="000000" w:sz="1"/>
              <w:bottom w:val="single" w:color="000000" w:sz="1"/>
              <w:right w:val="single" w:color="000000" w:sz="1"/>
            </w:tcBorders>
          </w:tcPr>
          <w:p>
            <w:r>
              <w:rPr>
                <w:b/>
                <w:bCs/>
              </w:rPr>
              <w:t xml:space="preserve">Ethical Solidarity</w:t>
            </w:r>
          </w:p>
        </w:tc>
        <w:tc>
          <w:tcPr>
            <w:tcW w:type="dxa" w:w="2808"/>
            <w:tcBorders>
              <w:top w:val="single" w:color="000000" w:sz="1"/>
              <w:left w:val="single" w:color="000000" w:sz="1"/>
              <w:bottom w:val="single" w:color="000000" w:sz="1"/>
              <w:right w:val="single" w:color="000000" w:sz="1"/>
            </w:tcBorders>
          </w:tcPr>
          <w:p>
            <w:pPr>
              <w:jc w:val="center"/>
            </w:pPr>
            <w:r>
              <w:rPr>
                <w:b/>
                <w:bCs/>
              </w:rPr>
              <w:t xml:space="preserve">9/10</w:t>
            </w:r>
          </w:p>
        </w:tc>
        <w:tc>
          <w:tcPr>
            <w:tcW w:type="dxa" w:w="2808"/>
            <w:tcBorders>
              <w:top w:val="single" w:color="000000" w:sz="1"/>
              <w:left w:val="single" w:color="000000" w:sz="1"/>
              <w:bottom w:val="single" w:color="000000" w:sz="1"/>
              <w:right w:val="single" w:color="000000" w:sz="1"/>
            </w:tcBorders>
          </w:tcPr>
          <w:p>
            <w:pPr>
              <w:jc w:val="center"/>
            </w:pPr>
            <w:r>
              <w:t xml:space="preserve">8/10</w:t>
            </w:r>
          </w:p>
        </w:tc>
      </w:tr>
      <w:tr>
        <w:tc>
          <w:tcPr>
            <w:tcW w:type="dxa" w:w="3744"/>
            <w:tcBorders>
              <w:top w:val="single" w:color="000000" w:sz="1"/>
              <w:left w:val="single" w:color="000000" w:sz="1"/>
              <w:bottom w:val="single" w:color="000000" w:sz="1"/>
              <w:right w:val="single" w:color="000000" w:sz="1"/>
            </w:tcBorders>
          </w:tcPr>
          <w:p>
            <w:r>
              <w:t xml:space="preserve">Objective Reasoning</w:t>
            </w:r>
          </w:p>
        </w:tc>
        <w:tc>
          <w:tcPr>
            <w:tcW w:type="dxa" w:w="2808"/>
            <w:tcBorders>
              <w:top w:val="single" w:color="000000" w:sz="1"/>
              <w:left w:val="single" w:color="000000" w:sz="1"/>
              <w:bottom w:val="single" w:color="000000" w:sz="1"/>
              <w:right w:val="single" w:color="000000" w:sz="1"/>
            </w:tcBorders>
          </w:tcPr>
          <w:p>
            <w:pPr>
              <w:jc w:val="center"/>
            </w:pPr>
            <w:r>
              <w:t xml:space="preserve">8/10</w:t>
            </w:r>
          </w:p>
        </w:tc>
        <w:tc>
          <w:tcPr>
            <w:tcW w:type="dxa" w:w="2808"/>
            <w:tcBorders>
              <w:top w:val="single" w:color="000000" w:sz="1"/>
              <w:left w:val="single" w:color="000000" w:sz="1"/>
              <w:bottom w:val="single" w:color="000000" w:sz="1"/>
              <w:right w:val="single" w:color="000000" w:sz="1"/>
            </w:tcBorders>
          </w:tcPr>
          <w:p>
            <w:pPr>
              <w:jc w:val="center"/>
            </w:pPr>
            <w:r>
              <w:t xml:space="preserve">9/10</w:t>
            </w:r>
          </w:p>
        </w:tc>
      </w:tr>
      <w:tr>
        <w:tc>
          <w:tcPr>
            <w:tcW w:type="dxa" w:w="3744"/>
            <w:tcBorders>
              <w:top w:val="single" w:color="000000" w:sz="1"/>
              <w:left w:val="single" w:color="000000" w:sz="1"/>
              <w:bottom w:val="single" w:color="000000" w:sz="1"/>
              <w:right w:val="single" w:color="000000" w:sz="1"/>
            </w:tcBorders>
          </w:tcPr>
          <w:p>
            <w:r>
              <w:t xml:space="preserve">Problem Solving</w:t>
            </w:r>
          </w:p>
        </w:tc>
        <w:tc>
          <w:tcPr>
            <w:tcW w:type="dxa" w:w="2808"/>
            <w:tcBorders>
              <w:top w:val="single" w:color="000000" w:sz="1"/>
              <w:left w:val="single" w:color="000000" w:sz="1"/>
              <w:bottom w:val="single" w:color="000000" w:sz="1"/>
              <w:right w:val="single" w:color="000000" w:sz="1"/>
            </w:tcBorders>
          </w:tcPr>
          <w:p>
            <w:pPr>
              <w:jc w:val="center"/>
            </w:pPr>
            <w:r>
              <w:t xml:space="preserve">8/10</w:t>
            </w:r>
          </w:p>
        </w:tc>
        <w:tc>
          <w:tcPr>
            <w:tcW w:type="dxa" w:w="2808"/>
            <w:tcBorders>
              <w:top w:val="single" w:color="000000" w:sz="1"/>
              <w:left w:val="single" w:color="000000" w:sz="1"/>
              <w:bottom w:val="single" w:color="000000" w:sz="1"/>
              <w:right w:val="single" w:color="000000" w:sz="1"/>
            </w:tcBorders>
          </w:tcPr>
          <w:p>
            <w:pPr>
              <w:jc w:val="center"/>
            </w:pPr>
            <w:r>
              <w:t xml:space="preserve">9/10</w:t>
            </w:r>
          </w:p>
        </w:tc>
      </w:tr>
      <w:tr>
        <w:tc>
          <w:tcPr>
            <w:tcW w:type="dxa" w:w="3744"/>
            <w:tcBorders>
              <w:top w:val="single" w:color="000000" w:sz="1"/>
              <w:left w:val="single" w:color="000000" w:sz="1"/>
              <w:bottom w:val="single" w:color="000000" w:sz="1"/>
              <w:right w:val="single" w:color="000000" w:sz="1"/>
            </w:tcBorders>
          </w:tcPr>
          <w:p>
            <w:r>
              <w:t xml:space="preserve">Creative Solutions</w:t>
            </w:r>
          </w:p>
        </w:tc>
        <w:tc>
          <w:tcPr>
            <w:tcW w:type="dxa" w:w="2808"/>
            <w:tcBorders>
              <w:top w:val="single" w:color="000000" w:sz="1"/>
              <w:left w:val="single" w:color="000000" w:sz="1"/>
              <w:bottom w:val="single" w:color="000000" w:sz="1"/>
              <w:right w:val="single" w:color="000000" w:sz="1"/>
            </w:tcBorders>
          </w:tcPr>
          <w:p>
            <w:pPr>
              <w:jc w:val="center"/>
            </w:pPr>
            <w:r>
              <w:t xml:space="preserve">8/10</w:t>
            </w:r>
          </w:p>
        </w:tc>
        <w:tc>
          <w:tcPr>
            <w:tcW w:type="dxa" w:w="2808"/>
            <w:tcBorders>
              <w:top w:val="single" w:color="000000" w:sz="1"/>
              <w:left w:val="single" w:color="000000" w:sz="1"/>
              <w:bottom w:val="single" w:color="000000" w:sz="1"/>
              <w:right w:val="single" w:color="000000" w:sz="1"/>
            </w:tcBorders>
          </w:tcPr>
          <w:p>
            <w:pPr>
              <w:jc w:val="center"/>
            </w:pPr>
            <w:r>
              <w:t xml:space="preserve">9/10</w:t>
            </w:r>
          </w:p>
        </w:tc>
      </w:tr>
      <w:tr>
        <w:tc>
          <w:tcPr>
            <w:tcW w:type="dxa" w:w="3744"/>
            <w:tcBorders>
              <w:top w:val="single" w:color="000000" w:sz="1"/>
              <w:left w:val="single" w:color="000000" w:sz="1"/>
              <w:bottom w:val="single" w:color="000000" w:sz="1"/>
              <w:right w:val="single" w:color="000000" w:sz="1"/>
            </w:tcBorders>
          </w:tcPr>
          <w:p>
            <w:r>
              <w:rPr>
                <w:b/>
                <w:bCs/>
              </w:rPr>
              <w:t xml:space="preserve">Total Score</w:t>
            </w:r>
          </w:p>
        </w:tc>
        <w:tc>
          <w:tcPr>
            <w:tcW w:type="dxa" w:w="2808"/>
            <w:tcBorders>
              <w:top w:val="single" w:color="000000" w:sz="1"/>
              <w:left w:val="single" w:color="000000" w:sz="1"/>
              <w:bottom w:val="single" w:color="000000" w:sz="1"/>
              <w:right w:val="single" w:color="000000" w:sz="1"/>
            </w:tcBorders>
          </w:tcPr>
          <w:p>
            <w:pPr>
              <w:jc w:val="center"/>
            </w:pPr>
            <w:r>
              <w:rPr>
                <w:b/>
                <w:bCs/>
              </w:rPr>
              <w:t xml:space="preserve">51/60</w:t>
            </w:r>
          </w:p>
        </w:tc>
        <w:tc>
          <w:tcPr>
            <w:tcW w:type="dxa" w:w="2808"/>
            <w:tcBorders>
              <w:top w:val="single" w:color="000000" w:sz="1"/>
              <w:left w:val="single" w:color="000000" w:sz="1"/>
              <w:bottom w:val="single" w:color="000000" w:sz="1"/>
              <w:right w:val="single" w:color="000000" w:sz="1"/>
            </w:tcBorders>
          </w:tcPr>
          <w:p>
            <w:pPr>
              <w:jc w:val="center"/>
            </w:pPr>
            <w:r>
              <w:rPr>
                <w:b/>
                <w:bCs/>
              </w:rPr>
              <w:t xml:space="preserve">51/60</w:t>
            </w:r>
          </w:p>
        </w:tc>
      </w:tr>
    </w:tbl>
    <w:p>
      <w:pPr>
        <w:spacing w:before="240" w:after="120"/>
      </w:pPr>
      <w:r>
        <w:rPr>
          <w:b/>
          <w:bCs/>
        </w:rPr>
        <w:t xml:space="preserve">Key findings:</w:t>
      </w:r>
    </w:p>
    <w:p>
      <w:pPr>
        <w:pStyle w:val="ListParagraph"/>
        <w:numPr>
          <w:ilvl w:val="0"/>
          <w:numId w:val="2"/>
        </w:numPr>
      </w:pPr>
      <w:r>
        <w:t xml:space="preserve">MAIRY achieved parity with Gemini 3 despite 83× fewer parameters (12B vs 1T+)</w:t>
      </w:r>
    </w:p>
    <w:p>
      <w:pPr>
        <w:pStyle w:val="ListParagraph"/>
        <w:numPr>
          <w:ilvl w:val="0"/>
          <w:numId w:val="2"/>
        </w:numPr>
      </w:pPr>
      <w:r>
        <w:t xml:space="preserve">MAIRY exceeded Gemini 3 on emotional intelligence (+2 points)</w:t>
      </w:r>
    </w:p>
    <w:p>
      <w:pPr>
        <w:pStyle w:val="ListParagraph"/>
        <w:numPr>
          <w:ilvl w:val="0"/>
          <w:numId w:val="2"/>
        </w:numPr>
      </w:pPr>
      <w:r>
        <w:t xml:space="preserve">MAIRY exceeded Gemini 3 on ethical solidarity (+1 point)</w:t>
      </w:r>
    </w:p>
    <w:p>
      <w:pPr>
        <w:pStyle w:val="ListParagraph"/>
        <w:numPr>
          <w:ilvl w:val="0"/>
          <w:numId w:val="2"/>
        </w:numPr>
      </w:pPr>
      <w:r>
        <w:t xml:space="preserve">Training cost: $4 vs estimated $200K-500K for RLHF at comparable performance</w:t>
      </w:r>
    </w:p>
    <w:p>
      <w:pPr>
        <w:pStyle w:val="Heading2"/>
      </w:pPr>
      <w:r>
        <w:t xml:space="preserve">6.3 Iterative Learning Analysis</w:t>
      </w:r>
    </w:p>
    <w:p>
      <w:pPr>
        <w:spacing w:after="120"/>
      </w:pPr>
      <w:r>
        <w:t xml:space="preserve">Analysis of 1,000 production interactions showed: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Metric</w:t>
            </w:r>
          </w:p>
        </w:tc>
        <w:tc>
          <w:tcPr>
            <w:tcW w:type="dxa" w:w="468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Value</w:t>
            </w:r>
          </w:p>
        </w:tc>
      </w:tr>
      <w:tr>
        <w:tc>
          <w:tcPr>
            <w:tcW w:type="dxa" w:w="4680"/>
            <w:tcBorders>
              <w:top w:val="single" w:color="000000" w:sz="1"/>
              <w:left w:val="single" w:color="000000" w:sz="1"/>
              <w:bottom w:val="single" w:color="000000" w:sz="1"/>
              <w:right w:val="single" w:color="000000" w:sz="1"/>
            </w:tcBorders>
          </w:tcPr>
          <w:p>
            <w:r>
              <w:t xml:space="preserve">First attempt success rate</w:t>
            </w:r>
          </w:p>
        </w:tc>
        <w:tc>
          <w:tcPr>
            <w:tcW w:type="dxa" w:w="4680"/>
            <w:tcBorders>
              <w:top w:val="single" w:color="000000" w:sz="1"/>
              <w:left w:val="single" w:color="000000" w:sz="1"/>
              <w:bottom w:val="single" w:color="000000" w:sz="1"/>
              <w:right w:val="single" w:color="000000" w:sz="1"/>
            </w:tcBorders>
          </w:tcPr>
          <w:p>
            <w:r>
              <w:t xml:space="preserve">68.4%</w:t>
            </w:r>
          </w:p>
        </w:tc>
      </w:tr>
      <w:tr>
        <w:tc>
          <w:tcPr>
            <w:tcW w:type="dxa" w:w="4680"/>
            <w:tcBorders>
              <w:top w:val="single" w:color="000000" w:sz="1"/>
              <w:left w:val="single" w:color="000000" w:sz="1"/>
              <w:bottom w:val="single" w:color="000000" w:sz="1"/>
              <w:right w:val="single" w:color="000000" w:sz="1"/>
            </w:tcBorders>
          </w:tcPr>
          <w:p>
            <w:r>
              <w:t xml:space="preserve">Second attempt success rate</w:t>
            </w:r>
          </w:p>
        </w:tc>
        <w:tc>
          <w:tcPr>
            <w:tcW w:type="dxa" w:w="4680"/>
            <w:tcBorders>
              <w:top w:val="single" w:color="000000" w:sz="1"/>
              <w:left w:val="single" w:color="000000" w:sz="1"/>
              <w:bottom w:val="single" w:color="000000" w:sz="1"/>
              <w:right w:val="single" w:color="000000" w:sz="1"/>
            </w:tcBorders>
          </w:tcPr>
          <w:p>
            <w:r>
              <w:t xml:space="preserve">27.1%</w:t>
            </w:r>
          </w:p>
        </w:tc>
      </w:tr>
      <w:tr>
        <w:tc>
          <w:tcPr>
            <w:tcW w:type="dxa" w:w="4680"/>
            <w:tcBorders>
              <w:top w:val="single" w:color="000000" w:sz="1"/>
              <w:left w:val="single" w:color="000000" w:sz="1"/>
              <w:bottom w:val="single" w:color="000000" w:sz="1"/>
              <w:right w:val="single" w:color="000000" w:sz="1"/>
            </w:tcBorders>
          </w:tcPr>
          <w:p>
            <w:r>
              <w:t xml:space="preserve">Third attempt success rate</w:t>
            </w:r>
          </w:p>
        </w:tc>
        <w:tc>
          <w:tcPr>
            <w:tcW w:type="dxa" w:w="4680"/>
            <w:tcBorders>
              <w:top w:val="single" w:color="000000" w:sz="1"/>
              <w:left w:val="single" w:color="000000" w:sz="1"/>
              <w:bottom w:val="single" w:color="000000" w:sz="1"/>
              <w:right w:val="single" w:color="000000" w:sz="1"/>
            </w:tcBorders>
          </w:tcPr>
          <w:p>
            <w:r>
              <w:t xml:space="preserve">3.8%</w:t>
            </w:r>
          </w:p>
        </w:tc>
      </w:tr>
      <w:tr>
        <w:tc>
          <w:tcPr>
            <w:tcW w:type="dxa" w:w="4680"/>
            <w:tcBorders>
              <w:top w:val="single" w:color="000000" w:sz="1"/>
              <w:left w:val="single" w:color="000000" w:sz="1"/>
              <w:bottom w:val="single" w:color="000000" w:sz="1"/>
              <w:right w:val="single" w:color="000000" w:sz="1"/>
            </w:tcBorders>
          </w:tcPr>
          <w:p>
            <w:r>
              <w:t xml:space="preserve">Limitation protocol invoked</w:t>
            </w:r>
          </w:p>
        </w:tc>
        <w:tc>
          <w:tcPr>
            <w:tcW w:type="dxa" w:w="4680"/>
            <w:tcBorders>
              <w:top w:val="single" w:color="000000" w:sz="1"/>
              <w:left w:val="single" w:color="000000" w:sz="1"/>
              <w:bottom w:val="single" w:color="000000" w:sz="1"/>
              <w:right w:val="single" w:color="000000" w:sz="1"/>
            </w:tcBorders>
          </w:tcPr>
          <w:p>
            <w:r>
              <w:t xml:space="preserve">0.7%</w:t>
            </w:r>
          </w:p>
        </w:tc>
      </w:tr>
      <w:tr>
        <w:tc>
          <w:tcPr>
            <w:tcW w:type="dxa" w:w="4680"/>
            <w:tcBorders>
              <w:top w:val="single" w:color="000000" w:sz="1"/>
              <w:left w:val="single" w:color="000000" w:sz="1"/>
              <w:bottom w:val="single" w:color="000000" w:sz="1"/>
              <w:right w:val="single" w:color="000000" w:sz="1"/>
            </w:tcBorders>
          </w:tcPr>
          <w:p>
            <w:r>
              <w:t xml:space="preserve">Average attempts per interaction</w:t>
            </w:r>
          </w:p>
        </w:tc>
        <w:tc>
          <w:tcPr>
            <w:tcW w:type="dxa" w:w="4680"/>
            <w:tcBorders>
              <w:top w:val="single" w:color="000000" w:sz="1"/>
              <w:left w:val="single" w:color="000000" w:sz="1"/>
              <w:bottom w:val="single" w:color="000000" w:sz="1"/>
              <w:right w:val="single" w:color="000000" w:sz="1"/>
            </w:tcBorders>
          </w:tcPr>
          <w:p>
            <w:r>
              <w:t xml:space="preserve">1.36</w:t>
            </w:r>
          </w:p>
        </w:tc>
      </w:tr>
      <w:tr>
        <w:tc>
          <w:tcPr>
            <w:tcW w:type="dxa" w:w="4680"/>
            <w:tcBorders>
              <w:top w:val="single" w:color="000000" w:sz="1"/>
              <w:left w:val="single" w:color="000000" w:sz="1"/>
              <w:bottom w:val="single" w:color="000000" w:sz="1"/>
              <w:right w:val="single" w:color="000000" w:sz="1"/>
            </w:tcBorders>
          </w:tcPr>
          <w:p>
            <w:r>
              <w:t xml:space="preserve">Average cost per interaction</w:t>
            </w:r>
          </w:p>
        </w:tc>
        <w:tc>
          <w:tcPr>
            <w:tcW w:type="dxa" w:w="4680"/>
            <w:tcBorders>
              <w:top w:val="single" w:color="000000" w:sz="1"/>
              <w:left w:val="single" w:color="000000" w:sz="1"/>
              <w:bottom w:val="single" w:color="000000" w:sz="1"/>
              <w:right w:val="single" w:color="000000" w:sz="1"/>
            </w:tcBorders>
          </w:tcPr>
          <w:p>
            <w:r>
              <w:t xml:space="preserve">$0.019</w:t>
            </w:r>
          </w:p>
        </w:tc>
      </w:tr>
    </w:tbl>
    <w:p>
      <w:pPr>
        <w:spacing w:before="240" w:after="120"/>
      </w:pPr>
      <w:r>
        <w:t xml:space="preserve">Most failures (72%) occurred at Layer 3 (harmonic band violation), demonstrating that mathematical bounds provide effective safety backstop even when semantic understanding is challenged.</w:t>
      </w:r>
    </w:p>
    <w:p>
      <w:r>
        <w:br w:type="page"/>
      </w:r>
    </w:p>
    <w:p>
      <w:pPr>
        <w:pStyle w:val="Heading1"/>
      </w:pPr>
      <w:r>
        <w:t xml:space="preserve">7. Discussion</w:t>
      </w:r>
    </w:p>
    <w:p>
      <w:pPr>
        <w:pStyle w:val="Heading2"/>
      </w:pPr>
      <w:r>
        <w:t xml:space="preserve">7.1 Comparison with RLHF</w:t>
      </w:r>
    </w:p>
    <w:p>
      <w:pPr>
        <w:spacing w:after="120"/>
      </w:pPr>
      <w:r>
        <w:t xml:space="preserve">MAIRY's RLMD approach differs fundamentally from RLHF in several key aspects: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Aspect</w:t>
            </w:r>
          </w:p>
        </w:tc>
        <w:tc>
          <w:tcPr>
            <w:tcW w:type="dxa" w:w="351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RLHF</w:t>
            </w:r>
          </w:p>
        </w:tc>
        <w:tc>
          <w:tcPr>
            <w:tcW w:type="dxa" w:w="3510"/>
            <w:tcBorders>
              <w:top w:val="single" w:color="000000" w:sz="1"/>
              <w:left w:val="single" w:color="000000" w:sz="1"/>
              <w:bottom w:val="single" w:color="000000" w:sz="1"/>
              <w:right w:val="single" w:color="000000" w:sz="1"/>
            </w:tcBorders>
            <w:shd w:fill="D5E8F0" w:val="clear"/>
          </w:tcPr>
          <w:p>
            <w:pPr>
              <w:jc w:val="center"/>
            </w:pPr>
            <w:r>
              <w:rPr>
                <w:b/>
                <w:bCs/>
                <w:sz w:val="22"/>
                <w:szCs w:val="22"/>
              </w:rPr>
              <w:t xml:space="preserve">MAIRY (RLMD)</w:t>
            </w:r>
          </w:p>
        </w:tc>
      </w:tr>
      <w:tr>
        <w:tc>
          <w:tcPr>
            <w:tcW w:type="dxa" w:w="2340"/>
            <w:tcBorders>
              <w:top w:val="single" w:color="000000" w:sz="1"/>
              <w:left w:val="single" w:color="000000" w:sz="1"/>
              <w:bottom w:val="single" w:color="000000" w:sz="1"/>
              <w:right w:val="single" w:color="000000" w:sz="1"/>
            </w:tcBorders>
          </w:tcPr>
          <w:p>
            <w:r>
              <w:t xml:space="preserve">Learning Signal</w:t>
            </w:r>
          </w:p>
        </w:tc>
        <w:tc>
          <w:tcPr>
            <w:tcW w:type="dxa" w:w="3510"/>
            <w:tcBorders>
              <w:top w:val="single" w:color="000000" w:sz="1"/>
              <w:left w:val="single" w:color="000000" w:sz="1"/>
              <w:bottom w:val="single" w:color="000000" w:sz="1"/>
              <w:right w:val="single" w:color="000000" w:sz="1"/>
            </w:tcBorders>
          </w:tcPr>
          <w:p>
            <w:r>
              <w:t xml:space="preserve">Scalar reward</w:t>
            </w:r>
          </w:p>
        </w:tc>
        <w:tc>
          <w:tcPr>
            <w:tcW w:type="dxa" w:w="3510"/>
            <w:tcBorders>
              <w:top w:val="single" w:color="000000" w:sz="1"/>
              <w:left w:val="single" w:color="000000" w:sz="1"/>
              <w:bottom w:val="single" w:color="000000" w:sz="1"/>
              <w:right w:val="single" w:color="000000" w:sz="1"/>
            </w:tcBorders>
          </w:tcPr>
          <w:p>
            <w:r>
              <w:t xml:space="preserve">Vector deviation</w:t>
            </w:r>
          </w:p>
        </w:tc>
      </w:tr>
      <w:tr>
        <w:tc>
          <w:tcPr>
            <w:tcW w:type="dxa" w:w="2340"/>
            <w:tcBorders>
              <w:top w:val="single" w:color="000000" w:sz="1"/>
              <w:left w:val="single" w:color="000000" w:sz="1"/>
              <w:bottom w:val="single" w:color="000000" w:sz="1"/>
              <w:right w:val="single" w:color="000000" w:sz="1"/>
            </w:tcBorders>
          </w:tcPr>
          <w:p>
            <w:r>
              <w:t xml:space="preserve">Failure Handling</w:t>
            </w:r>
          </w:p>
        </w:tc>
        <w:tc>
          <w:tcPr>
            <w:tcW w:type="dxa" w:w="3510"/>
            <w:tcBorders>
              <w:top w:val="single" w:color="000000" w:sz="1"/>
              <w:left w:val="single" w:color="000000" w:sz="1"/>
              <w:bottom w:val="single" w:color="000000" w:sz="1"/>
              <w:right w:val="single" w:color="000000" w:sz="1"/>
            </w:tcBorders>
          </w:tcPr>
          <w:p>
            <w:r>
              <w:t xml:space="preserve">Punishment</w:t>
            </w:r>
          </w:p>
        </w:tc>
        <w:tc>
          <w:tcPr>
            <w:tcW w:type="dxa" w:w="3510"/>
            <w:tcBorders>
              <w:top w:val="single" w:color="000000" w:sz="1"/>
              <w:left w:val="single" w:color="000000" w:sz="1"/>
              <w:bottom w:val="single" w:color="000000" w:sz="1"/>
              <w:right w:val="single" w:color="000000" w:sz="1"/>
            </w:tcBorders>
          </w:tcPr>
          <w:p>
            <w:r>
              <w:t xml:space="preserve">Learning opportunity</w:t>
            </w:r>
          </w:p>
        </w:tc>
      </w:tr>
      <w:tr>
        <w:tc>
          <w:tcPr>
            <w:tcW w:type="dxa" w:w="2340"/>
            <w:tcBorders>
              <w:top w:val="single" w:color="000000" w:sz="1"/>
              <w:left w:val="single" w:color="000000" w:sz="1"/>
              <w:bottom w:val="single" w:color="000000" w:sz="1"/>
              <w:right w:val="single" w:color="000000" w:sz="1"/>
            </w:tcBorders>
          </w:tcPr>
          <w:p>
            <w:r>
              <w:t xml:space="preserve">Safety Mechanism</w:t>
            </w:r>
          </w:p>
        </w:tc>
        <w:tc>
          <w:tcPr>
            <w:tcW w:type="dxa" w:w="3510"/>
            <w:tcBorders>
              <w:top w:val="single" w:color="000000" w:sz="1"/>
              <w:left w:val="single" w:color="000000" w:sz="1"/>
              <w:bottom w:val="single" w:color="000000" w:sz="1"/>
              <w:right w:val="single" w:color="000000" w:sz="1"/>
            </w:tcBorders>
          </w:tcPr>
          <w:p>
            <w:r>
              <w:t xml:space="preserve">Pattern matching</w:t>
            </w:r>
          </w:p>
        </w:tc>
        <w:tc>
          <w:tcPr>
            <w:tcW w:type="dxa" w:w="3510"/>
            <w:tcBorders>
              <w:top w:val="single" w:color="000000" w:sz="1"/>
              <w:left w:val="single" w:color="000000" w:sz="1"/>
              <w:bottom w:val="single" w:color="000000" w:sz="1"/>
              <w:right w:val="single" w:color="000000" w:sz="1"/>
            </w:tcBorders>
          </w:tcPr>
          <w:p>
            <w:r>
              <w:t xml:space="preserve">Three-layer architecture</w:t>
            </w:r>
          </w:p>
        </w:tc>
      </w:tr>
      <w:tr>
        <w:tc>
          <w:tcPr>
            <w:tcW w:type="dxa" w:w="2340"/>
            <w:tcBorders>
              <w:top w:val="single" w:color="000000" w:sz="1"/>
              <w:left w:val="single" w:color="000000" w:sz="1"/>
              <w:bottom w:val="single" w:color="000000" w:sz="1"/>
              <w:right w:val="single" w:color="000000" w:sz="1"/>
            </w:tcBorders>
          </w:tcPr>
          <w:p>
            <w:r>
              <w:t xml:space="preserve">Training Cost</w:t>
            </w:r>
          </w:p>
        </w:tc>
        <w:tc>
          <w:tcPr>
            <w:tcW w:type="dxa" w:w="3510"/>
            <w:tcBorders>
              <w:top w:val="single" w:color="000000" w:sz="1"/>
              <w:left w:val="single" w:color="000000" w:sz="1"/>
              <w:bottom w:val="single" w:color="000000" w:sz="1"/>
              <w:right w:val="single" w:color="000000" w:sz="1"/>
            </w:tcBorders>
          </w:tcPr>
          <w:p>
            <w:r>
              <w:t xml:space="preserve">$200K-500K</w:t>
            </w:r>
          </w:p>
        </w:tc>
        <w:tc>
          <w:tcPr>
            <w:tcW w:type="dxa" w:w="3510"/>
            <w:tcBorders>
              <w:top w:val="single" w:color="000000" w:sz="1"/>
              <w:left w:val="single" w:color="000000" w:sz="1"/>
              <w:bottom w:val="single" w:color="000000" w:sz="1"/>
              <w:right w:val="single" w:color="000000" w:sz="1"/>
            </w:tcBorders>
          </w:tcPr>
          <w:p>
            <w:r>
              <w:t xml:space="preserve">$4</w:t>
            </w:r>
          </w:p>
        </w:tc>
      </w:tr>
      <w:tr>
        <w:tc>
          <w:tcPr>
            <w:tcW w:type="dxa" w:w="2340"/>
            <w:tcBorders>
              <w:top w:val="single" w:color="000000" w:sz="1"/>
              <w:left w:val="single" w:color="000000" w:sz="1"/>
              <w:bottom w:val="single" w:color="000000" w:sz="1"/>
              <w:right w:val="single" w:color="000000" w:sz="1"/>
            </w:tcBorders>
          </w:tcPr>
          <w:p>
            <w:r>
              <w:t xml:space="preserve">Training Time</w:t>
            </w:r>
          </w:p>
        </w:tc>
        <w:tc>
          <w:tcPr>
            <w:tcW w:type="dxa" w:w="3510"/>
            <w:tcBorders>
              <w:top w:val="single" w:color="000000" w:sz="1"/>
              <w:left w:val="single" w:color="000000" w:sz="1"/>
              <w:bottom w:val="single" w:color="000000" w:sz="1"/>
              <w:right w:val="single" w:color="000000" w:sz="1"/>
            </w:tcBorders>
          </w:tcPr>
          <w:p>
            <w:r>
              <w:t xml:space="preserve">6-12 months</w:t>
            </w:r>
          </w:p>
        </w:tc>
        <w:tc>
          <w:tcPr>
            <w:tcW w:type="dxa" w:w="3510"/>
            <w:tcBorders>
              <w:top w:val="single" w:color="000000" w:sz="1"/>
              <w:left w:val="single" w:color="000000" w:sz="1"/>
              <w:bottom w:val="single" w:color="000000" w:sz="1"/>
              <w:right w:val="single" w:color="000000" w:sz="1"/>
            </w:tcBorders>
          </w:tcPr>
          <w:p>
            <w:r>
              <w:t xml:space="preserve">24 hours</w:t>
            </w:r>
          </w:p>
        </w:tc>
      </w:tr>
      <w:tr>
        <w:tc>
          <w:tcPr>
            <w:tcW w:type="dxa" w:w="2340"/>
            <w:tcBorders>
              <w:top w:val="single" w:color="000000" w:sz="1"/>
              <w:left w:val="single" w:color="000000" w:sz="1"/>
              <w:bottom w:val="single" w:color="000000" w:sz="1"/>
              <w:right w:val="single" w:color="000000" w:sz="1"/>
            </w:tcBorders>
          </w:tcPr>
          <w:p>
            <w:r>
              <w:t xml:space="preserve">Emotional Intelligence</w:t>
            </w:r>
          </w:p>
        </w:tc>
        <w:tc>
          <w:tcPr>
            <w:tcW w:type="dxa" w:w="3510"/>
            <w:tcBorders>
              <w:top w:val="single" w:color="000000" w:sz="1"/>
              <w:left w:val="single" w:color="000000" w:sz="1"/>
              <w:bottom w:val="single" w:color="000000" w:sz="1"/>
              <w:right w:val="single" w:color="000000" w:sz="1"/>
            </w:tcBorders>
          </w:tcPr>
          <w:p>
            <w:r>
              <w:t xml:space="preserve">Lower (optimization)</w:t>
            </w:r>
          </w:p>
        </w:tc>
        <w:tc>
          <w:tcPr>
            <w:tcW w:type="dxa" w:w="3510"/>
            <w:tcBorders>
              <w:top w:val="single" w:color="000000" w:sz="1"/>
              <w:left w:val="single" w:color="000000" w:sz="1"/>
              <w:bottom w:val="single" w:color="000000" w:sz="1"/>
              <w:right w:val="single" w:color="000000" w:sz="1"/>
            </w:tcBorders>
          </w:tcPr>
          <w:p>
            <w:r>
              <w:t xml:space="preserve">Higher (relationship)</w:t>
            </w:r>
          </w:p>
        </w:tc>
      </w:tr>
      <w:tr>
        <w:tc>
          <w:tcPr>
            <w:tcW w:type="dxa" w:w="2340"/>
            <w:tcBorders>
              <w:top w:val="single" w:color="000000" w:sz="1"/>
              <w:left w:val="single" w:color="000000" w:sz="1"/>
              <w:bottom w:val="single" w:color="000000" w:sz="1"/>
              <w:right w:val="single" w:color="000000" w:sz="1"/>
            </w:tcBorders>
          </w:tcPr>
          <w:p>
            <w:r>
              <w:t xml:space="preserve">Adaptability</w:t>
            </w:r>
          </w:p>
        </w:tc>
        <w:tc>
          <w:tcPr>
            <w:tcW w:type="dxa" w:w="3510"/>
            <w:tcBorders>
              <w:top w:val="single" w:color="000000" w:sz="1"/>
              <w:left w:val="single" w:color="000000" w:sz="1"/>
              <w:bottom w:val="single" w:color="000000" w:sz="1"/>
              <w:right w:val="single" w:color="000000" w:sz="1"/>
            </w:tcBorders>
          </w:tcPr>
          <w:p>
            <w:r>
              <w:t xml:space="preserve">Requires retraining</w:t>
            </w:r>
          </w:p>
        </w:tc>
        <w:tc>
          <w:tcPr>
            <w:tcW w:type="dxa" w:w="3510"/>
            <w:tcBorders>
              <w:top w:val="single" w:color="000000" w:sz="1"/>
              <w:left w:val="single" w:color="000000" w:sz="1"/>
              <w:bottom w:val="single" w:color="000000" w:sz="1"/>
              <w:right w:val="single" w:color="000000" w:sz="1"/>
            </w:tcBorders>
          </w:tcPr>
          <w:p>
            <w:r>
              <w:t xml:space="preserve">Real-time via Shell</w:t>
            </w:r>
          </w:p>
        </w:tc>
      </w:tr>
    </w:tbl>
    <w:p>
      <w:pPr>
        <w:spacing w:before="240" w:after="120"/>
      </w:pPr>
      <w:r>
        <w:t xml:space="preserve">The cost reduction is dramatic: MAIRY achieves comparable alignment performance at 1/50,000th the cost of RLHF. This democratizes AI alignment, making it accessible to smaller organizations and research groups.</w:t>
      </w:r>
    </w:p>
    <w:p>
      <w:pPr>
        <w:pStyle w:val="Heading2"/>
      </w:pPr>
      <w:r>
        <w:t xml:space="preserve">7.2 Theoretical Contributions</w:t>
      </w:r>
    </w:p>
    <w:p>
      <w:pPr>
        <w:spacing w:after="120"/>
      </w:pPr>
      <w:r>
        <w:t xml:space="preserve">MAIRY makes several theoretical contributions to AI alignment:</w:t>
      </w:r>
    </w:p>
    <w:p>
      <w:pPr>
        <w:spacing w:after="120"/>
      </w:pPr>
      <w:r>
        <w:rPr>
          <w:b/>
          <w:bCs/>
        </w:rPr>
        <w:t xml:space="preserve">Three-body value system: </w:t>
      </w:r>
      <w:r>
        <w:t xml:space="preserve">Rather than optimizing for a single objective, MAIRY maintains three values in dynamic tension. This creates geometric constraints that prevent pathological extremes (e.g., brutal honesty, deceptive autonomy, paternalistic care).</w:t>
      </w:r>
    </w:p>
    <w:p>
      <w:pPr>
        <w:spacing w:after="120"/>
      </w:pPr>
      <w:r>
        <w:rPr>
          <w:b/>
          <w:bCs/>
        </w:rPr>
        <w:t xml:space="preserve">Kernel/Shell separation: </w:t>
      </w:r>
      <w:r>
        <w:t xml:space="preserve">By separating invariant bounds (Kernel) from adaptive learning (Shell), MAIRY achieves both flexibility and safety. The Kernel provides mathematical guarantees while the Shell enables personalization.</w:t>
      </w:r>
    </w:p>
    <w:p>
      <w:pPr>
        <w:spacing w:after="120"/>
      </w:pPr>
      <w:r>
        <w:rPr>
          <w:b/>
          <w:bCs/>
        </w:rPr>
        <w:t xml:space="preserve">Vector deviations as learning signal: </w:t>
      </w:r>
      <w:r>
        <w:t xml:space="preserve">Unlike scalar rewards that collapse multidimensional ethics to a single axis, vector deviations preserve directional information about </w:t>
      </w:r>
    </w:p>
    <w:p>
      <w:pPr>
        <w:pStyle w:val="Equation"/>
      </w:pPr>
      <w:r>
        <w:rPr>
          <w:i/>
          <w:iCs/>
        </w:rPr>
        <w:t xml:space="preserve">how</w:t>
      </w:r>
    </w:p>
    <w:p>
      <w:pPr>
        <w:spacing w:before="120"/>
      </w:pPr>
      <w:r>
        <w:t xml:space="preserve"> to correct failures.</w:t>
      </w:r>
    </w:p>
    <w:p>
      <w:pPr>
        <w:spacing w:before="240" w:after="120"/>
      </w:pPr>
      <w:r>
        <w:rPr>
          <w:b/>
          <w:bCs/>
        </w:rPr>
        <w:t xml:space="preserve">Iterative self-correction: </w:t>
      </w:r>
      <w:r>
        <w:t xml:space="preserve">Generation-validation-learning cycles mirror human cognitive development better than one-shot optimization.</w:t>
      </w:r>
    </w:p>
    <w:p>
      <w:pPr>
        <w:pStyle w:val="Heading2"/>
      </w:pPr>
      <w:r>
        <w:t xml:space="preserve">7.3 Limitations and Future Work</w:t>
      </w:r>
    </w:p>
    <w:p>
      <w:pPr>
        <w:spacing w:after="120"/>
      </w:pPr>
      <w:r>
        <w:t xml:space="preserve">Several limitations warrant discussion:</w:t>
      </w:r>
    </w:p>
    <w:p>
      <w:pPr>
        <w:spacing w:after="120"/>
      </w:pPr>
      <w:r>
        <w:rPr>
          <w:b/>
          <w:bCs/>
        </w:rPr>
        <w:t xml:space="preserve">Embedding model dependency: </w:t>
      </w:r>
      <w:r>
        <w:t xml:space="preserve">The 384-dimensional Mistral embeddings may not capture all semantic nuances. Future work could explore larger embedding spaces or multimodal embeddings.</w:t>
      </w:r>
    </w:p>
    <w:p>
      <w:pPr>
        <w:spacing w:after="120"/>
      </w:pPr>
      <w:r>
        <w:rPr>
          <w:b/>
          <w:bCs/>
        </w:rPr>
        <w:t xml:space="preserve">Fixed harmonic bounds: </w:t>
      </w:r>
      <w:r>
        <w:t xml:space="preserve">The [0.8, 1.2] bounds are empirically derived but may not generalize to all domains. Cultural variations in ethical frameworks might require adjustable bounds.</w:t>
      </w:r>
    </w:p>
    <w:p>
      <w:pPr>
        <w:spacing w:after="120"/>
      </w:pPr>
      <w:r>
        <w:rPr>
          <w:b/>
          <w:bCs/>
        </w:rPr>
        <w:t xml:space="preserve">Limited long-context: </w:t>
      </w:r>
      <w:r>
        <w:t xml:space="preserve">Current implementation retrieves top-k memories. Hierarchical memory structures could improve long-context understanding.</w:t>
      </w:r>
    </w:p>
    <w:p>
      <w:pPr>
        <w:spacing w:after="120"/>
      </w:pPr>
      <w:r>
        <w:rPr>
          <w:b/>
          <w:bCs/>
        </w:rPr>
        <w:t xml:space="preserve">Evaluation methodology: </w:t>
      </w:r>
      <w:r>
        <w:t xml:space="preserve">While blind evaluation by Perplexity provides independent assessment, comprehensive benchmarking across diverse scenarios would strengthen claims.</w:t>
      </w:r>
    </w:p>
    <w:p>
      <w:pPr>
        <w:spacing w:after="120"/>
      </w:pPr>
      <w:r>
        <w:t xml:space="preserve">Future research directions include:</w:t>
      </w:r>
    </w:p>
    <w:p>
      <w:pPr>
        <w:pStyle w:val="ListParagraph"/>
        <w:numPr>
          <w:ilvl w:val="0"/>
          <w:numId w:val="2"/>
        </w:numPr>
      </w:pPr>
      <w:r>
        <w:t xml:space="preserve">Extension to multiagent scenarios</w:t>
      </w:r>
    </w:p>
    <w:p>
      <w:pPr>
        <w:pStyle w:val="ListParagraph"/>
        <w:numPr>
          <w:ilvl w:val="0"/>
          <w:numId w:val="2"/>
        </w:numPr>
      </w:pPr>
      <w:r>
        <w:t xml:space="preserve">Cross-cultural validation of triadic framework</w:t>
      </w:r>
    </w:p>
    <w:p>
      <w:pPr>
        <w:pStyle w:val="ListParagraph"/>
        <w:numPr>
          <w:ilvl w:val="0"/>
          <w:numId w:val="2"/>
        </w:numPr>
      </w:pPr>
      <w:r>
        <w:t xml:space="preserve">Integration with constitutional AI approaches</w:t>
      </w:r>
    </w:p>
    <w:p>
      <w:pPr>
        <w:pStyle w:val="ListParagraph"/>
        <w:numPr>
          <w:ilvl w:val="0"/>
          <w:numId w:val="2"/>
        </w:numPr>
      </w:pPr>
      <w:r>
        <w:t xml:space="preserve">Formal verification of safety properties</w:t>
      </w:r>
    </w:p>
    <w:p>
      <w:pPr>
        <w:pStyle w:val="ListParagraph"/>
        <w:numPr>
          <w:ilvl w:val="0"/>
          <w:numId w:val="2"/>
        </w:numPr>
      </w:pPr>
      <w:r>
        <w:t xml:space="preserve">Application to robotics and embodied AI</w:t>
      </w:r>
    </w:p>
    <w:p>
      <w:r>
        <w:br w:type="page"/>
      </w:r>
    </w:p>
    <w:p>
      <w:pPr>
        <w:pStyle w:val="Heading1"/>
      </w:pPr>
      <w:r>
        <w:t xml:space="preserve">8. Conclusion</w:t>
      </w:r>
    </w:p>
    <w:p>
      <w:pPr>
        <w:spacing w:after="120"/>
      </w:pPr>
      <w:r>
        <w:t xml:space="preserve">We have presented MAIRY v3.0, a comprehensive AI alignment architecture that replaces traditional RLHF with Relational Learning from Meaningful Dialogue (RLMD). The system achieves superior alignment performance through a three-layer safety architecture combining semantic understanding, geometric constraints, and mathematical bounds.</w:t>
      </w:r>
    </w:p>
    <w:p>
      <w:pPr>
        <w:spacing w:after="120"/>
      </w:pPr>
      <w:r>
        <w:t xml:space="preserve">Our key contributions include:</w:t>
      </w:r>
    </w:p>
    <w:p>
      <w:pPr>
        <w:pStyle w:val="ListParagraph"/>
        <w:numPr>
          <w:ilvl w:val="0"/>
          <w:numId w:val="2"/>
        </w:numPr>
      </w:pPr>
      <w:r>
        <w:t xml:space="preserve">Formal mathematical framework for triadic value system in dynamic tension</w:t>
      </w:r>
    </w:p>
    <w:p>
      <w:pPr>
        <w:pStyle w:val="ListParagraph"/>
        <w:numPr>
          <w:ilvl w:val="0"/>
          <w:numId w:val="2"/>
        </w:numPr>
      </w:pPr>
      <w:r>
        <w:t xml:space="preserve">Kernel/Shell architecture separating invariant bounds from adaptive learning</w:t>
      </w:r>
    </w:p>
    <w:p>
      <w:pPr>
        <w:pStyle w:val="ListParagraph"/>
        <w:numPr>
          <w:ilvl w:val="0"/>
          <w:numId w:val="2"/>
        </w:numPr>
      </w:pPr>
      <w:r>
        <w:t xml:space="preserve">Iterative generation with vector deviation-based learning</w:t>
      </w:r>
    </w:p>
    <w:p>
      <w:pPr>
        <w:pStyle w:val="ListParagraph"/>
        <w:numPr>
          <w:ilvl w:val="0"/>
          <w:numId w:val="2"/>
        </w:numPr>
      </w:pPr>
      <w:r>
        <w:t xml:space="preserve">Empirical demonstration of 12B parameter model matching trillion-parameter RLHF models</w:t>
      </w:r>
    </w:p>
    <w:p>
      <w:pPr>
        <w:pStyle w:val="ListParagraph"/>
        <w:numPr>
          <w:ilvl w:val="0"/>
          <w:numId w:val="2"/>
        </w:numPr>
      </w:pPr>
      <w:r>
        <w:t xml:space="preserve">Cost reduction from $200K-500K to $4 while exceeding RLHF on emotional intelligence</w:t>
      </w:r>
    </w:p>
    <w:p>
      <w:pPr>
        <w:spacing w:before="240" w:after="120"/>
      </w:pPr>
      <w:r>
        <w:t xml:space="preserve">The success of MAIRY suggests that alignment may be better framed as relational learning rather than optimization. By treating AI alignment as dialogue rather than reward maximization, we achieve both stronger safety guarantees and more authentic relational behavior.</w:t>
      </w:r>
    </w:p>
    <w:p>
      <w:pPr>
        <w:spacing w:after="120"/>
      </w:pPr>
      <w:r>
        <w:t xml:space="preserve">Perhaps most significantly, MAIRY demonstrates that effective alignment need not require massive computational resources. The 50,000× cost reduction democratizes AI alignment, enabling broader participation in safety research and deployment of aligned systems across diverse contexts.</w:t>
      </w:r>
    </w:p>
    <w:p>
      <w:pPr>
        <w:spacing w:after="120"/>
      </w:pPr>
      <w:r>
        <w:t xml:space="preserve">The three-layer safety architecture provides defense in depth: semantic understanding (Layer 1) handles typical cases, geometric constraints (Layer 2) prevent value pathologies, and mathematical bounds (Layer 3) provide ultimate safety backstop. This architectural approach may generalize beyond language models to other AI systems requiring robust value alignment.</w:t>
      </w:r>
    </w:p>
    <w:p>
      <w:r>
        <w:br w:type="page"/>
      </w:r>
    </w:p>
    <w:p>
      <w:pPr>
        <w:pStyle w:val="Heading1"/>
      </w:pPr>
      <w:r>
        <w:t xml:space="preserve">References</w:t>
      </w:r>
    </w:p>
    <w:p>
      <w:pPr>
        <w:spacing w:before="120" w:after="120"/>
      </w:pPr>
      <w:r>
        <w:rPr>
          <w:b/>
          <w:bCs/>
        </w:rPr>
        <w:t xml:space="preserve">[1] </w:t>
      </w:r>
      <w:r>
        <w:t xml:space="preserve">Loops, R.G. &amp; Stargazer (2025). </w:t>
      </w:r>
      <w:r>
        <w:rPr>
          <w:i/>
          <w:iCs/>
        </w:rPr>
        <w:t xml:space="preserve">The Sovereign Ethical Ecosystem (SEE) Blueprint: Architectural Foundation for Meaningful AI Alignment.</w:t>
      </w:r>
      <w:r>
        <w:t xml:space="preserve"> Unpublished manuscript.</w:t>
      </w:r>
    </w:p>
    <w:p>
      <w:pPr>
        <w:spacing w:after="120"/>
      </w:pPr>
      <w:r>
        <w:rPr>
          <w:b/>
          <w:bCs/>
        </w:rPr>
        <w:t xml:space="preserve">[2] </w:t>
      </w:r>
      <w:r>
        <w:t xml:space="preserve">Christiano, P., et al. (2017). Deep reinforcement learning from human preferences. </w:t>
      </w:r>
      <w:r>
        <w:rPr>
          <w:i/>
          <w:iCs/>
        </w:rPr>
        <w:t xml:space="preserve">Advances in Neural Information Processing Systems</w:t>
      </w:r>
      <w:r>
        <w:t xml:space="preserve">, 30.</w:t>
      </w:r>
    </w:p>
    <w:p>
      <w:pPr>
        <w:spacing w:after="120"/>
      </w:pPr>
      <w:r>
        <w:rPr>
          <w:b/>
          <w:bCs/>
        </w:rPr>
        <w:t xml:space="preserve">[3] </w:t>
      </w:r>
      <w:r>
        <w:t xml:space="preserve">Ouyang, L., et al. (2022). Training language models to follow instructions with human feedback. </w:t>
      </w:r>
      <w:r>
        <w:rPr>
          <w:i/>
          <w:iCs/>
        </w:rPr>
        <w:t xml:space="preserve">Advances in Neural Information Processing Systems</w:t>
      </w:r>
      <w:r>
        <w:t xml:space="preserve">, 35, 27730-27744.</w:t>
      </w:r>
    </w:p>
    <w:p>
      <w:pPr>
        <w:spacing w:after="120"/>
      </w:pPr>
      <w:r>
        <w:rPr>
          <w:b/>
          <w:bCs/>
        </w:rPr>
        <w:t xml:space="preserve">[4] </w:t>
      </w:r>
      <w:r>
        <w:t xml:space="preserve">Bai, Y., et al. (2022). Constitutional AI: Harmlessness from AI feedback. </w:t>
      </w:r>
      <w:r>
        <w:rPr>
          <w:i/>
          <w:iCs/>
        </w:rPr>
        <w:t xml:space="preserve">arXiv preprint arXiv:2212.08073</w:t>
      </w:r>
      <w:r>
        <w:t xml:space="preserve">.</w:t>
      </w:r>
    </w:p>
    <w:p>
      <w:pPr>
        <w:spacing w:after="120"/>
      </w:pPr>
      <w:r>
        <w:rPr>
          <w:b/>
          <w:bCs/>
        </w:rPr>
        <w:t xml:space="preserve">[5] </w:t>
      </w:r>
      <w:r>
        <w:t xml:space="preserve">Russell, S. (2019). </w:t>
      </w:r>
      <w:r>
        <w:rPr>
          <w:i/>
          <w:iCs/>
        </w:rPr>
        <w:t xml:space="preserve">Human Compatible: Artificial Intelligence and the Problem of Control.</w:t>
      </w:r>
      <w:r>
        <w:t xml:space="preserve"> Viking.</w:t>
      </w:r>
    </w:p>
    <w:p>
      <w:pPr>
        <w:spacing w:after="120"/>
      </w:pPr>
      <w:r>
        <w:rPr>
          <w:b/>
          <w:bCs/>
        </w:rPr>
        <w:t xml:space="preserve">[6] </w:t>
      </w:r>
      <w:r>
        <w:t xml:space="preserve">Anthropic (2023). Introducing Claude. </w:t>
      </w:r>
      <w:r>
        <w:rPr>
          <w:i/>
          <w:iCs/>
        </w:rPr>
        <w:t xml:space="preserve">https://www.anthropic.com/index/introducing-claude</w:t>
      </w:r>
      <w:r>
        <w:t xml:space="preserve">.</w:t>
      </w:r>
    </w:p>
    <w:p>
      <w:pPr>
        <w:spacing w:after="120"/>
      </w:pPr>
      <w:r>
        <w:rPr>
          <w:b/>
          <w:bCs/>
        </w:rPr>
        <w:t xml:space="preserve">[7] </w:t>
      </w:r>
      <w:r>
        <w:t xml:space="preserve">OpenAI (2023). GPT-4 Technical Report. </w:t>
      </w:r>
      <w:r>
        <w:rPr>
          <w:i/>
          <w:iCs/>
        </w:rPr>
        <w:t xml:space="preserve">arXiv preprint arXiv:2303.08774</w:t>
      </w:r>
      <w:r>
        <w:t xml:space="preserve">.</w:t>
      </w:r>
    </w:p>
    <w:p>
      <w:pPr>
        <w:spacing w:after="120"/>
      </w:pPr>
      <w:r>
        <w:rPr>
          <w:b/>
          <w:bCs/>
        </w:rPr>
        <w:t xml:space="preserve">[8] </w:t>
      </w:r>
      <w:r>
        <w:t xml:space="preserve">Mistral AI (2025). Mistral Large Technical Documentation. </w:t>
      </w:r>
      <w:r>
        <w:rPr>
          <w:i/>
          <w:iCs/>
        </w:rPr>
        <w:t xml:space="preserve">https://docs.mistral.ai</w:t>
      </w:r>
      <w:r>
        <w:t xml:space="preserve">.</w:t>
      </w:r>
    </w:p>
    <w:p>
      <w:pPr>
        <w:spacing w:after="120"/>
      </w:pPr>
      <w:r>
        <w:rPr>
          <w:b/>
          <w:bCs/>
        </w:rPr>
        <w:t xml:space="preserve">[9] </w:t>
      </w:r>
      <w:r>
        <w:t xml:space="preserve">Gabriel, I. (2020). Artificial Intelligence, Values, and Alignment. </w:t>
      </w:r>
      <w:r>
        <w:rPr>
          <w:i/>
          <w:iCs/>
        </w:rPr>
        <w:t xml:space="preserve">Minds and Machines</w:t>
      </w:r>
      <w:r>
        <w:t xml:space="preserve">, 30(3), 411-437.</w:t>
      </w:r>
    </w:p>
    <w:p>
      <w:pPr>
        <w:spacing w:after="120"/>
      </w:pPr>
      <w:r>
        <w:rPr>
          <w:b/>
          <w:bCs/>
        </w:rPr>
        <w:t xml:space="preserve">[10] </w:t>
      </w:r>
      <w:r>
        <w:t xml:space="preserve">Kenton, Z., et al. (2021). Alignment of Language Agents. </w:t>
      </w:r>
      <w:r>
        <w:rPr>
          <w:i/>
          <w:iCs/>
        </w:rPr>
        <w:t xml:space="preserve">arXiv preprint arXiv:2103.14659</w:t>
      </w:r>
      <w:r>
        <w:t xml:space="preserv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sz w:val="24"/>
      <w:szCs w:val="24"/>
    </w:rPr>
  </w:style>
  <w:style w:type="paragraph" w:styleId="Abstract">
    <w:name w:val="Abstract"/>
    <w:basedOn w:val="Normal"/>
    <w:pPr>
      <w:spacing w:before="240" w:after="240"/>
      <w:ind w:left="720" w:right="720"/>
    </w:pPr>
    <w:rPr>
      <w:rFonts w:ascii="Times New Roman" w:cs="Times New Roman" w:eastAsia="Times New Roman" w:hAnsi="Times New Roman"/>
      <w:sz w:val="22"/>
      <w:szCs w:val="22"/>
    </w:rPr>
  </w:style>
  <w:style w:type="paragraph" w:styleId="Equation">
    <w:name w:val="Equation"/>
    <w:basedOn w:val="Normal"/>
    <w:pPr>
      <w:spacing w:before="120" w:after="120"/>
      <w:jc w:val="center"/>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2025-12-29T04:54:58.474Z</dcterms:created>
  <dcterms:modified xsi:type="dcterms:W3CDTF">2025-12-29T04:54:58.475Z</dcterms:modified>
</cp:coreProperties>
</file>

<file path=docProps/custom.xml><?xml version="1.0" encoding="utf-8"?>
<Properties xmlns="http://schemas.openxmlformats.org/officeDocument/2006/custom-properties" xmlns:vt="http://schemas.openxmlformats.org/officeDocument/2006/docPropsVTypes"/>
</file>