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C478E" w14:textId="77777777" w:rsidR="0003309E" w:rsidRDefault="0003309E" w:rsidP="0003309E"/>
    <w:p w14:paraId="6601F51D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5EB530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7859BA71" w14:textId="77777777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2552703F" w14:textId="77777777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Portafolio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de Título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C5EB530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7859BA71" w14:textId="77777777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2552703F" w14:textId="77777777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Portafolio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de Título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4255444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71EA2C6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D575953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B0AA55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769CF4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B701103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C1FD06D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054967CD" w14:textId="77777777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60E4BC41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1B8BE534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4216E494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34BC8E0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29DE1B4A" w14:textId="77777777" w:rsidTr="000A1331">
        <w:tc>
          <w:tcPr>
            <w:tcW w:w="2528" w:type="dxa"/>
            <w:vAlign w:val="center"/>
          </w:tcPr>
          <w:p w14:paraId="0D65FB51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1C66FFE9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proofErr w:type="spellStart"/>
            <w:r w:rsidRPr="00711C1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NetAudit dispone de arquitectura modular, laboratorio CSR1000v, recolección SSH de solo lectura, parsing, CLI y API FastAPI. main integra ocho reglas y cuatro comandos. feature/evaluacion-2-validacion contiene 21 reglas y ocho comandos, aún sin fusionar. Persistencia relacional, interfaz, reportes finales e IA explicativa siguen pendientes. Equipo: Axl Urrutia, Thomas Henriquez, Maikol Mamani y Emilio Cortes. Corte: 12/10/2026.</w:t>
            </w:r>
            <w:proofErr w:type="spellEnd"/>
            <w:r w:rsidRPr="00711C1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/>
            </w:r>
            <w:proofErr w:type="spellStart"/>
            <w:r w:rsidRPr="00711C1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/>
            </w:r>
            <w:proofErr w:type="spellEnd"/>
            <w:r w:rsidRPr="00711C1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/>
            </w:r>
            <w:proofErr w:type="spellStart"/>
            <w:r w:rsidRPr="00711C1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/>
            </w:r>
            <w:proofErr w:type="spellEnd"/>
            <w:r w:rsidRPr="00711C1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/>
            </w:r>
            <w:proofErr w:type="spellStart"/>
            <w:r w:rsidRPr="00711C1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/>
            </w:r>
            <w:proofErr w:type="spellEnd"/>
            <w:r w:rsidRPr="00711C1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/>
            </w:r>
            <w:proofErr w:type="spellStart"/>
            <w:r w:rsidRPr="00711C1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/>
            </w:r>
            <w:proofErr w:type="spellEnd"/>
            <w:r w:rsidRPr="00711C1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/>
            </w:r>
          </w:p>
          <w:p w14:paraId="367461F1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/>
            </w:r>
          </w:p>
        </w:tc>
      </w:tr>
      <w:tr w:rsidR="0003309E" w14:paraId="4E016DA0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48C9BD53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7E70F204" w14:textId="77777777" w:rsidR="0003309E" w:rsidRPr="00A370C8" w:rsidRDefault="0003309E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No cambió el objetivo general. La retroalimentación docente precisó el alcance: se reforzó la separación entre auditoría y automatización de configuraciones. NetAudit analiza evidencia de solo lectura mediante reglas deterministas y no aplica cambios en los equipos.</w:t>
            </w:r>
          </w:p>
        </w:tc>
      </w:tr>
      <w:tr w:rsidR="0003309E" w14:paraId="132A5C29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27D77BCD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10B537CD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Mantenemos el desarrollo incremental declarado en Fase 1. Cada entrega incorpora una capacidad verificable, sus pruebas y documentación; Git/GitHub permite revisar los cambios y conservar su trazabilidad.</w:t>
            </w:r>
          </w:p>
        </w:tc>
      </w:tr>
      <w:tr w:rsidR="0003309E" w14:paraId="31DC157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5B1E5C9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36D2386A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Evidencias en src/, tests/ y docs/: arquitectura, catálogo y registros. Presentaciones realizadas el 22/09 y el 06/10 (Evaluación 2), incorporadas como evidencia académica. Suite del 12/10: main, 314 passed y 1 warning; rama adicional, 703 passed y 1 warning. La evidencia de laboratorio es histórica. Hallazgos solo desde FAIL.</w:t>
            </w:r>
            <w:proofErr w:type="spellStart"/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/>
            </w:r>
            <w:proofErr w:type="spellEnd"/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/>
            </w:r>
            <w:proofErr w:type="spellStart"/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/>
            </w:r>
            <w:proofErr w:type="spellEnd"/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/>
            </w:r>
            <w:proofErr w:type="spellStart"/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/>
            </w:r>
            <w:proofErr w:type="spellEnd"/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/>
            </w:r>
            <w:proofErr w:type="spellStart"/>
            <w:r w:rsidRPr="006B5A53">
              <w:rPr>
                <w:rFonts w:ascii="Calibri" w:hAnsi="Calibri" w:cs="Arial"/>
                <w:i/>
                <w:color w:val="548DD4"/>
                <w:sz w:val="20"/>
                <w:szCs w:val="20"/>
                <w:lang w:val="en-US" w:eastAsia="es-CL"/>
              </w:rPr>
              <w:t/>
            </w:r>
            <w:proofErr w:type="spellEnd"/>
            <w:r w:rsidRPr="006B5A53">
              <w:rPr>
                <w:rFonts w:ascii="Calibri" w:hAnsi="Calibri" w:cs="Arial"/>
                <w:i/>
                <w:color w:val="548DD4"/>
                <w:sz w:val="20"/>
                <w:szCs w:val="20"/>
                <w:lang w:val="en-US" w:eastAsia="es-CL"/>
              </w:rPr>
              <w:t xml:space="preserve"/>
            </w:r>
            <w:proofErr w:type="spellStart"/>
            <w:r w:rsidRPr="006B5A53">
              <w:rPr>
                <w:rFonts w:ascii="Calibri" w:hAnsi="Calibri" w:cs="Arial"/>
                <w:i/>
                <w:color w:val="548DD4"/>
                <w:sz w:val="20"/>
                <w:szCs w:val="20"/>
                <w:lang w:val="en-US" w:eastAsia="es-CL"/>
              </w:rPr>
              <w:t/>
            </w:r>
            <w:proofErr w:type="spellEnd"/>
            <w:r w:rsidRPr="006B5A53">
              <w:rPr>
                <w:rFonts w:ascii="Calibri" w:hAnsi="Calibri" w:cs="Arial"/>
                <w:i/>
                <w:color w:val="548DD4"/>
                <w:sz w:val="20"/>
                <w:szCs w:val="20"/>
                <w:lang w:val="en-US" w:eastAsia="es-CL"/>
              </w:rPr>
              <w:t xml:space="preserve"/>
            </w:r>
            <w:proofErr w:type="spellStart"/>
            <w:r w:rsidRPr="006B5A53">
              <w:rPr>
                <w:rFonts w:ascii="Calibri" w:hAnsi="Calibri" w:cs="Arial"/>
                <w:i/>
                <w:color w:val="548DD4"/>
                <w:sz w:val="20"/>
                <w:szCs w:val="20"/>
                <w:lang w:val="en-US" w:eastAsia="es-CL"/>
              </w:rPr>
              <w:t/>
            </w:r>
            <w:proofErr w:type="spellEnd"/>
            <w:r w:rsidRPr="006B5A53">
              <w:rPr>
                <w:rFonts w:ascii="Calibri" w:hAnsi="Calibri" w:cs="Arial"/>
                <w:i/>
                <w:color w:val="548DD4"/>
                <w:sz w:val="20"/>
                <w:szCs w:val="20"/>
                <w:lang w:val="en-US" w:eastAsia="es-CL"/>
              </w:rPr>
              <w:t xml:space="preserve"/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/>
            </w:r>
          </w:p>
          <w:p w14:paraId="39CAF926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/>
            </w:r>
          </w:p>
          <w:p w14:paraId="3AC4FAF3" w14:textId="77777777" w:rsidR="0003309E" w:rsidRPr="00A370C8" w:rsidRDefault="0003309E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/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2DDE576A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632F6FBB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4900DCDE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45CC485C" w14:textId="77777777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41261C9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10768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329"/>
        <w:gridCol w:w="1329"/>
        <w:gridCol w:w="1329"/>
        <w:gridCol w:w="1329"/>
        <w:gridCol w:w="1329"/>
        <w:gridCol w:w="1329"/>
        <w:gridCol w:w="1466"/>
      </w:tblGrid>
      <w:tr w:rsidR="00FD5149" w:rsidRPr="006E3B0D" w14:paraId="15442B90" w14:textId="77777777" w:rsidTr="00FD5149">
        <w:trPr>
          <w:trHeight w:val="415"/>
          <w:tblHeader/>
          <w:jc w:val="center"/>
        </w:trPr>
        <w:tc>
          <w:tcPr>
            <w:tcW w:w="10768" w:type="dxa"/>
            <w:gridSpan w:val="8"/>
            <w:vAlign w:val="center"/>
          </w:tcPr>
          <w:p w14:paraId="6E24CFC8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4CFD934D" w14:textId="77777777" w:rsidTr="00FD5149">
        <w:trPr>
          <w:trHeight w:val="705"/>
          <w:tblHeader/>
          <w:jc w:val="center"/>
        </w:trPr>
        <w:tc>
          <w:tcPr>
            <w:tcW w:w="1328" w:type="dxa"/>
            <w:vAlign w:val="center"/>
          </w:tcPr>
          <w:p w14:paraId="7347E92F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329" w:type="dxa"/>
            <w:vAlign w:val="center"/>
          </w:tcPr>
          <w:p w14:paraId="28C9A0EB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329" w:type="dxa"/>
            <w:vAlign w:val="center"/>
          </w:tcPr>
          <w:p w14:paraId="5A2F202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329" w:type="dxa"/>
            <w:vAlign w:val="center"/>
          </w:tcPr>
          <w:p w14:paraId="5CF053C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329" w:type="dxa"/>
            <w:vAlign w:val="center"/>
          </w:tcPr>
          <w:p w14:paraId="0ACABF3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329" w:type="dxa"/>
            <w:vAlign w:val="center"/>
          </w:tcPr>
          <w:p w14:paraId="1F15F36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329" w:type="dxa"/>
            <w:vAlign w:val="center"/>
          </w:tcPr>
          <w:p w14:paraId="282865A8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1466" w:type="dxa"/>
            <w:vAlign w:val="center"/>
          </w:tcPr>
          <w:p w14:paraId="30D0955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20A89B2B" w14:textId="77777777" w:rsidTr="00FD5149">
        <w:trPr>
          <w:cantSplit/>
          <w:jc w:val="center"/>
        </w:trPr>
        <w:tc>
          <w:tcPr>
            <w:tcW w:w="1328" w:type="dxa"/>
          </w:tcPr>
          <w:p w14:paraId="3708DE5E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/>
              <w:t xml:space="preserve">Diseñar</w:t>
              <w:t xml:space="preserve"> </w:t>
              <w:t>solu</w:t>
              <w:softHyphen/>
              <w:t>ciones</w:t>
              <w:t xml:space="preserve"> </w:t>
              <w:t xml:space="preserve">de</w:t>
              <w:t xml:space="preserve"> </w:t>
              <w:t>conect</w:t>
              <w:softHyphen/>
              <w:t>ividad</w:t>
              <w:t xml:space="preserve"> </w:t>
              <w:t>utili</w:t>
              <w:softHyphen/>
              <w:t>zando</w:t>
              <w:t xml:space="preserve"> </w:t>
              <w:t>tenden</w:t>
              <w:softHyphen/>
              <w:t>cias</w:t>
              <w:t xml:space="preserve"> </w:t>
              <w:t>tecno</w:t>
              <w:softHyphen/>
              <w:t>lógicas</w:t>
              <w:t xml:space="preserve"> </w:t>
              <w:t>vigen</w:t>
              <w:softHyphen/>
              <w:t>tes</w:t>
              <w:t xml:space="preserve"> </w:t>
              <w:t xml:space="preserve">para</w:t>
              <w:t xml:space="preserve"> </w:t>
              <w:t xml:space="preserve">resolver</w:t>
              <w:t xml:space="preserve"> </w:t>
              <w:t>necesi</w:t>
              <w:softHyphen/>
              <w:t>dades</w:t>
              <w:t xml:space="preserve"> </w:t>
              <w:t xml:space="preserve">de</w:t>
              <w:t xml:space="preserve"> </w:t>
              <w:t>innova</w:t>
              <w:softHyphen/>
              <w:t>ción</w:t>
              <w:t xml:space="preserve"> </w:t>
              <w:t xml:space="preserve">de</w:t>
              <w:t xml:space="preserve"> </w:t>
              <w:t xml:space="preserve">la</w:t>
              <w:t xml:space="preserve"> </w:t>
              <w:t>organi</w:t>
              <w:softHyphen/>
              <w:t>zación</w:t>
              <w:t xml:space="preserve"> </w:t>
              <w:t xml:space="preserve">según</w:t>
              <w:t xml:space="preserve"> </w:t>
              <w:t>están</w:t>
              <w:softHyphen/>
              <w:t>dares</w:t>
              <w:t xml:space="preserve"> </w:t>
              <w:t xml:space="preserve">de</w:t>
              <w:t xml:space="preserve"> </w:t>
              <w:t>refe</w:t>
              <w:softHyphen/>
              <w:t>rencia</w:t>
              <w:t xml:space="preserve">.</w:t>
            </w:r>
          </w:p>
        </w:tc>
        <w:tc>
          <w:tcPr>
            <w:tcW w:w="1329" w:type="dxa"/>
          </w:tcPr>
          <w:p w14:paraId="6A479D7A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Definición de alcance y requerimientos</w:t>
            </w:r>
          </w:p>
        </w:tc>
        <w:tc>
          <w:tcPr>
            <w:tcW w:w="1329" w:type="dxa"/>
          </w:tcPr>
          <w:p w14:paraId="58714FA6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Guía APT; Git/GitHub</w:t>
            </w:r>
          </w:p>
        </w:tc>
        <w:tc>
          <w:tcPr>
            <w:tcW w:w="1329" w:type="dxa"/>
          </w:tcPr>
          <w:p w14:paraId="0E097697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  <w:t>Semanas 1–2 (2 semanas)</w:t>
            </w:r>
          </w:p>
        </w:tc>
        <w:tc>
          <w:tcPr>
            <w:tcW w:w="1329" w:type="dxa"/>
          </w:tcPr>
          <w:p w14:paraId="1C1725D2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Axl Urrutia</w:t>
            </w:r>
          </w:p>
          <w:p w14:paraId="3F12AE26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Thomas Henriquez</w:t>
            </w:r>
          </w:p>
          <w:p w14:paraId="4AAFBEDF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Maikol Mamani</w:t>
            </w:r>
          </w:p>
          <w:p w14:paraId="533A4D66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Emilio Cortes</w:t>
            </w:r>
          </w:p>
        </w:tc>
        <w:tc>
          <w:tcPr>
            <w:tcW w:w="1329" w:type="dxa"/>
          </w:tcPr>
          <w:p w14:paraId="7EB81A77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Alcance y restricciones definidos.</w:t>
            </w:r>
          </w:p>
        </w:tc>
        <w:tc>
          <w:tcPr>
            <w:tcW w:w="1329" w:type="dxa"/>
          </w:tcPr>
          <w:p w14:paraId="77DC5451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1466" w:type="dxa"/>
          </w:tcPr>
          <w:p w14:paraId="5A9BA8D3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Precisar el alcance de solo lectura.</w:t>
            </w:r>
          </w:p>
        </w:tc>
      </w:tr>
      <w:tr w:rsidR="00FD5149" w:rsidRPr="006E3B0D" w14:paraId="659FE2FE" w14:textId="77777777" w:rsidTr="00FD5149">
        <w:trPr>
          <w:cantSplit/>
          <w:jc w:val="center"/>
        </w:trPr>
        <w:tc>
          <w:tcPr>
            <w:tcW w:w="1328" w:type="dxa"/>
          </w:tcPr>
          <w:p w14:paraId="3708DE5E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/>
              <w:t xml:space="preserve">Diseñar</w:t>
              <w:t xml:space="preserve"> </w:t>
              <w:t>solu</w:t>
              <w:softHyphen/>
              <w:t>ciones</w:t>
              <w:t xml:space="preserve"> </w:t>
              <w:t xml:space="preserve">de</w:t>
              <w:t xml:space="preserve"> </w:t>
              <w:t>conect</w:t>
              <w:softHyphen/>
              <w:t>ividad</w:t>
              <w:t xml:space="preserve"> </w:t>
              <w:t>utili</w:t>
              <w:softHyphen/>
              <w:t>zando</w:t>
              <w:t xml:space="preserve"> </w:t>
              <w:t>tenden</w:t>
              <w:softHyphen/>
              <w:t>cias</w:t>
              <w:t xml:space="preserve"> </w:t>
              <w:t>tecno</w:t>
              <w:softHyphen/>
              <w:t>lógicas</w:t>
              <w:t xml:space="preserve"> </w:t>
              <w:t>vigen</w:t>
              <w:softHyphen/>
              <w:t>tes</w:t>
              <w:t xml:space="preserve"> </w:t>
              <w:t xml:space="preserve">para</w:t>
              <w:t xml:space="preserve"> </w:t>
              <w:t xml:space="preserve">resolver</w:t>
              <w:t xml:space="preserve"> </w:t>
              <w:t>necesi</w:t>
              <w:softHyphen/>
              <w:t>dades</w:t>
              <w:t xml:space="preserve"> </w:t>
              <w:t xml:space="preserve">de</w:t>
              <w:t xml:space="preserve"> </w:t>
              <w:t>innova</w:t>
              <w:softHyphen/>
              <w:t>ción</w:t>
              <w:t xml:space="preserve"> </w:t>
              <w:t xml:space="preserve">de</w:t>
              <w:t xml:space="preserve"> </w:t>
              <w:t xml:space="preserve">la</w:t>
              <w:t xml:space="preserve"> </w:t>
              <w:t>organi</w:t>
              <w:softHyphen/>
              <w:t>zación</w:t>
              <w:t xml:space="preserve"> </w:t>
              <w:t xml:space="preserve">según</w:t>
              <w:t xml:space="preserve"> </w:t>
              <w:t>están</w:t>
              <w:softHyphen/>
              <w:t>dares</w:t>
              <w:t xml:space="preserve"> </w:t>
              <w:t xml:space="preserve">de</w:t>
              <w:t xml:space="preserve"> </w:t>
              <w:t>refe</w:t>
              <w:softHyphen/>
              <w:t>rencia</w:t>
              <w:t xml:space="preserve">.</w:t>
            </w:r>
          </w:p>
        </w:tc>
        <w:tc>
          <w:tcPr>
            <w:tcW w:w="1329" w:type="dxa"/>
          </w:tcPr>
          <w:p w14:paraId="0EEBB6E2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Diseño de arquitectura y laboratorio</w:t>
            </w:r>
          </w:p>
        </w:tc>
        <w:tc>
          <w:tcPr>
            <w:tcW w:w="1329" w:type="dxa"/>
          </w:tcPr>
          <w:p w14:paraId="03D3B653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VirtualBox; CSR1000v; Cisco IOS XE</w:t>
            </w:r>
          </w:p>
        </w:tc>
        <w:tc>
          <w:tcPr>
            <w:tcW w:w="1329" w:type="dxa"/>
          </w:tcPr>
          <w:p w14:paraId="6C0646CC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  <w:t>Semanas 2–4 (3 semanas)</w:t>
            </w:r>
          </w:p>
        </w:tc>
        <w:tc>
          <w:tcPr>
            <w:tcW w:w="1329" w:type="dxa"/>
          </w:tcPr>
          <w:p w14:paraId="47D6E63D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Axl Urrutia</w:t>
            </w:r>
          </w:p>
          <w:p w14:paraId="1A4B7BD1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Thomas Henriquez</w:t>
            </w:r>
          </w:p>
        </w:tc>
        <w:tc>
          <w:tcPr>
            <w:tcW w:w="1329" w:type="dxa"/>
          </w:tcPr>
          <w:p w14:paraId="5CD9C99B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Laboratorio virtual documentado.</w:t>
            </w:r>
          </w:p>
        </w:tc>
        <w:tc>
          <w:tcPr>
            <w:tcW w:w="1329" w:type="dxa"/>
          </w:tcPr>
          <w:p w14:paraId="2A18207E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1466" w:type="dxa"/>
          </w:tcPr>
          <w:p w14:paraId="7AA34BCD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Mantener VirtualBox como plataforma utilizada.</w:t>
            </w:r>
          </w:p>
        </w:tc>
      </w:tr>
      <w:tr w:rsidR="00FD5149" w:rsidRPr="006E3B0D" w14:paraId="0B1AEDE9" w14:textId="77777777" w:rsidTr="00FD5149">
        <w:trPr>
          <w:cantSplit/>
          <w:jc w:val="center"/>
        </w:trPr>
        <w:tc>
          <w:tcPr>
            <w:tcW w:w="1328" w:type="dxa"/>
          </w:tcPr>
          <w:p w14:paraId="41D41D4A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/>
              <w:t>Monito</w:t>
              <w:softHyphen/>
              <w:t>rear</w:t>
              <w:t xml:space="preserve"> </w:t>
              <w:t xml:space="preserve">el</w:t>
              <w:t xml:space="preserve"> </w:t>
              <w:t>cumpli</w:t>
              <w:softHyphen/>
              <w:t>miento</w:t>
              <w:t xml:space="preserve"> </w:t>
              <w:t xml:space="preserve">de</w:t>
              <w:t xml:space="preserve"> </w:t>
              <w:t xml:space="preserve">las</w:t>
              <w:t xml:space="preserve"> </w:t>
              <w:t xml:space="preserve">políticas</w:t>
              <w:t xml:space="preserve"> </w:t>
              <w:t xml:space="preserve">de</w:t>
              <w:t xml:space="preserve"> </w:t>
              <w:t>segu</w:t>
              <w:softHyphen/>
              <w:t>ridad</w:t>
              <w:t xml:space="preserve"> </w:t>
              <w:t>asegu</w:t>
              <w:softHyphen/>
              <w:t>rando</w:t>
              <w:t xml:space="preserve"> </w:t>
              <w:t>protec</w:t>
              <w:softHyphen/>
              <w:t>ción</w:t>
              <w:t xml:space="preserve"> </w:t>
              <w:t xml:space="preserve">de</w:t>
              <w:t xml:space="preserve"> </w:t>
              <w:t>servi</w:t>
              <w:softHyphen/>
              <w:t>cios</w:t>
              <w:t xml:space="preserve"> </w:t>
              <w:t xml:space="preserve">de</w:t>
              <w:t xml:space="preserve"> </w:t>
              <w:t xml:space="preserve">red</w:t>
              <w:t xml:space="preserve">, </w:t>
              <w:t>servi</w:t>
              <w:softHyphen/>
              <w:t>dores</w:t>
              <w:t xml:space="preserve">, </w:t>
              <w:t xml:space="preserve">equipos</w:t>
              <w:t xml:space="preserve"> </w:t>
              <w:t xml:space="preserve">de</w:t>
              <w:t xml:space="preserve"> </w:t>
              <w:t xml:space="preserve">usuario</w:t>
              <w:t xml:space="preserve"> </w:t>
              <w:t xml:space="preserve">final</w:t>
              <w:t xml:space="preserve"> </w:t>
              <w:t xml:space="preserve">y</w:t>
              <w:t xml:space="preserve"> </w:t>
              <w:t>continu</w:t>
              <w:softHyphen/>
              <w:t>idad</w:t>
              <w:t xml:space="preserve"> </w:t>
              <w:t>opera</w:t>
              <w:softHyphen/>
              <w:t>cional</w:t>
              <w:t xml:space="preserve"> </w:t>
              <w:t xml:space="preserve">de</w:t>
              <w:t xml:space="preserve"> </w:t>
              <w:t xml:space="preserve">la</w:t>
              <w:t xml:space="preserve"> </w:t>
              <w:t>organi</w:t>
              <w:softHyphen/>
              <w:t>zación</w:t>
              <w:t xml:space="preserve"> </w:t>
              <w:t xml:space="preserve">de</w:t>
              <w:t xml:space="preserve"> </w:t>
              <w:t xml:space="preserve">acuerdo</w:t>
              <w:t xml:space="preserve"> </w:t>
              <w:t xml:space="preserve">a</w:t>
              <w:t xml:space="preserve"> </w:t>
              <w:t xml:space="preserve">las</w:t>
              <w:t xml:space="preserve"> </w:t>
              <w:t>necesi</w:t>
              <w:softHyphen/>
              <w:t>dades</w:t>
              <w:t xml:space="preserve"> </w:t>
              <w:t xml:space="preserve">de</w:t>
              <w:t xml:space="preserve"> </w:t>
              <w:t xml:space="preserve">uso</w:t>
              <w:t xml:space="preserve">, </w:t>
              <w:t>condi</w:t>
              <w:softHyphen/>
              <w:t>ciones</w:t>
              <w:t xml:space="preserve"> </w:t>
              <w:t xml:space="preserve">de</w:t>
              <w:t xml:space="preserve"> </w:t>
              <w:t>segu</w:t>
              <w:softHyphen/>
              <w:t>ridad</w:t>
              <w:t xml:space="preserve"> </w:t>
              <w:t xml:space="preserve">y</w:t>
              <w:t xml:space="preserve"> </w:t>
              <w:t xml:space="preserve">políticas</w:t>
              <w:t xml:space="preserve"> </w:t>
              <w:t xml:space="preserve">de</w:t>
              <w:t xml:space="preserve"> </w:t>
              <w:t xml:space="preserve">la</w:t>
              <w:t xml:space="preserve"> </w:t>
              <w:t>indus</w:t>
              <w:softHyphen/>
              <w:t>tria</w:t>
              <w:t xml:space="preserve">.</w:t>
            </w:r>
          </w:p>
        </w:tc>
        <w:tc>
          <w:tcPr>
            <w:tcW w:w="1329" w:type="dxa"/>
          </w:tcPr>
          <w:p w14:paraId="017472C2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Recolección y procesamiento de evidencia</w:t>
            </w:r>
          </w:p>
        </w:tc>
        <w:tc>
          <w:tcPr>
            <w:tcW w:w="1329" w:type="dxa"/>
          </w:tcPr>
          <w:p w14:paraId="6B632BE7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Python; Netmiko; TextFSM</w:t>
            </w:r>
          </w:p>
        </w:tc>
        <w:tc>
          <w:tcPr>
            <w:tcW w:w="1329" w:type="dxa"/>
          </w:tcPr>
          <w:p w14:paraId="56983C4C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  <w:t>Semanas 5–7 (3 semanas)</w:t>
            </w:r>
          </w:p>
        </w:tc>
        <w:tc>
          <w:tcPr>
            <w:tcW w:w="1329" w:type="dxa"/>
          </w:tcPr>
          <w:p w14:paraId="294E0CE6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Axl Urrutia</w:t>
            </w:r>
          </w:p>
          <w:p w14:paraId="32518C80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Thomas Henriquez</w:t>
            </w:r>
          </w:p>
        </w:tc>
        <w:tc>
          <w:tcPr>
            <w:tcW w:w="1329" w:type="dxa"/>
          </w:tcPr>
          <w:p w14:paraId="7D87E622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Recolección por lista blanca de comandos SSH.</w:t>
            </w:r>
          </w:p>
        </w:tc>
        <w:tc>
          <w:tcPr>
            <w:tcW w:w="1329" w:type="dxa"/>
          </w:tcPr>
          <w:p w14:paraId="6194AC2C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1466" w:type="dxa"/>
          </w:tcPr>
          <w:p w14:paraId="1F9DFDB6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 rama Evaluación 2 amplía a ocho comandos.</w:t>
            </w:r>
          </w:p>
        </w:tc>
      </w:tr>
      <w:tr w:rsidR="00FD5149" w:rsidRPr="006E3B0D" w14:paraId="3C61A322" w14:textId="77777777" w:rsidTr="00FD5149">
        <w:trPr>
          <w:cantSplit/>
          <w:jc w:val="center"/>
        </w:trPr>
        <w:tc>
          <w:tcPr>
            <w:tcW w:w="1328" w:type="dxa"/>
          </w:tcPr>
          <w:p w14:paraId="41D41D4A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/>
              <w:t>Monito</w:t>
              <w:softHyphen/>
              <w:t>rear</w:t>
              <w:t xml:space="preserve"> </w:t>
              <w:t xml:space="preserve">el</w:t>
              <w:t xml:space="preserve"> </w:t>
              <w:t>cumpli</w:t>
              <w:softHyphen/>
              <w:t>miento</w:t>
              <w:t xml:space="preserve"> </w:t>
              <w:t xml:space="preserve">de</w:t>
              <w:t xml:space="preserve"> </w:t>
              <w:t xml:space="preserve">las</w:t>
              <w:t xml:space="preserve"> </w:t>
              <w:t xml:space="preserve">políticas</w:t>
              <w:t xml:space="preserve"> </w:t>
              <w:t xml:space="preserve">de</w:t>
              <w:t xml:space="preserve"> </w:t>
              <w:t>segu</w:t>
              <w:softHyphen/>
              <w:t>ridad</w:t>
              <w:t xml:space="preserve"> </w:t>
              <w:t>asegu</w:t>
              <w:softHyphen/>
              <w:t>rando</w:t>
              <w:t xml:space="preserve"> </w:t>
              <w:t>protec</w:t>
              <w:softHyphen/>
              <w:t>ción</w:t>
              <w:t xml:space="preserve"> </w:t>
              <w:t xml:space="preserve">de</w:t>
              <w:t xml:space="preserve"> </w:t>
              <w:t>servi</w:t>
              <w:softHyphen/>
              <w:t>cios</w:t>
              <w:t xml:space="preserve"> </w:t>
              <w:t xml:space="preserve">de</w:t>
              <w:t xml:space="preserve"> </w:t>
              <w:t xml:space="preserve">red</w:t>
              <w:t xml:space="preserve">, </w:t>
              <w:t>servi</w:t>
              <w:softHyphen/>
              <w:t>dores</w:t>
              <w:t xml:space="preserve">, </w:t>
              <w:t xml:space="preserve">equipos</w:t>
              <w:t xml:space="preserve"> </w:t>
              <w:t xml:space="preserve">de</w:t>
              <w:t xml:space="preserve"> </w:t>
              <w:t xml:space="preserve">usuario</w:t>
              <w:t xml:space="preserve"> </w:t>
              <w:t xml:space="preserve">final</w:t>
              <w:t xml:space="preserve"> </w:t>
              <w:t xml:space="preserve">y</w:t>
              <w:t xml:space="preserve"> </w:t>
              <w:t>continu</w:t>
              <w:softHyphen/>
              <w:t>idad</w:t>
              <w:t xml:space="preserve"> </w:t>
              <w:t>opera</w:t>
              <w:softHyphen/>
              <w:t>cional</w:t>
              <w:t xml:space="preserve"> </w:t>
              <w:t xml:space="preserve">de</w:t>
              <w:t xml:space="preserve"> </w:t>
              <w:t xml:space="preserve">la</w:t>
              <w:t xml:space="preserve"> </w:t>
              <w:t>organi</w:t>
              <w:softHyphen/>
              <w:t>zación</w:t>
              <w:t xml:space="preserve"> </w:t>
              <w:t xml:space="preserve">de</w:t>
              <w:t xml:space="preserve"> </w:t>
              <w:t xml:space="preserve">acuerdo</w:t>
              <w:t xml:space="preserve"> </w:t>
              <w:t xml:space="preserve">a</w:t>
              <w:t xml:space="preserve"> </w:t>
              <w:t xml:space="preserve">las</w:t>
              <w:t xml:space="preserve"> </w:t>
              <w:t>necesi</w:t>
              <w:softHyphen/>
              <w:t>dades</w:t>
              <w:t xml:space="preserve"> </w:t>
              <w:t xml:space="preserve">de</w:t>
              <w:t xml:space="preserve"> </w:t>
              <w:t xml:space="preserve">uso</w:t>
              <w:t xml:space="preserve">, </w:t>
              <w:t>condi</w:t>
              <w:softHyphen/>
              <w:t>ciones</w:t>
              <w:t xml:space="preserve"> </w:t>
              <w:t xml:space="preserve">de</w:t>
              <w:t xml:space="preserve"> </w:t>
              <w:t>segu</w:t>
              <w:softHyphen/>
              <w:t>ridad</w:t>
              <w:t xml:space="preserve"> </w:t>
              <w:t xml:space="preserve">y</w:t>
              <w:t xml:space="preserve"> </w:t>
              <w:t xml:space="preserve">políticas</w:t>
              <w:t xml:space="preserve"> </w:t>
              <w:t xml:space="preserve">de</w:t>
              <w:t xml:space="preserve"> </w:t>
              <w:t xml:space="preserve">la</w:t>
              <w:t xml:space="preserve"> </w:t>
              <w:t>indus</w:t>
              <w:softHyphen/>
              <w:t>tria</w:t>
              <w:t xml:space="preserve">.</w:t>
            </w:r>
          </w:p>
        </w:tc>
        <w:tc>
          <w:tcPr>
            <w:tcW w:w="1329" w:type="dxa"/>
          </w:tcPr>
          <w:p w14:paraId="7A2B23B4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Catálogo y motor de reglas</w:t>
            </w:r>
          </w:p>
        </w:tc>
        <w:tc>
          <w:tcPr>
            <w:tcW w:w="1329" w:type="dxa"/>
          </w:tcPr>
          <w:p w14:paraId="6405B72F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Python; YAML; guías Cisco</w:t>
            </w:r>
          </w:p>
        </w:tc>
        <w:tc>
          <w:tcPr>
            <w:tcW w:w="1329" w:type="dxa"/>
          </w:tcPr>
          <w:p w14:paraId="4A517D96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  <w:t>Semanas 6–10 (5 semanas)</w:t>
            </w:r>
          </w:p>
        </w:tc>
        <w:tc>
          <w:tcPr>
            <w:tcW w:w="1329" w:type="dxa"/>
          </w:tcPr>
          <w:p w14:paraId="334BB278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Maikol Mamani</w:t>
            </w:r>
          </w:p>
          <w:p w14:paraId="7A0A6A4D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Axl Urrutia</w:t>
            </w:r>
          </w:p>
        </w:tc>
        <w:tc>
          <w:tcPr>
            <w:tcW w:w="1329" w:type="dxa"/>
          </w:tcPr>
          <w:p w14:paraId="7C9CFB76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Ocho reglas en main; 21 en la rama Evaluación 2.</w:t>
            </w:r>
          </w:p>
        </w:tc>
        <w:tc>
          <w:tcPr>
            <w:tcW w:w="1329" w:type="dxa"/>
          </w:tcPr>
          <w:p w14:paraId="2D67E8DC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 curso</w:t>
            </w:r>
          </w:p>
        </w:tc>
        <w:tc>
          <w:tcPr>
            <w:tcW w:w="1466" w:type="dxa"/>
          </w:tcPr>
          <w:p w14:paraId="065D17AB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Integración de la ampliación pendiente en main.</w:t>
            </w:r>
          </w:p>
        </w:tc>
      </w:tr>
      <w:tr w:rsidR="00FD5149" w:rsidRPr="006E3B0D" w14:paraId="081B42AE" w14:textId="77777777" w:rsidTr="00FD5149">
        <w:trPr>
          <w:cantSplit/>
          <w:jc w:val="center"/>
        </w:trPr>
        <w:tc>
          <w:tcPr>
            <w:tcW w:w="1328" w:type="dxa"/>
          </w:tcPr>
          <w:p w14:paraId="3708DE5E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/>
              <w:t xml:space="preserve">Diseñar</w:t>
              <w:t xml:space="preserve"> </w:t>
              <w:t>solu</w:t>
              <w:softHyphen/>
              <w:t>ciones</w:t>
              <w:t xml:space="preserve"> </w:t>
              <w:t xml:space="preserve">de</w:t>
              <w:t xml:space="preserve"> </w:t>
              <w:t>conect</w:t>
              <w:softHyphen/>
              <w:t>ividad</w:t>
              <w:t xml:space="preserve"> </w:t>
              <w:t>utili</w:t>
              <w:softHyphen/>
              <w:t>zando</w:t>
              <w:t xml:space="preserve"> </w:t>
              <w:t>tenden</w:t>
              <w:softHyphen/>
              <w:t>cias</w:t>
              <w:t xml:space="preserve"> </w:t>
              <w:t>tecno</w:t>
              <w:softHyphen/>
              <w:t>lógicas</w:t>
              <w:t xml:space="preserve"> </w:t>
              <w:t>vigen</w:t>
              <w:softHyphen/>
              <w:t>tes</w:t>
              <w:t xml:space="preserve"> </w:t>
              <w:t xml:space="preserve">para</w:t>
              <w:t xml:space="preserve"> </w:t>
              <w:t xml:space="preserve">resolver</w:t>
              <w:t xml:space="preserve"> </w:t>
              <w:t>necesi</w:t>
              <w:softHyphen/>
              <w:t>dades</w:t>
              <w:t xml:space="preserve"> </w:t>
              <w:t xml:space="preserve">de</w:t>
              <w:t xml:space="preserve"> </w:t>
              <w:t>innova</w:t>
              <w:softHyphen/>
              <w:t>ción</w:t>
              <w:t xml:space="preserve"> </w:t>
              <w:t xml:space="preserve">de</w:t>
              <w:t xml:space="preserve"> </w:t>
              <w:t xml:space="preserve">la</w:t>
              <w:t xml:space="preserve"> </w:t>
              <w:t>organi</w:t>
              <w:softHyphen/>
              <w:t>zación</w:t>
              <w:t xml:space="preserve"> </w:t>
              <w:t xml:space="preserve">según</w:t>
              <w:t xml:space="preserve"> </w:t>
              <w:t>están</w:t>
              <w:softHyphen/>
              <w:t>dares</w:t>
              <w:t xml:space="preserve"> </w:t>
              <w:t xml:space="preserve">de</w:t>
              <w:t xml:space="preserve"> </w:t>
              <w:t>refe</w:t>
              <w:softHyphen/>
              <w:t>rencia</w:t>
              <w:t xml:space="preserve">.</w:t>
            </w:r>
          </w:p>
        </w:tc>
        <w:tc>
          <w:tcPr>
            <w:tcW w:w="1329" w:type="dxa"/>
          </w:tcPr>
          <w:p w14:paraId="357F4EBB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Integración de API y resultados</w:t>
            </w:r>
          </w:p>
        </w:tc>
        <w:tc>
          <w:tcPr>
            <w:tcW w:w="1329" w:type="dxa"/>
          </w:tcPr>
          <w:p w14:paraId="6FFC3D90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Python; FastAPI; Pydantic; GitHub</w:t>
            </w:r>
          </w:p>
        </w:tc>
        <w:tc>
          <w:tcPr>
            <w:tcW w:w="1329" w:type="dxa"/>
          </w:tcPr>
          <w:p w14:paraId="3AD2B127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  <w:t>Semanas 9–12 (4 semanas)</w:t>
            </w:r>
          </w:p>
        </w:tc>
        <w:tc>
          <w:tcPr>
            <w:tcW w:w="1329" w:type="dxa"/>
          </w:tcPr>
          <w:p w14:paraId="3FE2F81D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Axl Urrutia</w:t>
            </w:r>
          </w:p>
          <w:p w14:paraId="01554D4D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Emilio Cortes</w:t>
            </w:r>
          </w:p>
        </w:tc>
        <w:tc>
          <w:tcPr>
            <w:tcW w:w="1329" w:type="dxa"/>
          </w:tcPr>
          <w:p w14:paraId="40833181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Contratos y respuesta pública sanitizada.</w:t>
            </w:r>
          </w:p>
        </w:tc>
        <w:tc>
          <w:tcPr>
            <w:tcW w:w="1329" w:type="dxa"/>
          </w:tcPr>
          <w:p w14:paraId="040EF3FD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1466" w:type="dxa"/>
          </w:tcPr>
          <w:p w14:paraId="4CB2F2D9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Mantener separados análisis y presentación.</w:t>
            </w:r>
          </w:p>
        </w:tc>
      </w:tr>
      <w:tr w:rsidR="00FD5149" w:rsidRPr="006E3B0D" w14:paraId="6FE38CE4" w14:textId="77777777" w:rsidTr="00FD5149">
        <w:trPr>
          <w:cantSplit/>
          <w:jc w:val="center"/>
        </w:trPr>
        <w:tc>
          <w:tcPr>
            <w:tcW w:w="1328" w:type="dxa"/>
          </w:tcPr>
          <w:p w14:paraId="3708DE5E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/>
              <w:t xml:space="preserve">Diseñar</w:t>
              <w:t xml:space="preserve"> </w:t>
              <w:t>solu</w:t>
              <w:softHyphen/>
              <w:t>ciones</w:t>
              <w:t xml:space="preserve"> </w:t>
              <w:t xml:space="preserve">de</w:t>
              <w:t xml:space="preserve"> </w:t>
              <w:t>conect</w:t>
              <w:softHyphen/>
              <w:t>ividad</w:t>
              <w:t xml:space="preserve"> </w:t>
              <w:t>utili</w:t>
              <w:softHyphen/>
              <w:t>zando</w:t>
              <w:t xml:space="preserve"> </w:t>
              <w:t>tenden</w:t>
              <w:softHyphen/>
              <w:t>cias</w:t>
              <w:t xml:space="preserve"> </w:t>
              <w:t>tecno</w:t>
              <w:softHyphen/>
              <w:t>lógicas</w:t>
              <w:t xml:space="preserve"> </w:t>
              <w:t>vigen</w:t>
              <w:softHyphen/>
              <w:t>tes</w:t>
              <w:t xml:space="preserve"> </w:t>
              <w:t xml:space="preserve">para</w:t>
              <w:t xml:space="preserve"> </w:t>
              <w:t xml:space="preserve">resolver</w:t>
              <w:t xml:space="preserve"> </w:t>
              <w:t>necesi</w:t>
              <w:softHyphen/>
              <w:t>dades</w:t>
              <w:t xml:space="preserve"> </w:t>
              <w:t xml:space="preserve">de</w:t>
              <w:t xml:space="preserve"> </w:t>
              <w:t>innova</w:t>
              <w:softHyphen/>
              <w:t>ción</w:t>
              <w:t xml:space="preserve"> </w:t>
              <w:t xml:space="preserve">de</w:t>
              <w:t xml:space="preserve"> </w:t>
              <w:t xml:space="preserve">la</w:t>
              <w:t xml:space="preserve"> </w:t>
              <w:t>organi</w:t>
              <w:softHyphen/>
              <w:t>zación</w:t>
              <w:t xml:space="preserve"> </w:t>
              <w:t xml:space="preserve">según</w:t>
              <w:t xml:space="preserve"> </w:t>
              <w:t>están</w:t>
              <w:softHyphen/>
              <w:t>dares</w:t>
              <w:t xml:space="preserve"> </w:t>
              <w:t xml:space="preserve">de</w:t>
              <w:t xml:space="preserve"> </w:t>
              <w:t>refe</w:t>
              <w:softHyphen/>
              <w:t>rencia</w:t>
              <w:t xml:space="preserve">.</w:t>
            </w:r>
          </w:p>
        </w:tc>
        <w:tc>
          <w:tcPr>
            <w:tcW w:w="1329" w:type="dxa"/>
          </w:tcPr>
          <w:p w14:paraId="763A80AA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Interfaz y reportes</w:t>
            </w:r>
          </w:p>
        </w:tc>
        <w:tc>
          <w:tcPr>
            <w:tcW w:w="1329" w:type="dxa"/>
          </w:tcPr>
          <w:p w14:paraId="3D66F6BD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Previstos: Streamlit; Jinja2; guías</w:t>
            </w:r>
          </w:p>
        </w:tc>
        <w:tc>
          <w:tcPr>
            <w:tcW w:w="1329" w:type="dxa"/>
          </w:tcPr>
          <w:p w14:paraId="3214899A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  <w:t>Semanas 10–13 (4 semanas)</w:t>
            </w:r>
          </w:p>
        </w:tc>
        <w:tc>
          <w:tcPr>
            <w:tcW w:w="1329" w:type="dxa"/>
          </w:tcPr>
          <w:p w14:paraId="58EFA3B9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Emilio Cortes</w:t>
            </w:r>
          </w:p>
          <w:p w14:paraId="7C68D4AF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Maikol Mamani</w:t>
            </w:r>
          </w:p>
        </w:tc>
        <w:tc>
          <w:tcPr>
            <w:tcW w:w="1329" w:type="dxa"/>
          </w:tcPr>
          <w:p w14:paraId="5CB42DAA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Interfaz y reportes finales pendientes.</w:t>
            </w:r>
          </w:p>
        </w:tc>
        <w:tc>
          <w:tcPr>
            <w:tcW w:w="1329" w:type="dxa"/>
          </w:tcPr>
          <w:p w14:paraId="0748C8C6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 iniciado</w:t>
            </w:r>
          </w:p>
        </w:tc>
        <w:tc>
          <w:tcPr>
            <w:tcW w:w="1466" w:type="dxa"/>
          </w:tcPr>
          <w:p w14:paraId="0E4B0AA1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Planificar la integración con resultados validados.</w:t>
            </w:r>
          </w:p>
        </w:tc>
      </w:tr>
      <w:tr w:rsidR="00FD5149" w:rsidRPr="006E3B0D" w14:paraId="2FE742F4" w14:textId="77777777" w:rsidTr="00FD5149">
        <w:trPr>
          <w:cantSplit/>
          <w:jc w:val="center"/>
        </w:trPr>
        <w:tc>
          <w:tcPr>
            <w:tcW w:w="1328" w:type="dxa"/>
          </w:tcPr>
          <w:p w14:paraId="41D41D4A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/>
              <w:t>Monito</w:t>
              <w:softHyphen/>
              <w:t>rear</w:t>
              <w:t xml:space="preserve"> </w:t>
              <w:t xml:space="preserve">el</w:t>
              <w:t xml:space="preserve"> </w:t>
              <w:t>cumpli</w:t>
              <w:softHyphen/>
              <w:t>miento</w:t>
              <w:t xml:space="preserve"> </w:t>
              <w:t xml:space="preserve">de</w:t>
              <w:t xml:space="preserve"> </w:t>
              <w:t xml:space="preserve">las</w:t>
              <w:t xml:space="preserve"> </w:t>
              <w:t xml:space="preserve">políticas</w:t>
              <w:t xml:space="preserve"> </w:t>
              <w:t xml:space="preserve">de</w:t>
              <w:t xml:space="preserve"> </w:t>
              <w:t>segu</w:t>
              <w:softHyphen/>
              <w:t>ridad</w:t>
              <w:t xml:space="preserve"> </w:t>
              <w:t>asegu</w:t>
              <w:softHyphen/>
              <w:t>rando</w:t>
              <w:t xml:space="preserve"> </w:t>
              <w:t>protec</w:t>
              <w:softHyphen/>
              <w:t>ción</w:t>
              <w:t xml:space="preserve"> </w:t>
              <w:t xml:space="preserve">de</w:t>
              <w:t xml:space="preserve"> </w:t>
              <w:t>servi</w:t>
              <w:softHyphen/>
              <w:t>cios</w:t>
              <w:t xml:space="preserve"> </w:t>
              <w:t xml:space="preserve">de</w:t>
              <w:t xml:space="preserve"> </w:t>
              <w:t xml:space="preserve">red</w:t>
              <w:t xml:space="preserve">, </w:t>
              <w:t>servi</w:t>
              <w:softHyphen/>
              <w:t>dores</w:t>
              <w:t xml:space="preserve">, </w:t>
              <w:t xml:space="preserve">equipos</w:t>
              <w:t xml:space="preserve"> </w:t>
              <w:t xml:space="preserve">de</w:t>
              <w:t xml:space="preserve"> </w:t>
              <w:t xml:space="preserve">usuario</w:t>
              <w:t xml:space="preserve"> </w:t>
              <w:t xml:space="preserve">final</w:t>
              <w:t xml:space="preserve"> </w:t>
              <w:t xml:space="preserve">y</w:t>
              <w:t xml:space="preserve"> </w:t>
              <w:t>continu</w:t>
              <w:softHyphen/>
              <w:t>idad</w:t>
              <w:t xml:space="preserve"> </w:t>
              <w:t>opera</w:t>
              <w:softHyphen/>
              <w:t>cional</w:t>
              <w:t xml:space="preserve"> </w:t>
              <w:t xml:space="preserve">de</w:t>
              <w:t xml:space="preserve"> </w:t>
              <w:t xml:space="preserve">la</w:t>
              <w:t xml:space="preserve"> </w:t>
              <w:t>organi</w:t>
              <w:softHyphen/>
              <w:t>zación</w:t>
              <w:t xml:space="preserve"> </w:t>
              <w:t xml:space="preserve">de</w:t>
              <w:t xml:space="preserve"> </w:t>
              <w:t xml:space="preserve">acuerdo</w:t>
              <w:t xml:space="preserve"> </w:t>
              <w:t xml:space="preserve">a</w:t>
              <w:t xml:space="preserve"> </w:t>
              <w:t xml:space="preserve">las</w:t>
              <w:t xml:space="preserve"> </w:t>
              <w:t>necesi</w:t>
              <w:softHyphen/>
              <w:t>dades</w:t>
              <w:t xml:space="preserve"> </w:t>
              <w:t xml:space="preserve">de</w:t>
              <w:t xml:space="preserve"> </w:t>
              <w:t xml:space="preserve">uso</w:t>
              <w:t xml:space="preserve">, </w:t>
              <w:t>condi</w:t>
              <w:softHyphen/>
              <w:t>ciones</w:t>
              <w:t xml:space="preserve"> </w:t>
              <w:t xml:space="preserve">de</w:t>
              <w:t xml:space="preserve"> </w:t>
              <w:t>segu</w:t>
              <w:softHyphen/>
              <w:t>ridad</w:t>
              <w:t xml:space="preserve"> </w:t>
              <w:t xml:space="preserve">y</w:t>
              <w:t xml:space="preserve"> </w:t>
              <w:t xml:space="preserve">políticas</w:t>
              <w:t xml:space="preserve"> </w:t>
              <w:t xml:space="preserve">de</w:t>
              <w:t xml:space="preserve"> </w:t>
              <w:t xml:space="preserve">la</w:t>
              <w:t xml:space="preserve"> </w:t>
              <w:t>indus</w:t>
              <w:softHyphen/>
              <w:t>tria</w:t>
              <w:t xml:space="preserve">.</w:t>
            </w:r>
          </w:p>
        </w:tc>
        <w:tc>
          <w:tcPr>
            <w:tcW w:w="1329" w:type="dxa"/>
          </w:tcPr>
          <w:p w14:paraId="43F7195A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Pruebas y validación</w:t>
            </w:r>
          </w:p>
        </w:tc>
        <w:tc>
          <w:tcPr>
            <w:tcW w:w="1329" w:type="dxa"/>
          </w:tcPr>
          <w:p w14:paraId="79945F78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pytest; laboratorio Cisco; casos de prueba</w:t>
            </w:r>
          </w:p>
        </w:tc>
        <w:tc>
          <w:tcPr>
            <w:tcW w:w="1329" w:type="dxa"/>
          </w:tcPr>
          <w:p w14:paraId="4C1F6D43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  <w:t>Semanas 11–15 (5 semanas)</w:t>
            </w:r>
          </w:p>
        </w:tc>
        <w:tc>
          <w:tcPr>
            <w:tcW w:w="1329" w:type="dxa"/>
          </w:tcPr>
          <w:p w14:paraId="6CAF881E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Axl Urrutia</w:t>
            </w:r>
          </w:p>
          <w:p w14:paraId="2505CC81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Thomas Henriquez</w:t>
            </w:r>
          </w:p>
          <w:p w14:paraId="6A833007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Maikol Mamani</w:t>
            </w:r>
          </w:p>
          <w:p w14:paraId="45D65B1A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Emilio Cortes</w:t>
            </w:r>
          </w:p>
        </w:tc>
        <w:tc>
          <w:tcPr>
            <w:tcW w:w="1329" w:type="dxa"/>
          </w:tcPr>
          <w:p w14:paraId="4B71D720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Suite automatizada disponible; falta validación final.</w:t>
            </w:r>
          </w:p>
        </w:tc>
        <w:tc>
          <w:tcPr>
            <w:tcW w:w="1329" w:type="dxa"/>
          </w:tcPr>
          <w:p w14:paraId="6956C8EE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 curso</w:t>
            </w:r>
          </w:p>
        </w:tc>
        <w:tc>
          <w:tcPr>
            <w:tcW w:w="1466" w:type="dxa"/>
          </w:tcPr>
          <w:p w14:paraId="4167384A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Ampliar escenarios y conservar evidencia sanitizada.</w:t>
            </w:r>
          </w:p>
        </w:tc>
      </w:tr>
      <w:tr w:rsidR="00FD5149" w:rsidRPr="006E3B0D" w14:paraId="54989B01" w14:textId="77777777" w:rsidTr="00FD5149">
        <w:trPr>
          <w:cantSplit/>
          <w:jc w:val="center"/>
        </w:trPr>
        <w:tc>
          <w:tcPr>
            <w:tcW w:w="1328" w:type="dxa"/>
          </w:tcPr>
          <w:p w14:paraId="3708DE5E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/>
              <w:t xml:space="preserve">Diseñar</w:t>
              <w:t xml:space="preserve"> </w:t>
              <w:t>solu</w:t>
              <w:softHyphen/>
              <w:t>ciones</w:t>
              <w:t xml:space="preserve"> </w:t>
              <w:t xml:space="preserve">de</w:t>
              <w:t xml:space="preserve"> </w:t>
              <w:t>conect</w:t>
              <w:softHyphen/>
              <w:t>ividad</w:t>
              <w:t xml:space="preserve"> </w:t>
              <w:t>utili</w:t>
              <w:softHyphen/>
              <w:t>zando</w:t>
              <w:t xml:space="preserve"> </w:t>
              <w:t>tenden</w:t>
              <w:softHyphen/>
              <w:t>cias</w:t>
              <w:t xml:space="preserve"> </w:t>
              <w:t>tecno</w:t>
              <w:softHyphen/>
              <w:t>lógicas</w:t>
              <w:t xml:space="preserve"> </w:t>
              <w:t>vigen</w:t>
              <w:softHyphen/>
              <w:t>tes</w:t>
              <w:t xml:space="preserve"> </w:t>
              <w:t xml:space="preserve">para</w:t>
              <w:t xml:space="preserve"> </w:t>
              <w:t xml:space="preserve">resolver</w:t>
              <w:t xml:space="preserve"> </w:t>
              <w:t>necesi</w:t>
              <w:softHyphen/>
              <w:t>dades</w:t>
              <w:t xml:space="preserve"> </w:t>
              <w:t xml:space="preserve">de</w:t>
              <w:t xml:space="preserve"> </w:t>
              <w:t>innova</w:t>
              <w:softHyphen/>
              <w:t>ción</w:t>
              <w:t xml:space="preserve"> </w:t>
              <w:t xml:space="preserve">de</w:t>
              <w:t xml:space="preserve"> </w:t>
              <w:t xml:space="preserve">la</w:t>
              <w:t xml:space="preserve"> </w:t>
              <w:t>organi</w:t>
              <w:softHyphen/>
              <w:t>zación</w:t>
              <w:t xml:space="preserve"> </w:t>
              <w:t xml:space="preserve">según</w:t>
              <w:t xml:space="preserve"> </w:t>
              <w:t>están</w:t>
              <w:softHyphen/>
              <w:t>dares</w:t>
              <w:t xml:space="preserve"> </w:t>
              <w:t xml:space="preserve">de</w:t>
              <w:t xml:space="preserve"> </w:t>
              <w:t>refe</w:t>
              <w:softHyphen/>
              <w:t>rencia</w:t>
              <w:t xml:space="preserve">.</w:t>
            </w:r>
          </w:p>
        </w:tc>
        <w:tc>
          <w:tcPr>
            <w:tcW w:w="1329" w:type="dxa"/>
          </w:tcPr>
          <w:p w14:paraId="66F6618B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/>
              <w:t xml:space="preserve">Cierre</w:t>
              <w:t xml:space="preserve"> </w:t>
              <w:t xml:space="preserve">y</w:t>
              <w:t xml:space="preserve"> </w:t>
              <w:t>documen</w:t>
              <w:softHyphen/>
              <w:t>tación</w:t>
              <w:t xml:space="preserve"> </w:t>
              <w:t xml:space="preserve">final</w:t>
              <w:t xml:space="preserve"/>
            </w:r>
          </w:p>
        </w:tc>
        <w:tc>
          <w:tcPr>
            <w:tcW w:w="1329" w:type="dxa"/>
          </w:tcPr>
          <w:p w14:paraId="15090F9A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Repositorio; informe; evidencias; presentación</w:t>
            </w:r>
          </w:p>
        </w:tc>
        <w:tc>
          <w:tcPr>
            <w:tcW w:w="1329" w:type="dxa"/>
          </w:tcPr>
          <w:p w14:paraId="17A85553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  <w:t>Semanas 14–18 (5 semanas)</w:t>
            </w:r>
          </w:p>
        </w:tc>
        <w:tc>
          <w:tcPr>
            <w:tcW w:w="1329" w:type="dxa"/>
          </w:tcPr>
          <w:p w14:paraId="2FDE047B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Axl Urrutia</w:t>
            </w:r>
          </w:p>
          <w:p w14:paraId="735EA66A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Thomas Henriquez</w:t>
            </w:r>
          </w:p>
          <w:p w14:paraId="11233881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Maikol Mamani</w:t>
            </w:r>
          </w:p>
          <w:p w14:paraId="0F3B7A6B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Emilio Cortes</w:t>
            </w:r>
          </w:p>
        </w:tc>
        <w:tc>
          <w:tcPr>
            <w:tcW w:w="1329" w:type="dxa"/>
          </w:tcPr>
          <w:p w14:paraId="77D40E45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Avance documentado; falta consolidar el informe y el cierre final.</w:t>
            </w:r>
          </w:p>
        </w:tc>
        <w:tc>
          <w:tcPr>
            <w:tcW w:w="1329" w:type="dxa"/>
          </w:tcPr>
          <w:p w14:paraId="1D345E23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En curso</w:t>
            </w:r>
          </w:p>
        </w:tc>
        <w:tc>
          <w:tcPr>
            <w:tcW w:w="1466" w:type="dxa"/>
          </w:tcPr>
          <w:p w14:paraId="7D0C1BEF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Consolidar documentación y apartados en inglés.</w:t>
            </w:r>
          </w:p>
        </w:tc>
      </w:tr>
    </w:tbl>
    <w:p w14:paraId="7D7F66E0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6F9D64E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1B9AA6B3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  <w:keepNext/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39B89089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099F276F" w14:textId="77777777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  <w:keepNext/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788DAEFC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  <w:keepNext/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4D41592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6E7EE3DE" w14:textId="7777777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Describe los factores que han facilitado y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/o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dificultado el desarrollo de tu Proyecto APT hasta ahora. En el caso de las dificultades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debes describir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qué acciones tomaste y/o tomarás para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solucionarlas. </w:t>
            </w:r>
            <w:r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</w:p>
          <w:p w14:paraId="5E1B02A5" w14:textId="71F6A842" w:rsidR="0003309E" w:rsidRPr="00095035" w:rsidRDefault="0003309E" w:rsidP="00095035">
            <w:pPr>
              <w:rPr>
                <w:rFonts w:ascii="Calibri" w:hAnsi="Calibri"/>
                <w:color w:val="1F3864" w:themeColor="accent1" w:themeShade="80"/>
              </w:rPr>
            </w:pPr>
            <w:r w:rsidRPr="00095035">
              <w:rPr>
                <w:rFonts w:ascii="Calibri" w:hAnsi="Calibri"/>
                <w:color w:val="548DD4"/>
                <w:sz w:val="20"/>
                <w:szCs w:val="20"/>
              </w:rPr>
              <w:t xml:space="preserve">La arquitectura modular, el laboratorio virtual y las pruebas automatizadas facilitaron el avance. La integración exige mantener contratos claros y evidencia trazable. El registro de Evaluación 2 documenta un fallo de negociación SSH/KEX y una validación manual con Paramiko 4.0.0 informada por el responsable del laboratorio. Debemos mejorar la revisión cruzada y sincronizar documentación y código.</w:t>
            </w:r>
            <w:proofErr w:type="spellStart"/>
            <w:r w:rsidRPr="00095035">
              <w:rPr>
                <w:rFonts w:ascii="Calibri" w:hAnsi="Calibri"/>
                <w:color w:val="548DD4"/>
                <w:sz w:val="20"/>
                <w:szCs w:val="20"/>
              </w:rPr>
              <w:t/>
            </w:r>
            <w:proofErr w:type="spellEnd"/>
            <w:r w:rsidRPr="00095035">
              <w:rPr>
                <w:rFonts w:ascii="Calibri" w:hAnsi="Calibri"/>
                <w:color w:val="548DD4"/>
                <w:sz w:val="20"/>
                <w:szCs w:val="20"/>
              </w:rPr>
              <w:t xml:space="preserve"/>
            </w:r>
            <w:r w:rsidR="00095035" w:rsidRPr="00095035">
              <w:rPr>
                <w:rFonts w:ascii="Calibri" w:hAnsi="Calibri"/>
                <w:color w:val="548DD4"/>
                <w:sz w:val="20"/>
                <w:szCs w:val="20"/>
              </w:rPr>
              <w:t xml:space="preserve"/>
            </w:r>
            <w:r w:rsidRPr="00095035">
              <w:rPr>
                <w:rFonts w:ascii="Calibri" w:hAnsi="Calibri"/>
                <w:color w:val="548DD4"/>
                <w:sz w:val="20"/>
                <w:szCs w:val="20"/>
              </w:rPr>
              <w:t/>
            </w:r>
            <w:r w:rsidR="00095035">
              <w:rPr>
                <w:rFonts w:ascii="Calibri" w:hAnsi="Calibri"/>
                <w:color w:val="1F3864" w:themeColor="accent1" w:themeShade="80"/>
              </w:rPr>
              <w:t xml:space="preserve"/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/>
            </w:r>
            <w:r w:rsidR="00095035">
              <w:rPr>
                <w:rFonts w:ascii="Calibri" w:hAnsi="Calibri" w:cs="Arial"/>
                <w:i/>
                <w:color w:val="548DD4"/>
                <w:lang w:eastAsia="es-CL"/>
              </w:rPr>
              <w:t xml:space="preserve"/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/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/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/>
            </w:r>
            <w:r w:rsidR="00095035">
              <w:rPr>
                <w:rFonts w:ascii="Calibri" w:hAnsi="Calibri" w:cs="Arial"/>
                <w:i/>
                <w:color w:val="548DD4"/>
                <w:lang w:eastAsia="es-CL"/>
              </w:rPr>
              <w:t xml:space="preserve"/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/>
            </w:r>
          </w:p>
        </w:tc>
      </w:tr>
    </w:tbl>
    <w:p w14:paraId="5F06AFA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588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49AF333" w14:textId="77777777" w:rsidTr="00C5122E">
        <w:trPr>
          <w:cantSplit/>
          <w:trHeight w:val="1936"/>
        </w:trPr>
        <w:tc>
          <w:tcPr>
            <w:tcW w:w="5000" w:type="pct"/>
            <w:vAlign w:val="center"/>
          </w:tcPr>
          <w:p w14:paraId="1E8E264A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Señalar los ajustes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realizaste a tu plan de trabajo o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actividades que</w:t>
            </w:r>
            <w:r w:rsidR="004B75F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eliminaste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justifica por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qué lo hiciste. </w:t>
            </w:r>
            <w:r w:rsidR="00521026">
              <w:t xml:space="preserve"> </w:t>
            </w:r>
            <w:r w:rsidR="00521026" w:rsidRP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el caso de que tu plan de trabajo no haya requerido ni requiera ajustes, justifica esta decisión a partir de los facilitadores que te han permitido desarrollarlo como fue planeado.</w:t>
            </w:r>
          </w:p>
          <w:p w14:paraId="4E5F9F54" w14:textId="77777777" w:rsidR="006B5A53" w:rsidRPr="006B5A53" w:rsidRDefault="00FD5149" w:rsidP="006B5A53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C00000"/>
                <w:sz w:val="20"/>
                <w:szCs w:val="20"/>
                <w:lang w:eastAsia="es-CL"/>
              </w:rPr>
            </w:pPr>
            <w:r w:rsidRPr="006B5A5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Ajuste: se reforzó la separación entre auditoría y automatización de configuraciones. NetAudit analiza evidencia en modo de solo lectura.</w:t>
            </w:r>
            <w:proofErr w:type="spellStart"/>
            <w:r w:rsidRPr="006B5A5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/>
            </w:r>
            <w:proofErr w:type="spellEnd"/>
            <w:r w:rsidRPr="006B5A5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/>
            </w:r>
            <w:r w:rsidR="006B5A53" w:rsidRPr="006B5A5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/>
            </w:r>
            <w:r w:rsidR="0003309E" w:rsidRPr="006B5A53">
              <w:rPr>
                <w:rFonts w:ascii="Calibri" w:hAnsi="Calibri" w:cs="Arial"/>
                <w:i/>
                <w:color w:val="C00000"/>
                <w:sz w:val="20"/>
                <w:szCs w:val="20"/>
                <w:lang w:eastAsia="es-CL"/>
              </w:rPr>
              <w:t xml:space="preserve"/>
            </w:r>
          </w:p>
          <w:p w14:paraId="45702711" w14:textId="77777777" w:rsidR="006B5A53" w:rsidRPr="006B5A53" w:rsidRDefault="0003309E" w:rsidP="006B5A53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B5A5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Origen: retroalimentación docente.</w:t>
            </w:r>
          </w:p>
          <w:p w14:paraId="7A9790F0" w14:textId="77777777" w:rsidR="006B5A53" w:rsidRPr="006B5A53" w:rsidRDefault="0003309E" w:rsidP="006B5A53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B5A5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Justificación: el valor diferenciador está en las reglas deterministas y la evidencia verificable.</w:t>
            </w:r>
            <w:r w:rsidR="006B5A53" w:rsidRPr="006B5A5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/>
            </w:r>
            <w:r w:rsidRPr="006B5A5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/>
            </w:r>
          </w:p>
          <w:p w14:paraId="23A03842" w14:textId="77777777" w:rsidR="0003309E" w:rsidRPr="006B5A53" w:rsidRDefault="0003309E" w:rsidP="006B5A53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B5A5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Impacto: precisa el alcance sin cambiar el objetivo general. La IA futura explicará hallazgos existentes. main mantiene ocho reglas; la ampliación a 21 sigue en una rama de trabajo. Se mantienen las actividades de la Gantt.</w:t>
            </w:r>
            <w:r w:rsidR="006B5A53" w:rsidRPr="006B5A5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/>
            </w:r>
            <w:r w:rsidRPr="006B5A5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/>
            </w:r>
            <w:r w:rsidR="006B5A53" w:rsidRPr="006B5A5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/>
            </w:r>
            <w:r w:rsidR="00FD5149" w:rsidRPr="006B5A5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/>
            </w:r>
            <w:proofErr w:type="spellStart"/>
            <w:r w:rsidR="00FD5149" w:rsidRPr="006B5A5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/>
            </w:r>
            <w:proofErr w:type="spellEnd"/>
            <w:r w:rsidR="006B5A53" w:rsidRPr="006B5A5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/>
            </w:r>
            <w:r w:rsidRPr="006B5A5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/>
            </w:r>
          </w:p>
        </w:tc>
      </w:tr>
    </w:tbl>
    <w:p w14:paraId="5770C058" w14:textId="77777777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1B8FE17D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5175E4CB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9CA3300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lastRenderedPageBreak/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no ha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yas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iniciado actividades o est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é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 retrasadas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gramStart"/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 acuerdo a</w:t>
            </w:r>
            <w:proofErr w:type="gramEnd"/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tu planificación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señala los motivos por lo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no has podido cumplir dichos plazos y qué estrategias utilizarás para avanzar en dichas actividades y no afectar tu proyecto APT. </w:t>
            </w:r>
          </w:p>
          <w:p w14:paraId="5D1388D9" w14:textId="77777777" w:rsidR="0003309E" w:rsidRPr="00711C16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Siguen sin iniciarse la persistencia relacional, la interfaz final, los reportes finales y la IA explicativa. El cierre documental está en curso: hay evidencias de avance, pero falta consolidar el informe final y sus apartados en inglés. Avanzaremos por incrementos y coordinaremos responsables y pruebas. Revisaremos las fechas de las actividades posteriores antes de determinar si existen desviaciones del plan.</w:t>
            </w:r>
            <w:r w:rsidR="006B5A5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/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/>
            </w:r>
            <w:r w:rsidR="006B5A5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/>
            </w:r>
            <w:r w:rsidR="0003309E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/>
            </w:r>
            <w:r w:rsidR="006B5A5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/>
            </w:r>
            <w:r w:rsidR="0003309E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/>
            </w:r>
            <w:proofErr w:type="spellStart"/>
            <w:r w:rsidR="0003309E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/>
            </w:r>
            <w:proofErr w:type="spellEnd"/>
            <w:r w:rsidR="006B5A5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/>
            </w:r>
            <w:r w:rsidR="0003309E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/>
            </w:r>
            <w:r w:rsidR="006B5A5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/>
            </w:r>
            <w:r w:rsidR="0003309E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/>
            </w:r>
            <w:r w:rsidR="006B5A5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/>
            </w:r>
            <w:r w:rsidR="0003309E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/>
            </w:r>
          </w:p>
        </w:tc>
      </w:tr>
    </w:tbl>
    <w:p w14:paraId="32D7122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D425E" w14:textId="77777777" w:rsidR="0080611E" w:rsidRDefault="0080611E" w:rsidP="0003309E">
      <w:pPr>
        <w:spacing w:after="0" w:line="240" w:lineRule="auto"/>
      </w:pPr>
      <w:r>
        <w:separator/>
      </w:r>
    </w:p>
  </w:endnote>
  <w:endnote w:type="continuationSeparator" w:id="0">
    <w:p w14:paraId="217AD8E2" w14:textId="77777777" w:rsidR="0080611E" w:rsidRDefault="0080611E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DACFC" w14:textId="77777777" w:rsidR="0080611E" w:rsidRDefault="0080611E" w:rsidP="0003309E">
      <w:pPr>
        <w:spacing w:after="0" w:line="240" w:lineRule="auto"/>
      </w:pPr>
      <w:r>
        <w:separator/>
      </w:r>
    </w:p>
  </w:footnote>
  <w:footnote w:type="continuationSeparator" w:id="0">
    <w:p w14:paraId="77AF5A10" w14:textId="77777777" w:rsidR="0080611E" w:rsidRDefault="0080611E" w:rsidP="0003309E">
      <w:pPr>
        <w:spacing w:after="0" w:line="240" w:lineRule="auto"/>
      </w:pPr>
      <w:r>
        <w:continuationSeparator/>
      </w:r>
    </w:p>
  </w:footnote>
  <w:footnote w:id="1">
    <w:p w14:paraId="7EF4E707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571B9F39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378ED9C1" w14:textId="77777777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E448E23" w14:textId="77777777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70DCA6E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9B82F90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59BD65B5"/>
    <w:multiLevelType w:val="hybridMultilevel"/>
    <w:tmpl w:val="1B12D69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2226296">
    <w:abstractNumId w:val="0"/>
  </w:num>
  <w:num w:numId="2" w16cid:durableId="14281190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95035"/>
    <w:rsid w:val="000A1331"/>
    <w:rsid w:val="00145B36"/>
    <w:rsid w:val="00147283"/>
    <w:rsid w:val="003608EA"/>
    <w:rsid w:val="003E523C"/>
    <w:rsid w:val="00470CE4"/>
    <w:rsid w:val="004B75F6"/>
    <w:rsid w:val="00521026"/>
    <w:rsid w:val="00545F23"/>
    <w:rsid w:val="00563B43"/>
    <w:rsid w:val="00586C9C"/>
    <w:rsid w:val="005B4D4A"/>
    <w:rsid w:val="00603474"/>
    <w:rsid w:val="00675035"/>
    <w:rsid w:val="00675A73"/>
    <w:rsid w:val="006858A7"/>
    <w:rsid w:val="00695E7C"/>
    <w:rsid w:val="006B242E"/>
    <w:rsid w:val="006B5A53"/>
    <w:rsid w:val="0080611E"/>
    <w:rsid w:val="00806DE0"/>
    <w:rsid w:val="0081536B"/>
    <w:rsid w:val="008479F5"/>
    <w:rsid w:val="0085275A"/>
    <w:rsid w:val="008F621F"/>
    <w:rsid w:val="009378F7"/>
    <w:rsid w:val="00976ABB"/>
    <w:rsid w:val="009E52DF"/>
    <w:rsid w:val="00A806C8"/>
    <w:rsid w:val="00B31361"/>
    <w:rsid w:val="00B4258F"/>
    <w:rsid w:val="00B47A19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20314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6B5A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F927E5C3EA8D46BED5E3456E2741E0" ma:contentTypeVersion="4" ma:contentTypeDescription="Crear nuevo documento." ma:contentTypeScope="" ma:versionID="e788c2a09c4cadb9fc8ab1000e26f83e">
  <xsd:schema xmlns:xsd="http://www.w3.org/2001/XMLSchema" xmlns:xs="http://www.w3.org/2001/XMLSchema" xmlns:p="http://schemas.microsoft.com/office/2006/metadata/properties" xmlns:ns2="37229287-acea-41bc-891d-ac9018885012" xmlns:ns3="358722eb-cf21-4709-bc0c-8da335e010e7" targetNamespace="http://schemas.microsoft.com/office/2006/metadata/properties" ma:root="true" ma:fieldsID="78a966b3c28cc3783817f318ebb4a999" ns2:_="" ns3:_="">
    <xsd:import namespace="37229287-acea-41bc-891d-ac9018885012"/>
    <xsd:import namespace="358722eb-cf21-4709-bc0c-8da335e010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229287-acea-41bc-891d-ac90188850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8722eb-cf21-4709-bc0c-8da335e010e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3F24C52-EABB-452A-B0F6-FA37DBC7A9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229287-acea-41bc-891d-ac9018885012"/>
    <ds:schemaRef ds:uri="358722eb-cf21-4709-bc0c-8da335e010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955</Words>
  <Characters>5255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AXL JESUS URRUTIA MALDONADO</cp:lastModifiedBy>
  <cp:revision>5</cp:revision>
  <dcterms:created xsi:type="dcterms:W3CDTF">2022-08-24T18:14:00Z</dcterms:created>
  <dcterms:modified xsi:type="dcterms:W3CDTF">2026-10-12T18:41:00Z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0x01010095F927E5C3EA8D46BED5E3456E2741E0</vt:lpwstr>
  </property>
</Properties>
</file>