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Guion de exposición NetAudit</w:t>
        <w:br/>
        <w:t>Evaluación 2 APT</w:t>
      </w:r>
    </w:p>
    <w:p>
      <w:r>
        <w:t>Martes 6 de octubre de 2026. Duración objetivo: 3 a 4 minutos, incluida la demo.</w:t>
      </w:r>
    </w:p>
    <w:p>
      <w:r>
        <w:t>Los compañeros explican los slides. Axl maneja el PC y la demostración. Maikol conduce la explicación técnica y responde las preguntas, con apoyo de Axl cuando sea necesario.</w:t>
      </w:r>
    </w:p>
    <w:p>
      <w:pPr>
        <w:pStyle w:val="Heading2"/>
      </w:pPr>
      <w:r>
        <w:t>Distribución de la exposición</w:t>
      </w:r>
    </w:p>
    <w:p>
      <w:r>
        <w:t>Emilio: planificación del slide 1 y cierre.</w:t>
        <w:br/>
        <w:t>Thomas: criterios de aceptación del slide 2.</w:t>
        <w:br/>
        <w:t>Maikol: obstáculo SSH, flujo técnico, evidencias y preguntas.</w:t>
        <w:br/>
        <w:t>Axl: cambios de pantalla, ventanas y comandos de la demo.</w:t>
      </w:r>
    </w:p>
    <w:p>
      <w:pPr>
        <w:pStyle w:val="Heading1"/>
      </w:pPr>
      <w:r>
        <w:t>Slide 1 Avance técnico</w:t>
      </w:r>
    </w:p>
    <w:p>
      <w:r>
        <w:t>Emilio. Tiempo estimado: 45 a 60 segundos.</w:t>
      </w:r>
    </w:p>
    <w:p>
      <w:r>
        <w:t>Buenos días. En esta segunda evaluación presentamos el avance de NetAudit frente a la Carta Gantt, concentrándonos en pruebas y validación.</w:t>
      </w:r>
    </w:p>
    <w:p>
      <w:r>
        <w:t>Nuestro foco es conectividad y redes: recopilar información de dispositivos Cisco y analizarla sin modificar su configuración.</w:t>
      </w:r>
    </w:p>
    <w:p>
      <w:r>
        <w:t>Para el alcance actual tenemos completados la arquitectura, la recolección, el motor determinista y la integración API. Actualmente contamos con 21 controles y ocho comandos autorizados.</w:t>
      </w:r>
    </w:p>
    <w:p>
      <w:r>
        <w:t>Estamos entre las semanas ocho y nueve. Interfaz y reportes comienza en la semana diez, por lo que está planificada y todavía no corresponde considerarla atrasada.</w:t>
      </w:r>
    </w:p>
    <w:p>
      <w:r>
        <w:t>Estimamos pruebas y validación en un 65% de la actividad completa. Ya tenemos resultados automatizados y una validación real, pero todavía falta la validación final del prototipo integrado y el cierre del proyecto.</w:t>
      </w:r>
    </w:p>
    <w:p>
      <w:pPr>
        <w:spacing w:after="120"/>
      </w:pPr>
      <w:r>
        <w:rPr>
          <w:b/>
        </w:rPr>
        <w:t xml:space="preserve">Acción de Axl en el PC: </w:t>
      </w:r>
      <w:r>
        <w:rPr>
          <w:i/>
        </w:rPr>
        <w:t>Cambiar al slide 2.</w:t>
      </w:r>
    </w:p>
    <w:p>
      <w:r>
        <w:t>Nota para preguntas: el 65% es una estimación de la actividad completa, no un porcentaje calculado de cobertura ni de tests aprobados. Los 100% corresponden al alcance actual, no al proyecto completo.</w:t>
      </w:r>
    </w:p>
    <w:p>
      <w:r>
        <w:br w:type="page"/>
      </w:r>
    </w:p>
    <w:p>
      <w:pPr>
        <w:pStyle w:val="Heading1"/>
      </w:pPr>
      <w:r>
        <w:t>Slide 2 Entregables y criterios de éxito</w:t>
      </w:r>
    </w:p>
    <w:p>
      <w:r>
        <w:t>Thomas y Maikol. Tiempo estimado conjunto: 60 segundos.</w:t>
      </w:r>
    </w:p>
    <w:p>
      <w:pPr>
        <w:pStyle w:val="Heading2"/>
      </w:pPr>
      <w:r>
        <w:t>Thomas</w:t>
      </w:r>
    </w:p>
    <w:p>
      <w:r>
        <w:t>Los entregables tienen criterios de aceptación medibles.</w:t>
      </w:r>
    </w:p>
    <w:p>
      <w:r>
        <w:t>La recolección debe completar una sesión SSH, ejecutar solamente los ocho comandos autorizados, producir ocho evidencias y desconectarse correctamente.</w:t>
      </w:r>
    </w:p>
    <w:p>
      <w:r>
        <w:t>El motor debe conservar las 21 evaluaciones y generar un hallazgo únicamente cuando una regla obtiene FAIL.</w:t>
      </w:r>
    </w:p>
    <w:p>
      <w:r>
        <w:t>Para comprobarlo, la suite de software obtuvo 703 pruebas aprobadas y un warning externo. Además, ejecutamos tres escenarios sintéticos: las 63 comparaciones coincidieron con lo esperado, sin diferencias ni errores de contrato.</w:t>
      </w:r>
    </w:p>
    <w:p>
      <w:pPr>
        <w:pStyle w:val="Heading2"/>
      </w:pPr>
      <w:r>
        <w:t>Maikol</w:t>
      </w:r>
    </w:p>
    <w:p>
      <w:r>
        <w:t>Durante la validación real encontramos un obstáculo de transporte SSH. Paramiko 5 no pudo negociar los algoritmos de intercambio de claves que ofrecía la imagen antigua del laboratorio.</w:t>
      </w:r>
    </w:p>
    <w:p>
      <w:r>
        <w:t>La corrección consistió en usar un entorno compatible con Paramiko 4, validado con la versión 4.0.0. NetAudit no cambió la configuración del router.</w:t>
      </w:r>
    </w:p>
    <w:p>
      <w:r>
        <w:t>Esta compatibilidad corresponde exclusivamente al laboratorio legacy. No recomendamos esos algoritmos para producción.</w:t>
      </w:r>
    </w:p>
    <w:p>
      <w:r>
        <w:t>La inteligencia artificial todavía no está implementada. En la siguiente etapa buscamos utilizarla para explicar hallazgos que el motor determinista ya haya validado.</w:t>
      </w:r>
    </w:p>
    <w:p>
      <w:pPr>
        <w:spacing w:after="120"/>
      </w:pPr>
      <w:r>
        <w:rPr>
          <w:b/>
        </w:rPr>
        <w:t xml:space="preserve">Acción de Axl en el PC: </w:t>
      </w:r>
      <w:r>
        <w:rPr>
          <w:i/>
        </w:rPr>
        <w:t>Cambiar al slide 3.</w:t>
      </w:r>
    </w:p>
    <w:p>
      <w:pPr>
        <w:pStyle w:val="Heading2"/>
      </w:pPr>
      <w:r>
        <w:t>Datos de apoyo para Maikol</w:t>
      </w:r>
    </w:p>
    <w:p>
      <w:r>
        <w:t>Restricción del laboratorio: paramiko&gt;=4,&lt;5. El error ocurrió antes de autenticarse. Los KEX ofrecidos eran diffie-hellman-group-exchange-sha1 y diffie-hellman-group14-sha1. El warning de la suite es externo, de Starlette/AnyIO.</w:t>
      </w:r>
    </w:p>
    <w:p>
      <w:r>
        <w:t>IA y PostgreSQL/persistencia no están implementados. La cobertura del motor es acotada a las reglas y fuentes soportadas, no a todo Cisco IOS.</w:t>
      </w:r>
    </w:p>
    <w:p>
      <w:r>
        <w:br w:type="page"/>
      </w:r>
    </w:p>
    <w:p>
      <w:pPr>
        <w:pStyle w:val="Heading1"/>
      </w:pPr>
      <w:r>
        <w:t>Slide 3 Evidencias y demostración</w:t>
      </w:r>
    </w:p>
    <w:p>
      <w:r>
        <w:t>Maikol conduce la explicación. Axl maneja el PC. Tiempo: 90 a 120 segundos.</w:t>
      </w:r>
    </w:p>
    <w:p>
      <w:pPr>
        <w:pStyle w:val="Heading2"/>
      </w:pPr>
      <w:r>
        <w:t>Maikol señala el diagrama</w:t>
      </w:r>
    </w:p>
    <w:p>
      <w:r>
        <w:t>El flujo comienza con Netmiko, que obtiene información mediante SSH de solo lectura. Cada evidencia conserva el comando, la fecha y un hash SHA-256 para comprobar integridad. CiscoConfParse y TextFSM estructuran la configuración y las salidas operacionales. Después, las reglas deterministas evalúan esos datos. Conservamos todos los estados, pero solamente FAIL produce un hallazgo.</w:t>
      </w:r>
    </w:p>
    <w:p>
      <w:pPr>
        <w:spacing w:after="120"/>
      </w:pPr>
      <w:r>
        <w:rPr>
          <w:b/>
        </w:rPr>
        <w:t xml:space="preserve">Acción de Axl en el PC: </w:t>
      </w:r>
      <w:r>
        <w:rPr>
          <w:i/>
        </w:rPr>
        <w:t>Mostrar VirtualBox con la CSR1000v encendida, sin datos sensibles en pantalla.</w:t>
      </w:r>
    </w:p>
    <w:p>
      <w:r>
        <w:t>Este es el laboratorio utilizado: una CSR1000v con Cisco IOS XE 16.9.5, ejecutándose en VirtualBox.</w:t>
      </w:r>
    </w:p>
    <w:p>
      <w:pPr>
        <w:spacing w:after="120"/>
      </w:pPr>
      <w:r>
        <w:rPr>
          <w:b/>
        </w:rPr>
        <w:t xml:space="preserve">Acción de Axl en el PC: </w:t>
      </w:r>
      <w:r>
        <w:rPr>
          <w:i/>
        </w:rPr>
        <w:t>Mostrar solo la entrada de conexión, la llamada a collect_and_analyze_device() y la salida sanitizada del script run_csr1000v_validation.py.</w:t>
      </w:r>
    </w:p>
    <w:p>
      <w:r>
        <w:t>El script solicita los datos de conexión, llama al servicio integral y presenta un resumen sanitizado. No acepta comandos arbitrarios ni aplica configuraciones.</w:t>
      </w:r>
    </w:p>
    <w:p>
      <w:pPr>
        <w:spacing w:after="120"/>
      </w:pPr>
      <w:r>
        <w:rPr>
          <w:b/>
        </w:rPr>
        <w:t xml:space="preserve">Acción de Axl en el PC: </w:t>
      </w:r>
      <w:r>
        <w:rPr>
          <w:i/>
        </w:rPr>
        <w:t>Mostrar el resultado real previamente obtenido, sin credenciales.</w:t>
      </w:r>
    </w:p>
    <w:p>
      <w:r>
        <w:t>Este resultado corresponde a la validación manual realizada previamente. Obtuvimos una sesión, una desconexión correcta, ocho de ocho comandos y ocho evidencias. El motor produjo 21 evaluaciones y tres hallazgos: ausencia de servidor NTP, ausencia de Syslog remoto y uso de password en un usuario local. Los tres corresponden exactamente a evaluaciones FAIL. NetAudit no modificó el dispositivo.</w:t>
      </w:r>
    </w:p>
    <w:p>
      <w:pPr>
        <w:spacing w:after="120"/>
      </w:pPr>
      <w:r>
        <w:rPr>
          <w:b/>
        </w:rPr>
        <w:t xml:space="preserve">Acción de Axl en el PC: </w:t>
      </w:r>
      <w:r>
        <w:rPr>
          <w:i/>
        </w:rPr>
        <w:t>Mostrar la campaña sintética o ejecutarla en vivo desde la carpeta del proyecto.</w:t>
      </w:r>
    </w:p>
    <w:p>
      <w:r>
        <w:rPr>
          <w:rFonts w:ascii="Consolas" w:hAnsi="Consolas"/>
          <w:sz w:val="20"/>
        </w:rPr>
        <w:t>.\.venv\Scripts\python.exe scripts\evaluacion_2\run_validation_scenarios.py --summary-only</w:t>
      </w:r>
    </w:p>
    <w:p>
      <w:r>
        <w:t>Esta comprobación es independiente del router: utiliza tres escenarios sintéticos controlados y compara el resultado esperado con el obtenido. La campaña documentada alcanzó 63 coincidencias de 63 comparaciones. Por separado, las 703 pruebas corresponden al software, no a 703 pruebas contra la CSR1000v.</w:t>
      </w:r>
    </w:p>
    <w:p>
      <w:pPr>
        <w:pStyle w:val="Heading2"/>
      </w:pPr>
      <w:r>
        <w:t>Emilio cierra la presentación</w:t>
      </w:r>
    </w:p>
    <w:p>
      <w:r>
        <w:t>Con esto ampliamos la evidencia de validación del prototipo. La siguiente etapa contempla interfaz y reportes, junto con IA para explicar hallazgos ya validados. Todavía quedan la validación final y el cierre documental.</w:t>
      </w:r>
    </w:p>
    <w:p>
      <w:r>
        <w:t>Preparación: dejar la conexión real lista antes de proyectar. No ingresar credenciales durante la exposición. Identificar el resultado previo como tal. Si ejecutan la campaña en vivo, explicar los números que realmente aparezcan.</w:t>
      </w:r>
    </w:p>
    <w:sectPr w:rsidR="00FC693F" w:rsidRPr="0006063C" w:rsidSect="00034616">
      <w:footerReference w:type="default" r:id="rId9"/>
      <w:pgSz w:w="12240" w:h="15840"/>
      <w:pgMar w:top="1008" w:right="1152" w:bottom="936"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NetAudit  |  Guion de exposición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5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59"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Arial" w:hAnsi="Arial"/>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exposición NetAudit Evaluación 2 APT</dc:title>
  <dc:subject>Guion repartido por expositores y acciones de la demostración</dc:subject>
  <dc:creator>Equipo NetAudit</dc:creator>
  <cp:keywords/>
  <dc:description>generated by python-docx</dc:description>
  <cp:lastModifiedBy/>
  <cp:revision>1</cp:revision>
  <dcterms:created xsi:type="dcterms:W3CDTF">2013-12-23T23:15:00Z</dcterms:created>
  <dcterms:modified xsi:type="dcterms:W3CDTF">2013-12-23T23:15:00Z</dcterms:modified>
  <cp:category/>
</cp:coreProperties>
</file>