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sz w:val="26"/>
          <w:szCs w:val="26"/>
        </w:rPr>
        <w:t xml:space="preserve">Distinguishing Sepsis from Cytokine Release Syndrome After CAR-T Cell Therapy: A Machine Learning Approach Using Real-World EHR Data</w:t>
      </w:r>
    </w:p>
    <w:p>
      <w:pPr>
        <w:spacing w:after="80"/>
        <w:jc w:val="center"/>
      </w:pPr>
      <w:r>
        <w:rPr>
          <w:rFonts w:ascii="Calibri" w:cs="Calibri" w:eastAsia="Calibri" w:hAnsi="Calibri"/>
          <w:sz w:val="22"/>
          <w:szCs w:val="22"/>
        </w:rPr>
        <w:t xml:space="preserve">Thomas Deitel</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Aaron Boussina, PhD</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Alan Moazzam, MD, MBA, FACP</w:t>
      </w:r>
      <w:r>
        <w:rPr>
          <w:rFonts w:ascii="Calibri" w:cs="Calibri" w:eastAsia="Calibri" w:hAnsi="Calibri"/>
          <w:sz w:val="22"/>
          <w:szCs w:val="22"/>
          <w:vertAlign w:val="superscript"/>
        </w:rPr>
        <w:t xml:space="preserve">3</w:t>
      </w:r>
    </w:p>
    <w:p>
      <w:pPr>
        <w:spacing w:after="0"/>
        <w:jc w:val="center"/>
      </w:pPr>
      <w:r>
        <w:rPr>
          <w:rFonts w:ascii="Calibri" w:cs="Calibri" w:eastAsia="Calibri" w:hAnsi="Calibri"/>
          <w:i/>
          <w:iCs/>
          <w:sz w:val="19"/>
          <w:szCs w:val="19"/>
          <w:vertAlign w:val="superscript"/>
        </w:rPr>
        <w:t xml:space="preserve">1</w:t>
      </w:r>
      <w:r>
        <w:rPr>
          <w:rFonts w:ascii="Calibri" w:cs="Calibri" w:eastAsia="Calibri" w:hAnsi="Calibri"/>
          <w:i/>
          <w:iCs/>
          <w:sz w:val="19"/>
          <w:szCs w:val="19"/>
        </w:rPr>
        <w:t xml:space="preserve">Halicioglu Data Science Institute, University of California San Diego, La Jolla, CA</w:t>
      </w:r>
    </w:p>
    <w:p>
      <w:pPr>
        <w:spacing w:after="0"/>
        <w:jc w:val="center"/>
      </w:pPr>
      <w:r>
        <w:rPr>
          <w:rFonts w:ascii="Calibri" w:cs="Calibri" w:eastAsia="Calibri" w:hAnsi="Calibri"/>
          <w:i/>
          <w:iCs/>
          <w:sz w:val="19"/>
          <w:szCs w:val="19"/>
          <w:vertAlign w:val="superscript"/>
        </w:rPr>
        <w:t xml:space="preserve">2</w:t>
      </w:r>
      <w:r>
        <w:rPr>
          <w:rFonts w:ascii="Calibri" w:cs="Calibri" w:eastAsia="Calibri" w:hAnsi="Calibri"/>
          <w:i/>
          <w:iCs/>
          <w:sz w:val="19"/>
          <w:szCs w:val="19"/>
        </w:rPr>
        <w:t xml:space="preserve">Division of Biomedical Informatics, Department of Medicine, University of California San Diego, La Jolla, CA</w:t>
      </w:r>
    </w:p>
    <w:p>
      <w:pPr>
        <w:spacing w:after="240"/>
        <w:jc w:val="center"/>
      </w:pPr>
      <w:r>
        <w:rPr>
          <w:rFonts w:ascii="Calibri" w:cs="Calibri" w:eastAsia="Calibri" w:hAnsi="Calibri"/>
          <w:i/>
          <w:iCs/>
          <w:sz w:val="19"/>
          <w:szCs w:val="19"/>
          <w:vertAlign w:val="superscript"/>
        </w:rPr>
        <w:t xml:space="preserve">3</w:t>
      </w:r>
      <w:r>
        <w:rPr>
          <w:rFonts w:ascii="Calibri" w:cs="Calibri" w:eastAsia="Calibri" w:hAnsi="Calibri"/>
          <w:i/>
          <w:iCs/>
          <w:sz w:val="19"/>
          <w:szCs w:val="19"/>
        </w:rPr>
        <w:t xml:space="preserve">Division of Hospital Medicine, Department of Medicine, University of California San Diego, San Diego, CA</w:t>
      </w:r>
    </w:p>
    <w:p>
      <w:pPr>
        <w:spacing w:after="100" w:before="240"/>
      </w:pPr>
      <w:r>
        <w:rPr>
          <w:rFonts w:ascii="Calibri" w:cs="Calibri" w:eastAsia="Calibri" w:hAnsi="Calibri"/>
          <w:b/>
          <w:bCs/>
          <w:sz w:val="24"/>
          <w:szCs w:val="24"/>
        </w:rPr>
        <w:t xml:space="preserve">Background</w:t>
      </w:r>
    </w:p>
    <w:p>
      <w:pPr>
        <w:spacing w:after="120" w:line="276"/>
        <w:jc w:val="both"/>
      </w:pPr>
      <w:r>
        <w:rPr>
          <w:rFonts w:ascii="Calibri" w:cs="Calibri" w:eastAsia="Calibri" w:hAnsi="Calibri"/>
          <w:sz w:val="22"/>
          <w:szCs w:val="22"/>
        </w:rPr>
        <w:t xml:space="preserve">Cytokine release syndrome (CRS) is an expected complication of chimeric antigen receptor T-cell (CAR-T) therapy. Its presentation of fever, hypotension, elevated inflammatory markers, and organ dysfunction closely mimics sepsis, but the two are managed differently. CRS is treated with IL-6 blockade and supportive care, while sepsis requires broad-spectrum antibiotics, source control, and resuscitation. Cultures take 24 to 72 hours to result, and no validated decision-support tool exists for this differential.</w:t>
      </w:r>
    </w:p>
    <w:p>
      <w:pPr>
        <w:spacing w:after="100" w:before="240"/>
      </w:pPr>
      <w:r>
        <w:rPr>
          <w:rFonts w:ascii="Calibri" w:cs="Calibri" w:eastAsia="Calibri" w:hAnsi="Calibri"/>
          <w:b/>
          <w:bCs/>
          <w:sz w:val="24"/>
          <w:szCs w:val="24"/>
        </w:rPr>
        <w:t xml:space="preserve">Objective</w:t>
      </w:r>
    </w:p>
    <w:p>
      <w:pPr>
        <w:spacing w:after="120" w:line="276"/>
        <w:jc w:val="both"/>
      </w:pPr>
      <w:r>
        <w:rPr>
          <w:rFonts w:ascii="Calibri" w:cs="Calibri" w:eastAsia="Calibri" w:hAnsi="Calibri"/>
          <w:sz w:val="22"/>
          <w:szCs w:val="22"/>
        </w:rPr>
        <w:t xml:space="preserve">To develop and evaluate machine learning models that distinguish sepsis from CRS in post-CAR-T patients using EHR data available before the clinical diagnosis is made.</w:t>
      </w:r>
    </w:p>
    <w:p>
      <w:pPr>
        <w:spacing w:after="100" w:before="240"/>
      </w:pPr>
      <w:r>
        <w:rPr>
          <w:rFonts w:ascii="Calibri" w:cs="Calibri" w:eastAsia="Calibri" w:hAnsi="Calibri"/>
          <w:b/>
          <w:bCs/>
          <w:sz w:val="24"/>
          <w:szCs w:val="24"/>
        </w:rPr>
        <w:t xml:space="preserve">Methods</w:t>
      </w:r>
    </w:p>
    <w:p>
      <w:pPr>
        <w:spacing w:after="120" w:line="276"/>
        <w:jc w:val="both"/>
      </w:pPr>
      <w:r>
        <w:rPr>
          <w:rFonts w:ascii="Calibri" w:cs="Calibri" w:eastAsia="Calibri" w:hAnsi="Calibri"/>
          <w:sz w:val="22"/>
          <w:szCs w:val="22"/>
        </w:rPr>
        <w:t xml:space="preserve">We identified 1,821 CAR-T recipients at UC San Diego Health from the de-identified OMOP Common Data Model using OHDSI standardized concepts. Clinical events, laboratory values, and diagnoses were collected from inpatient encounters within 30 days of infusion. Diagnosis codes labeled patients as sepsis (n=80) or CRS-only (n=395), with overlapping diagnoses labeled sepsis, for 475 labeled patients (16.8% sepsis). Cross-validated analyses used all 475; holdout analyses used 465 after 10 CRS patients without qualifying clinical events were excluded. We constructed 30 features: binary diagnostic indicators, post-infusion laboratory statistics (WBC, CRP, lactate, neutrophil-to-lymphocyte ratio), pre-infusion baseline laboratory values and their deltas, and comorbidities. To prevent leakage, every feature was derived only from data recorded before the diagnosis date. We trained logistic regression, random forest, gradient-boosted trees, and a multilayer perceptron with class weighting and standardized scaling, and evaluated them by 70/30 holdout and 5-fold stratified cross-validation.</w:t>
      </w:r>
    </w:p>
    <w:p>
      <w:pPr>
        <w:spacing w:after="100" w:before="240"/>
      </w:pPr>
      <w:r>
        <w:rPr>
          <w:rFonts w:ascii="Calibri" w:cs="Calibri" w:eastAsia="Calibri" w:hAnsi="Calibri"/>
          <w:b/>
          <w:bCs/>
          <w:sz w:val="24"/>
          <w:szCs w:val="24"/>
        </w:rPr>
        <w:t xml:space="preserve">Results</w:t>
      </w:r>
    </w:p>
    <w:p>
      <w:pPr>
        <w:spacing w:after="120" w:line="276"/>
        <w:jc w:val="both"/>
      </w:pPr>
      <w:r>
        <w:rPr>
          <w:rFonts w:ascii="Calibri" w:cs="Calibri" w:eastAsia="Calibri" w:hAnsi="Calibri"/>
          <w:sz w:val="22"/>
          <w:szCs w:val="22"/>
        </w:rPr>
        <w:t xml:space="preserve">Random forest performed best (AUC-ROC 0.85 holdout, 0.84 cross-validated; AUC-PR 0.57 and 0.49 against a 0.17 prevalence baseline). At a 0.50 threshold it reached 82.5% accuracy, 60.0% sensitivity (48 of 80 sepsis cases), 87.1% specificity (344 of 395 CRS cases), and 48.5% precision. Gradient-boosted trees reached the highest accuracy at 83.6% but identified only 33.8% of sepsis cases, while logistic regression reached 83.8% sensitivity at 31.2% precision. The three strongest predictors were infection in the year before infusion (Gini 0.331), baseline lactate (0.173), and baseline CRP (0.083).</w:t>
      </w:r>
    </w:p>
    <w:p>
      <w:pPr>
        <w:spacing w:after="100" w:before="240"/>
      </w:pPr>
      <w:r>
        <w:rPr>
          <w:rFonts w:ascii="Calibri" w:cs="Calibri" w:eastAsia="Calibri" w:hAnsi="Calibri"/>
          <w:b/>
          <w:bCs/>
          <w:sz w:val="24"/>
          <w:szCs w:val="24"/>
        </w:rPr>
        <w:t xml:space="preserve">Conclusions</w:t>
      </w:r>
    </w:p>
    <w:p>
      <w:pPr>
        <w:spacing w:after="120" w:line="276"/>
        <w:jc w:val="both"/>
      </w:pPr>
      <w:r>
        <w:rPr>
          <w:rFonts w:ascii="Calibri" w:cs="Calibri" w:eastAsia="Calibri" w:hAnsi="Calibri"/>
          <w:sz w:val="22"/>
          <w:szCs w:val="22"/>
        </w:rPr>
        <w:t xml:space="preserve">Pre-diagnosis EHR data separates sepsis from CRS well enough to rank patients by risk, but not well enough to classify them. At the threshold tested, the model missed 40% of sepsis cases and roughly half of its positive predictions were CRS. Because the strongest predictors were pre-infusion, the model may be capturing baseline predisposition more than the acute process. Limitations include single-center data, diagnosis-code labels, only 80 sepsis events, and the absence of vital signs and antimicrobial administration. Adding those variables, modeling laboratory trajectories over time, and external validation are the next steps.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2026-09-14T20:10:04.047Z</dcterms:created>
  <dcterms:modified xsi:type="dcterms:W3CDTF">2026-09-14T20:10:04.057Z</dcterms:modified>
</cp:coreProperties>
</file>

<file path=docProps/custom.xml><?xml version="1.0" encoding="utf-8"?>
<Properties xmlns="http://schemas.openxmlformats.org/officeDocument/2006/custom-properties" xmlns:vt="http://schemas.openxmlformats.org/officeDocument/2006/docPropsVTypes"/>
</file>