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jbizv5q3bmx2" w:id="0"/>
      <w:bookmarkEnd w:id="0"/>
      <w:r w:rsidDel="00000000" w:rsidR="00000000" w:rsidRPr="00000000">
        <w:rPr>
          <w:b w:val="1"/>
          <w:sz w:val="46"/>
          <w:szCs w:val="46"/>
          <w:rtl w:val="0"/>
        </w:rPr>
        <w:t xml:space="preserve">The Chef and the Recipe: Understanding Blockchain Intents vs. Transactions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51uqe3rluo4i" w:id="1"/>
      <w:bookmarkEnd w:id="1"/>
      <w:r w:rsidDel="00000000" w:rsidR="00000000" w:rsidRPr="00000000">
        <w:rPr>
          <w:b w:val="1"/>
          <w:color w:val="000000"/>
          <w:sz w:val="26"/>
          <w:szCs w:val="26"/>
          <w:rtl w:val="0"/>
        </w:rPr>
        <w:t xml:space="preserve">Introduction: The Problem with a Multi-Chain World</w:t>
      </w:r>
    </w:p>
    <w:p w:rsidR="00000000" w:rsidDel="00000000" w:rsidP="00000000" w:rsidRDefault="00000000" w:rsidRPr="00000000" w14:paraId="00000003">
      <w:pPr>
        <w:spacing w:after="240" w:before="240" w:lineRule="auto"/>
        <w:rPr/>
      </w:pPr>
      <w:r w:rsidDel="00000000" w:rsidR="00000000" w:rsidRPr="00000000">
        <w:rPr>
          <w:rtl w:val="0"/>
        </w:rPr>
        <w:t xml:space="preserve">The world of multiple blockchains offers incredible power and innovation, but for the average user, it often feels fragmented and overwhelmingly complex. This "user experience crisis" creates significant barriers, slowing down widespread adoption. The core frustrations for users often include:</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rtl w:val="0"/>
        </w:rPr>
        <w:t xml:space="preserve">Managing multiple wallets for different chains</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rtl w:val="0"/>
        </w:rPr>
        <w:t xml:space="preserve">Dealing with bridging delays to move assets</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tl w:val="0"/>
        </w:rPr>
        <w:t xml:space="preserve">Needing the right gas tokens for each specific chain</w:t>
      </w:r>
    </w:p>
    <w:p w:rsidR="00000000" w:rsidDel="00000000" w:rsidP="00000000" w:rsidRDefault="00000000" w:rsidRPr="00000000" w14:paraId="00000007">
      <w:pPr>
        <w:numPr>
          <w:ilvl w:val="0"/>
          <w:numId w:val="2"/>
        </w:numPr>
        <w:spacing w:after="240" w:before="0" w:beforeAutospacing="0" w:lineRule="auto"/>
        <w:ind w:left="720" w:hanging="360"/>
      </w:pPr>
      <w:r w:rsidDel="00000000" w:rsidR="00000000" w:rsidRPr="00000000">
        <w:rPr>
          <w:rtl w:val="0"/>
        </w:rPr>
        <w:t xml:space="preserve">Signing confusing, unreadable transaction hashes instead of clear instructions</w:t>
      </w:r>
    </w:p>
    <w:p w:rsidR="00000000" w:rsidDel="00000000" w:rsidP="00000000" w:rsidRDefault="00000000" w:rsidRPr="00000000" w14:paraId="00000008">
      <w:pPr>
        <w:spacing w:after="240" w:before="240" w:lineRule="auto"/>
        <w:rPr/>
      </w:pPr>
      <w:r w:rsidDel="00000000" w:rsidR="00000000" w:rsidRPr="00000000">
        <w:rPr>
          <w:rtl w:val="0"/>
        </w:rPr>
        <w:t xml:space="preserve">To solve this, a fundamental shift is needed in how we interact with blockchains—a shift that makes these problems feel invisible.</w:t>
      </w:r>
    </w:p>
    <w:p w:rsidR="00000000" w:rsidDel="00000000" w:rsidP="00000000" w:rsidRDefault="00000000" w:rsidRPr="00000000" w14:paraId="00000009">
      <w:pPr>
        <w:spacing w:after="240" w:before="240" w:lineRule="auto"/>
        <w:rPr/>
      </w:pPr>
      <w:r w:rsidDel="00000000" w:rsidR="00000000" w:rsidRPr="00000000">
        <w:rPr>
          <w:rtl w:val="0"/>
        </w:rPr>
        <w:t xml:space="preserve">--------------------------------------------------------------------------------</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b7fkqnowusal" w:id="2"/>
      <w:bookmarkEnd w:id="2"/>
      <w:r w:rsidDel="00000000" w:rsidR="00000000" w:rsidRPr="00000000">
        <w:rPr>
          <w:b w:val="1"/>
          <w:sz w:val="34"/>
          <w:szCs w:val="34"/>
          <w:rtl w:val="0"/>
        </w:rPr>
        <w:t xml:space="preserve">1. The Old Way: Transactions as a Detailed Recipe</w:t>
      </w:r>
    </w:p>
    <w:p w:rsidR="00000000" w:rsidDel="00000000" w:rsidP="00000000" w:rsidRDefault="00000000" w:rsidRPr="00000000" w14:paraId="0000000B">
      <w:pPr>
        <w:spacing w:after="240" w:before="240" w:lineRule="auto"/>
        <w:rPr/>
      </w:pPr>
      <w:r w:rsidDel="00000000" w:rsidR="00000000" w:rsidRPr="00000000">
        <w:rPr>
          <w:rtl w:val="0"/>
        </w:rPr>
        <w:t xml:space="preserve">A traditional blockchain transaction operates on an </w:t>
      </w:r>
      <w:r w:rsidDel="00000000" w:rsidR="00000000" w:rsidRPr="00000000">
        <w:rPr>
          <w:b w:val="1"/>
          <w:rtl w:val="0"/>
        </w:rPr>
        <w:t xml:space="preserve">"Imperative"</w:t>
      </w:r>
      <w:r w:rsidDel="00000000" w:rsidR="00000000" w:rsidRPr="00000000">
        <w:rPr>
          <w:rtl w:val="0"/>
        </w:rPr>
        <w:t xml:space="preserve"> model. This means the user must provide the network with a precise, step-by-step recipe explaining </w:t>
      </w:r>
      <w:r w:rsidDel="00000000" w:rsidR="00000000" w:rsidRPr="00000000">
        <w:rPr>
          <w:i w:val="1"/>
          <w:rtl w:val="0"/>
        </w:rPr>
        <w:t xml:space="preserve">exactly how</w:t>
      </w:r>
      <w:r w:rsidDel="00000000" w:rsidR="00000000" w:rsidRPr="00000000">
        <w:rPr>
          <w:rtl w:val="0"/>
        </w:rPr>
        <w:t xml:space="preserve"> to perform a task. The entire burden of knowing the correct sequence, tools, and ingredients falls on the user.</w:t>
      </w:r>
    </w:p>
    <w:p w:rsidR="00000000" w:rsidDel="00000000" w:rsidP="00000000" w:rsidRDefault="00000000" w:rsidRPr="00000000" w14:paraId="0000000C">
      <w:pPr>
        <w:spacing w:after="240" w:before="240" w:lineRule="auto"/>
        <w:rPr/>
      </w:pPr>
      <w:r w:rsidDel="00000000" w:rsidR="00000000" w:rsidRPr="00000000">
        <w:rPr>
          <w:rtl w:val="0"/>
        </w:rPr>
        <w:t xml:space="preserve">Consider a common, yet complex, user goal:</w:t>
      </w:r>
    </w:p>
    <w:p w:rsidR="00000000" w:rsidDel="00000000" w:rsidP="00000000" w:rsidRDefault="00000000" w:rsidRPr="00000000" w14:paraId="0000000D">
      <w:pPr>
        <w:spacing w:after="240" w:before="240" w:lineRule="auto"/>
        <w:rPr/>
      </w:pPr>
      <w:r w:rsidDel="00000000" w:rsidR="00000000" w:rsidRPr="00000000">
        <w:rPr>
          <w:b w:val="1"/>
          <w:rtl w:val="0"/>
        </w:rPr>
        <w:t xml:space="preserve">User's Goal:</w:t>
      </w:r>
      <w:r w:rsidDel="00000000" w:rsidR="00000000" w:rsidRPr="00000000">
        <w:rPr>
          <w:rtl w:val="0"/>
        </w:rPr>
        <w:t xml:space="preserve"> "I want to get 1 ETH on the Arbitrum network, but my money (1500 USDC) is currently on the Polygon network."</w:t>
      </w:r>
    </w:p>
    <w:p w:rsidR="00000000" w:rsidDel="00000000" w:rsidP="00000000" w:rsidRDefault="00000000" w:rsidRPr="00000000" w14:paraId="0000000E">
      <w:pPr>
        <w:spacing w:after="240" w:before="240" w:lineRule="auto"/>
        <w:rPr/>
      </w:pPr>
      <w:r w:rsidDel="00000000" w:rsidR="00000000" w:rsidRPr="00000000">
        <w:rPr>
          <w:rtl w:val="0"/>
        </w:rPr>
        <w:t xml:space="preserve">To achieve this with traditional transactions, the user must manually follow a complicated recipe with many potential points of failure:</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b w:val="1"/>
          <w:rtl w:val="0"/>
        </w:rPr>
        <w:t xml:space="preserve">Step 1: Set Token Allowance.</w:t>
      </w:r>
      <w:r w:rsidDel="00000000" w:rsidR="00000000" w:rsidRPr="00000000">
        <w:rPr>
          <w:rtl w:val="0"/>
        </w:rPr>
        <w:t xml:space="preserve"> The user must first sign a transaction granting the bridge protocol permission to spend a specific amount of their USDC.</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Step 2: Swap (If Needed).</w:t>
      </w:r>
      <w:r w:rsidDel="00000000" w:rsidR="00000000" w:rsidRPr="00000000">
        <w:rPr>
          <w:rtl w:val="0"/>
        </w:rPr>
        <w:t xml:space="preserve"> If the bridge requires a different token than the one the user holds, they must first perform a separate swap on a decentralized exchange (DEX).</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Step 3: Bridge.</w:t>
      </w:r>
      <w:r w:rsidDel="00000000" w:rsidR="00000000" w:rsidRPr="00000000">
        <w:rPr>
          <w:rtl w:val="0"/>
        </w:rPr>
        <w:t xml:space="preserve"> The user executes the main bridging transaction to send the funds from the Polygon network.</w:t>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b w:val="1"/>
          <w:rtl w:val="0"/>
        </w:rPr>
        <w:t xml:space="preserve">Step 4: Wait for Finality.</w:t>
      </w:r>
      <w:r w:rsidDel="00000000" w:rsidR="00000000" w:rsidRPr="00000000">
        <w:rPr>
          <w:rtl w:val="0"/>
        </w:rPr>
        <w:t xml:space="preserve"> The user must now wait for lengthy bridging delays, hoping the transaction finalizes on the source chain and the assets eventually appear on the destination chain without issue.</w:t>
      </w:r>
    </w:p>
    <w:p w:rsidR="00000000" w:rsidDel="00000000" w:rsidP="00000000" w:rsidRDefault="00000000" w:rsidRPr="00000000" w14:paraId="00000013">
      <w:pPr>
        <w:spacing w:after="240" w:before="240" w:lineRule="auto"/>
        <w:rPr/>
      </w:pPr>
      <w:r w:rsidDel="00000000" w:rsidR="00000000" w:rsidRPr="00000000">
        <w:rPr>
          <w:rtl w:val="0"/>
        </w:rPr>
        <w:t xml:space="preserve">In this model, the user bears the entire burden. They are the shopper who must find the right ingredients (tokens), the line cook who must follow the recipe perfectly (execute transactions in order), and the dishwasher who has to deal with the mess if anything goes wrong (failed transactions and lost gas fees).</w:t>
      </w:r>
    </w:p>
    <w:p w:rsidR="00000000" w:rsidDel="00000000" w:rsidP="00000000" w:rsidRDefault="00000000" w:rsidRPr="00000000" w14:paraId="00000014">
      <w:pPr>
        <w:spacing w:after="240" w:before="240" w:lineRule="auto"/>
        <w:rPr/>
      </w:pPr>
      <w:r w:rsidDel="00000000" w:rsidR="00000000" w:rsidRPr="00000000">
        <w:rPr>
          <w:rtl w:val="0"/>
        </w:rPr>
        <w:t xml:space="preserve">This process is complex and prone to error, with common failure points like 'INSUFFICIENT GAS' or selecting the 'WRONG NETWORK' costing users time and money. What if you could just tell the kitchen what you wanted to eat, instead of handing them the recipe?</w:t>
      </w:r>
    </w:p>
    <w:p w:rsidR="00000000" w:rsidDel="00000000" w:rsidP="00000000" w:rsidRDefault="00000000" w:rsidRPr="00000000" w14:paraId="00000015">
      <w:pPr>
        <w:spacing w:after="240" w:before="240" w:lineRule="auto"/>
        <w:rPr/>
      </w:pPr>
      <w:r w:rsidDel="00000000" w:rsidR="00000000" w:rsidRPr="00000000">
        <w:rPr>
          <w:rtl w:val="0"/>
        </w:rPr>
        <w:t xml:space="preserve">--------------------------------------------------------------------------------</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9h5wtby3zx1f" w:id="3"/>
      <w:bookmarkEnd w:id="3"/>
      <w:r w:rsidDel="00000000" w:rsidR="00000000" w:rsidRPr="00000000">
        <w:rPr>
          <w:b w:val="1"/>
          <w:sz w:val="34"/>
          <w:szCs w:val="34"/>
          <w:rtl w:val="0"/>
        </w:rPr>
        <w:t xml:space="preserve">2. The New Way: Intents as an Order for the Chef</w:t>
      </w:r>
    </w:p>
    <w:p w:rsidR="00000000" w:rsidDel="00000000" w:rsidP="00000000" w:rsidRDefault="00000000" w:rsidRPr="00000000" w14:paraId="00000017">
      <w:pPr>
        <w:spacing w:after="240" w:before="240" w:lineRule="auto"/>
        <w:rPr/>
      </w:pPr>
      <w:r w:rsidDel="00000000" w:rsidR="00000000" w:rsidRPr="00000000">
        <w:rPr>
          <w:rtl w:val="0"/>
        </w:rPr>
        <w:t xml:space="preserve">An "intent" introduces a new, far simpler </w:t>
      </w:r>
      <w:r w:rsidDel="00000000" w:rsidR="00000000" w:rsidRPr="00000000">
        <w:rPr>
          <w:b w:val="1"/>
          <w:rtl w:val="0"/>
        </w:rPr>
        <w:t xml:space="preserve">"Declarative"</w:t>
      </w:r>
      <w:r w:rsidDel="00000000" w:rsidR="00000000" w:rsidRPr="00000000">
        <w:rPr>
          <w:rtl w:val="0"/>
        </w:rPr>
        <w:t xml:space="preserve"> model. Instead of providing a detailed recipe, the user simply declares their desired final outcome—they state the "what," not the "how."</w:t>
      </w:r>
    </w:p>
    <w:p w:rsidR="00000000" w:rsidDel="00000000" w:rsidP="00000000" w:rsidRDefault="00000000" w:rsidRPr="00000000" w14:paraId="00000018">
      <w:pPr>
        <w:spacing w:after="240" w:before="240" w:lineRule="auto"/>
        <w:rPr/>
      </w:pPr>
      <w:r w:rsidDel="00000000" w:rsidR="00000000" w:rsidRPr="00000000">
        <w:rPr>
          <w:rtl w:val="0"/>
        </w:rPr>
        <w:t xml:space="preserve">Using the same goal, the user's interaction is reduced to a single, simple action:</w:t>
      </w:r>
    </w:p>
    <w:p w:rsidR="00000000" w:rsidDel="00000000" w:rsidP="00000000" w:rsidRDefault="00000000" w:rsidRPr="00000000" w14:paraId="00000019">
      <w:pPr>
        <w:spacing w:after="240" w:before="240" w:lineRule="auto"/>
        <w:rPr/>
      </w:pPr>
      <w:r w:rsidDel="00000000" w:rsidR="00000000" w:rsidRPr="00000000">
        <w:rPr>
          <w:b w:val="1"/>
          <w:rtl w:val="0"/>
        </w:rPr>
        <w:t xml:space="preserve">User's Intent:</w:t>
      </w:r>
      <w:r w:rsidDel="00000000" w:rsidR="00000000" w:rsidRPr="00000000">
        <w:rPr>
          <w:rtl w:val="0"/>
        </w:rPr>
        <w:t xml:space="preserve"> A signed message that says, "Goal: 1 ETH on Arbitrum, starting with 1500 USDC on Polygon."</w:t>
      </w:r>
    </w:p>
    <w:p w:rsidR="00000000" w:rsidDel="00000000" w:rsidP="00000000" w:rsidRDefault="00000000" w:rsidRPr="00000000" w14:paraId="0000001A">
      <w:pPr>
        <w:spacing w:after="240" w:before="240" w:lineRule="auto"/>
        <w:rPr/>
      </w:pPr>
      <w:r w:rsidDel="00000000" w:rsidR="00000000" w:rsidRPr="00000000">
        <w:rPr>
          <w:rtl w:val="0"/>
        </w:rPr>
        <w:t xml:space="preserve">This single, signed intent is then broadcast to a </w:t>
      </w:r>
      <w:r w:rsidDel="00000000" w:rsidR="00000000" w:rsidRPr="00000000">
        <w:rPr>
          <w:b w:val="1"/>
          <w:rtl w:val="0"/>
        </w:rPr>
        <w:t xml:space="preserve">competitive marketplace of professional 'solvers'</w:t>
      </w:r>
      <w:r w:rsidDel="00000000" w:rsidR="00000000" w:rsidRPr="00000000">
        <w:rPr>
          <w:rtl w:val="0"/>
        </w:rPr>
        <w:t xml:space="preserve"> who act like master chefs. These specialized agents compete to find the most efficient and cost-effective path to achieve the user's goal. Leveraging a sophisticated off-chain system called an Orchestrator, they analyze the optimal path, considering factors like fees and liquidity across different settlement layers, to construct the perfect transaction sequence on the user's behalf. They handle all the messy details—the swaps, the bridging, the gas fees—completely abstracting away the underlying complexity from the user.</w:t>
      </w:r>
    </w:p>
    <w:p w:rsidR="00000000" w:rsidDel="00000000" w:rsidP="00000000" w:rsidRDefault="00000000" w:rsidRPr="00000000" w14:paraId="0000001B">
      <w:pPr>
        <w:spacing w:after="240" w:before="240" w:lineRule="auto"/>
        <w:rPr/>
      </w:pPr>
      <w:r w:rsidDel="00000000" w:rsidR="00000000" w:rsidRPr="00000000">
        <w:rPr>
          <w:rtl w:val="0"/>
        </w:rPr>
        <w:t xml:space="preserve">The difference between these two approaches is fundamental. Let's place them side-by-side to see the contrast clearly.</w:t>
      </w:r>
    </w:p>
    <w:p w:rsidR="00000000" w:rsidDel="00000000" w:rsidP="00000000" w:rsidRDefault="00000000" w:rsidRPr="00000000" w14:paraId="0000001C">
      <w:pPr>
        <w:spacing w:after="240" w:before="240" w:lineRule="auto"/>
        <w:rPr/>
      </w:pPr>
      <w:r w:rsidDel="00000000" w:rsidR="00000000" w:rsidRPr="00000000">
        <w:rPr>
          <w:rtl w:val="0"/>
        </w:rPr>
        <w:t xml:space="preserve">--------------------------------------------------------------------------------</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jfutrpohqxq3" w:id="4"/>
      <w:bookmarkEnd w:id="4"/>
      <w:r w:rsidDel="00000000" w:rsidR="00000000" w:rsidRPr="00000000">
        <w:rPr>
          <w:b w:val="1"/>
          <w:sz w:val="34"/>
          <w:szCs w:val="34"/>
          <w:rtl w:val="0"/>
        </w:rPr>
        <w:t xml:space="preserve">3. At a Glance: Transaction vs. Intent</w:t>
      </w:r>
    </w:p>
    <w:tbl>
      <w:tblPr>
        <w:tblStyle w:val="Table1"/>
        <w:tblW w:w="9360.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1409.6682464454975"/>
        <w:gridCol w:w="4071.279620853081"/>
        <w:gridCol w:w="3879.0521327014217"/>
        <w:tblGridChange w:id="0">
          <w:tblGrid>
            <w:gridCol w:w="1409.6682464454975"/>
            <w:gridCol w:w="4071.279620853081"/>
            <w:gridCol w:w="3879.0521327014217"/>
          </w:tblGrid>
        </w:tblGridChange>
      </w:tblGrid>
      <w:tr>
        <w:trPr>
          <w:cantSplit w:val="0"/>
          <w:trHeight w:val="515"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pPr>
            <w:r w:rsidDel="00000000" w:rsidR="00000000" w:rsidRPr="00000000">
              <w:rPr>
                <w:rtl w:val="0"/>
              </w:rPr>
              <w:t xml:space="preserve">Criteria</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rtl w:val="0"/>
              </w:rPr>
              <w:t xml:space="preserve">Traditional Transaction</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Modern Intent</w:t>
            </w:r>
          </w:p>
        </w:tc>
      </w:tr>
      <w:tr>
        <w:trPr>
          <w:cantSplit w:val="0"/>
          <w:trHeight w:val="515"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Model</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b w:val="1"/>
                <w:rtl w:val="0"/>
              </w:rPr>
              <w:t xml:space="preserve">Imperative</w:t>
            </w:r>
            <w:r w:rsidDel="00000000" w:rsidR="00000000" w:rsidRPr="00000000">
              <w:rPr>
                <w:rtl w:val="0"/>
              </w:rPr>
              <w:t xml:space="preserve"> (The "How")</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b w:val="1"/>
                <w:rtl w:val="0"/>
              </w:rPr>
              <w:t xml:space="preserve">Declarative</w:t>
            </w:r>
            <w:r w:rsidDel="00000000" w:rsidR="00000000" w:rsidRPr="00000000">
              <w:rPr>
                <w:rtl w:val="0"/>
              </w:rPr>
              <w:t xml:space="preserve"> (The "What")</w:t>
            </w:r>
          </w:p>
        </w:tc>
      </w:tr>
      <w:tr>
        <w:trPr>
          <w:cantSplit w:val="0"/>
          <w:trHeight w:val="80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User's Role</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Acts as the technician, executing every step of a complex recipe.</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Acts as the director, simply stating the final goal.</w:t>
            </w:r>
          </w:p>
        </w:tc>
      </w:tr>
      <w:tr>
        <w:trPr>
          <w:cantSplit w:val="0"/>
          <w:trHeight w:val="80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Complexity</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Managed entirely by the user.</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Abstracted away by a marketplace of professional "solvers."</w:t>
            </w:r>
          </w:p>
        </w:tc>
      </w:tr>
      <w:tr>
        <w:trPr>
          <w:cantSplit w:val="0"/>
          <w:trHeight w:val="515"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Analogy</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A detailed, step-by-step recipe.</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t xml:space="preserve">A simple order given to a master chef.</w:t>
            </w:r>
          </w:p>
        </w:tc>
      </w:tr>
    </w:tbl>
    <w:p w:rsidR="00000000" w:rsidDel="00000000" w:rsidP="00000000" w:rsidRDefault="00000000" w:rsidRPr="00000000" w14:paraId="0000002D">
      <w:pPr>
        <w:spacing w:after="240" w:before="240" w:lineRule="auto"/>
        <w:rPr/>
      </w:pPr>
      <w:r w:rsidDel="00000000" w:rsidR="00000000" w:rsidRPr="00000000">
        <w:rPr>
          <w:rtl w:val="0"/>
        </w:rPr>
        <w:t xml:space="preserve">This shift from a detailed recipe to a simple order is more than just a convenience; it's the key to unlocking a better user experience for everyone.</w:t>
      </w:r>
    </w:p>
    <w:p w:rsidR="00000000" w:rsidDel="00000000" w:rsidP="00000000" w:rsidRDefault="00000000" w:rsidRPr="00000000" w14:paraId="0000002E">
      <w:pPr>
        <w:spacing w:after="240" w:before="240" w:lineRule="auto"/>
        <w:rPr/>
      </w:pPr>
      <w:r w:rsidDel="00000000" w:rsidR="00000000" w:rsidRPr="00000000">
        <w:rPr>
          <w:rtl w:val="0"/>
        </w:rPr>
        <w:t xml:space="preserve">--------------------------------------------------------------------------------</w:t>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vb4r1116co8r" w:id="5"/>
      <w:bookmarkEnd w:id="5"/>
      <w:r w:rsidDel="00000000" w:rsidR="00000000" w:rsidRPr="00000000">
        <w:rPr>
          <w:b w:val="1"/>
          <w:sz w:val="34"/>
          <w:szCs w:val="34"/>
          <w:rtl w:val="0"/>
        </w:rPr>
        <w:t xml:space="preserve">4. Conclusion: Why This Shift Matters</w:t>
      </w:r>
    </w:p>
    <w:p w:rsidR="00000000" w:rsidDel="00000000" w:rsidP="00000000" w:rsidRDefault="00000000" w:rsidRPr="00000000" w14:paraId="00000030">
      <w:pPr>
        <w:spacing w:after="240" w:before="240" w:lineRule="auto"/>
        <w:rPr>
          <w:b w:val="1"/>
        </w:rPr>
      </w:pPr>
      <w:r w:rsidDel="00000000" w:rsidR="00000000" w:rsidRPr="00000000">
        <w:rPr>
          <w:rtl w:val="0"/>
        </w:rPr>
        <w:t xml:space="preserve">The primary benefit of moving from the transaction model to the intent model is clear: the goal is to make the underlying complexity of chains, bridges, and gas </w:t>
      </w:r>
      <w:r w:rsidDel="00000000" w:rsidR="00000000" w:rsidRPr="00000000">
        <w:rPr>
          <w:b w:val="1"/>
          <w:rtl w:val="0"/>
        </w:rPr>
        <w:t xml:space="preserve">"feel invisible."</w:t>
      </w:r>
      <w:r w:rsidDel="00000000" w:rsidR="00000000" w:rsidRPr="00000000">
        <w:rPr>
          <w:rtl w:val="0"/>
        </w:rPr>
        <w:t xml:space="preserve"> By allowing users to state their goals rather than execute complex procedures, we remove the most significant barriers to entry and use. For developers, this means they can finally stop wrestling with low-level infrastructure and focus on creating seamless, multi-chain applications that were previously impossible. This evolution represents a crucial step forward for the entire ecosystem. The future is not about building for chains; it's about </w:t>
      </w:r>
      <w:r w:rsidDel="00000000" w:rsidR="00000000" w:rsidRPr="00000000">
        <w:rPr>
          <w:b w:val="1"/>
          <w:rtl w:val="0"/>
        </w:rPr>
        <w:t xml:space="preserve">"building for users."</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