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210EB" w14:textId="7BF2EEDC" w:rsidR="00EA3CE7" w:rsidRPr="00E9546B" w:rsidRDefault="00EA3CE7" w:rsidP="00EA3CE7">
      <w:pPr>
        <w:tabs>
          <w:tab w:val="left" w:pos="720"/>
          <w:tab w:val="left" w:pos="1440"/>
          <w:tab w:val="left" w:pos="2160"/>
          <w:tab w:val="left" w:pos="2880"/>
          <w:tab w:val="left" w:pos="3600"/>
          <w:tab w:val="left" w:pos="4320"/>
          <w:tab w:val="right" w:pos="9026"/>
        </w:tabs>
        <w:rPr>
          <w:lang w:val="fr-FR"/>
        </w:rPr>
      </w:pPr>
      <w:r w:rsidRPr="00D350C4">
        <w:rPr>
          <w:b/>
          <w:bCs/>
          <w:lang w:val="fr-FR"/>
        </w:rPr>
        <w:t>Analyse du cycle de vie – Travaux pratique</w:t>
      </w:r>
      <w:r>
        <w:rPr>
          <w:b/>
          <w:bCs/>
          <w:lang w:val="fr-FR"/>
        </w:rPr>
        <w:t>s</w:t>
      </w:r>
      <w:r>
        <w:rPr>
          <w:b/>
          <w:bCs/>
          <w:lang w:val="fr-FR"/>
        </w:rPr>
        <w:tab/>
        <w:t>20 janvier 2026</w:t>
      </w:r>
    </w:p>
    <w:p w14:paraId="654FD1D9" w14:textId="73ACB2D0" w:rsidR="00EA3CE7" w:rsidRDefault="00EA3CE7" w:rsidP="00EA3CE7">
      <w:pPr>
        <w:rPr>
          <w:b/>
          <w:bCs/>
          <w:lang w:val="fr-FR"/>
        </w:rPr>
      </w:pPr>
      <w:r w:rsidRPr="00E9546B">
        <w:rPr>
          <w:b/>
          <w:bCs/>
          <w:lang w:val="fr-FR"/>
        </w:rPr>
        <w:t xml:space="preserve">Étude de cas : comparaison </w:t>
      </w:r>
      <w:r>
        <w:rPr>
          <w:b/>
          <w:bCs/>
          <w:lang w:val="fr-FR"/>
        </w:rPr>
        <w:t>de sources d’électricité</w:t>
      </w:r>
    </w:p>
    <w:p w14:paraId="423260CD" w14:textId="77777777" w:rsidR="00EA3CE7" w:rsidRDefault="00EA3CE7" w:rsidP="00EA3CE7">
      <w:pPr>
        <w:rPr>
          <w:b/>
          <w:bCs/>
          <w:lang w:val="fr-FR"/>
        </w:rPr>
      </w:pPr>
      <w:r>
        <w:rPr>
          <w:b/>
          <w:bCs/>
          <w:lang w:val="fr-FR"/>
        </w:rPr>
        <w:t>Durée prévue : 3 heures</w:t>
      </w:r>
    </w:p>
    <w:p w14:paraId="21B872B0" w14:textId="77777777" w:rsidR="00EA3CE7" w:rsidRDefault="00EA3CE7" w:rsidP="00EA3CE7">
      <w:pPr>
        <w:rPr>
          <w:b/>
          <w:bCs/>
          <w:lang w:val="fr-FR"/>
        </w:rPr>
      </w:pPr>
      <w:r>
        <w:rPr>
          <w:b/>
          <w:bCs/>
          <w:lang w:val="fr-FR"/>
        </w:rPr>
        <w:t>Équipement : PC avec MS Excel et accès internet</w:t>
      </w:r>
    </w:p>
    <w:p w14:paraId="04FB4498" w14:textId="191824CA" w:rsidR="00EA3CE7" w:rsidRDefault="00EA3CE7" w:rsidP="00EA3CE7">
      <w:pPr>
        <w:rPr>
          <w:b/>
          <w:bCs/>
          <w:lang w:val="fr-FR"/>
        </w:rPr>
      </w:pPr>
      <w:r w:rsidRPr="00EA3CE7">
        <w:rPr>
          <w:noProof/>
          <w:lang w:val="fr-FR"/>
        </w:rPr>
        <w:drawing>
          <wp:inline distT="0" distB="0" distL="0" distR="0" wp14:anchorId="4E480E48" wp14:editId="2DC34E52">
            <wp:extent cx="5731510" cy="2595245"/>
            <wp:effectExtent l="0" t="0" r="2540" b="0"/>
            <wp:docPr id="47797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70342" name=""/>
                    <pic:cNvPicPr/>
                  </pic:nvPicPr>
                  <pic:blipFill>
                    <a:blip r:embed="rId8"/>
                    <a:stretch>
                      <a:fillRect/>
                    </a:stretch>
                  </pic:blipFill>
                  <pic:spPr>
                    <a:xfrm>
                      <a:off x="0" y="0"/>
                      <a:ext cx="5731510" cy="2595245"/>
                    </a:xfrm>
                    <a:prstGeom prst="rect">
                      <a:avLst/>
                    </a:prstGeom>
                  </pic:spPr>
                </pic:pic>
              </a:graphicData>
            </a:graphic>
          </wp:inline>
        </w:drawing>
      </w:r>
    </w:p>
    <w:p w14:paraId="7C254CA9" w14:textId="1BC1222B" w:rsidR="00EA3CE7" w:rsidRDefault="00EA3CE7" w:rsidP="00EA3CE7">
      <w:pPr>
        <w:rPr>
          <w:sz w:val="12"/>
          <w:szCs w:val="12"/>
          <w:lang w:val="fr-FR"/>
        </w:rPr>
      </w:pPr>
      <w:r w:rsidRPr="00EA3CE7">
        <w:rPr>
          <w:sz w:val="12"/>
          <w:szCs w:val="12"/>
          <w:lang w:val="fr-FR"/>
        </w:rPr>
        <w:t xml:space="preserve">Source : </w:t>
      </w:r>
      <w:hyperlink r:id="rId9" w:history="1">
        <w:r w:rsidRPr="00EA3CE7">
          <w:rPr>
            <w:rStyle w:val="Hyperlink"/>
            <w:sz w:val="12"/>
            <w:szCs w:val="12"/>
            <w:lang w:val="fr-FR"/>
          </w:rPr>
          <w:t>https://medium.com/@alkidel/the-land-footprint-of-solar-and-nuclear-and-wind-power-b4a8b2c42ba9</w:t>
        </w:r>
      </w:hyperlink>
      <w:r w:rsidRPr="00EA3CE7">
        <w:rPr>
          <w:sz w:val="12"/>
          <w:szCs w:val="12"/>
          <w:lang w:val="fr-FR"/>
        </w:rPr>
        <w:t xml:space="preserve"> </w:t>
      </w:r>
    </w:p>
    <w:p w14:paraId="57FFDCAC" w14:textId="47188F03" w:rsidR="00EA3CE7" w:rsidRDefault="00EA3CE7" w:rsidP="00EA3CE7">
      <w:pPr>
        <w:pStyle w:val="Heading1"/>
        <w:rPr>
          <w:lang w:val="fr-FR"/>
        </w:rPr>
      </w:pPr>
      <w:r>
        <w:rPr>
          <w:lang w:val="fr-FR"/>
        </w:rPr>
        <w:t>Introduction</w:t>
      </w:r>
    </w:p>
    <w:p w14:paraId="44BBE3E2" w14:textId="77777777" w:rsidR="00EA3CE7" w:rsidRPr="00D350C4" w:rsidRDefault="00EA3CE7" w:rsidP="00EA3CE7">
      <w:pPr>
        <w:rPr>
          <w:b/>
          <w:bCs/>
          <w:lang w:val="fr-FR"/>
        </w:rPr>
      </w:pPr>
      <w:r w:rsidRPr="00D350C4">
        <w:rPr>
          <w:b/>
          <w:bCs/>
          <w:lang w:val="fr-FR"/>
        </w:rPr>
        <w:t>Résumé</w:t>
      </w:r>
    </w:p>
    <w:p w14:paraId="13FD4FDC" w14:textId="7FEF5439" w:rsidR="00EA3CE7" w:rsidRDefault="00EA3CE7" w:rsidP="00EA3CE7">
      <w:pPr>
        <w:rPr>
          <w:lang w:val="fr-FR"/>
        </w:rPr>
      </w:pPr>
      <w:r>
        <w:rPr>
          <w:lang w:val="fr-FR"/>
        </w:rPr>
        <w:t xml:space="preserve">Nous allons comparer les impacts environnementaux d’une centrale nucléaire, d’un parc photovoltaïque, et d’un parc éolien, en employant l’analyse du cycle de vie. Pour ce faire il s’agira de suivre les étapes conventionnelles d’une ACV, à savoir 1. </w:t>
      </w:r>
      <w:proofErr w:type="gramStart"/>
      <w:r>
        <w:rPr>
          <w:lang w:val="fr-FR"/>
        </w:rPr>
        <w:t>objectifs</w:t>
      </w:r>
      <w:proofErr w:type="gramEnd"/>
      <w:r>
        <w:rPr>
          <w:lang w:val="fr-FR"/>
        </w:rPr>
        <w:t xml:space="preserve"> et périmètre de l’étude, 2. inventaire de cycle de vie, 3. analyse d’impacts de cycle de vie, 4. interprétation.</w:t>
      </w:r>
    </w:p>
    <w:p w14:paraId="2E7DE63D" w14:textId="4EEED208" w:rsidR="00EA3CE7" w:rsidRPr="00EA3CE7" w:rsidRDefault="00EA3CE7" w:rsidP="00EA3CE7">
      <w:pPr>
        <w:rPr>
          <w:b/>
          <w:bCs/>
          <w:lang w:val="fr-FR"/>
        </w:rPr>
      </w:pPr>
      <w:r w:rsidRPr="00EA3CE7">
        <w:rPr>
          <w:b/>
          <w:bCs/>
          <w:lang w:val="fr-FR"/>
        </w:rPr>
        <w:t>Mise en situation</w:t>
      </w:r>
    </w:p>
    <w:p w14:paraId="00812D91" w14:textId="50DFA850" w:rsidR="00EA3CE7" w:rsidRDefault="00EA3CE7" w:rsidP="00EA3CE7">
      <w:pPr>
        <w:rPr>
          <w:lang w:val="fr-FR"/>
        </w:rPr>
      </w:pPr>
      <w:r>
        <w:rPr>
          <w:lang w:val="fr-FR"/>
        </w:rPr>
        <w:t>Vous avez été commissionné par le Ministère de la Transition Écologique pour fournir une comparaison des différentes sources d’électricité les plus prometteuses pour réduire l’empreinte carbone de la France.</w:t>
      </w:r>
      <w:r w:rsidR="009D71B0">
        <w:rPr>
          <w:lang w:val="fr-FR"/>
        </w:rPr>
        <w:t xml:space="preserve"> L’objectif est de confirmer avec un chiffrage précis que ces trois options sont effectivement bas-carbone, et de déterminer si d’autres impacts environnementaux pourraient augmenter avec leur adoption. Vous calculerez par exemple les empreintes fossile, matérielle, et l’emprise au sol sur le cycle de vie de ces technologies.</w:t>
      </w:r>
    </w:p>
    <w:p w14:paraId="2D45B502" w14:textId="77777777" w:rsidR="009D71B0" w:rsidRPr="006A3FF1" w:rsidRDefault="009D71B0" w:rsidP="009D71B0">
      <w:pPr>
        <w:pStyle w:val="Heading1"/>
        <w:rPr>
          <w:lang w:val="fr-FR"/>
        </w:rPr>
      </w:pPr>
      <w:r w:rsidRPr="006A3FF1">
        <w:rPr>
          <w:lang w:val="fr-FR"/>
        </w:rPr>
        <w:lastRenderedPageBreak/>
        <w:t>Informations utiles pour l’étude</w:t>
      </w:r>
    </w:p>
    <w:p w14:paraId="19FDD132" w14:textId="1CA3DC22" w:rsidR="009D71B0" w:rsidRDefault="009D71B0" w:rsidP="00EA3CE7">
      <w:pPr>
        <w:rPr>
          <w:lang w:val="fr-FR"/>
        </w:rPr>
      </w:pPr>
      <w:r w:rsidRPr="009D71B0">
        <w:rPr>
          <w:b/>
          <w:bCs/>
          <w:lang w:val="fr-FR"/>
        </w:rPr>
        <w:t>Infrastructure</w:t>
      </w:r>
      <w:r>
        <w:rPr>
          <w:lang w:val="fr-FR"/>
        </w:rPr>
        <w:t>. La comparaison se fera sur trois centrales électriques :</w:t>
      </w:r>
    </w:p>
    <w:p w14:paraId="300F83B9" w14:textId="1FA52E28" w:rsidR="009D71B0" w:rsidRDefault="00C02708" w:rsidP="009D71B0">
      <w:pPr>
        <w:pStyle w:val="ListParagraph"/>
        <w:numPr>
          <w:ilvl w:val="0"/>
          <w:numId w:val="1"/>
        </w:numPr>
        <w:rPr>
          <w:lang w:val="fr-FR"/>
        </w:rPr>
      </w:pPr>
      <w:r>
        <w:rPr>
          <w:lang w:val="fr-FR"/>
        </w:rPr>
        <w:t>Un parc</w:t>
      </w:r>
      <w:r w:rsidR="009D71B0">
        <w:rPr>
          <w:lang w:val="fr-FR"/>
        </w:rPr>
        <w:t xml:space="preserve"> photovoltaïque de 100 MWc</w:t>
      </w:r>
      <w:r w:rsidR="009D71B0">
        <w:rPr>
          <w:rStyle w:val="FootnoteReference"/>
          <w:lang w:val="fr-FR"/>
        </w:rPr>
        <w:footnoteReference w:id="1"/>
      </w:r>
      <w:r>
        <w:rPr>
          <w:lang w:val="fr-FR"/>
        </w:rPr>
        <w:t xml:space="preserve"> installée dans le sud de la France,</w:t>
      </w:r>
    </w:p>
    <w:p w14:paraId="72A8B07E" w14:textId="5373ECBB" w:rsidR="00C02708" w:rsidRDefault="00C02708" w:rsidP="009D71B0">
      <w:pPr>
        <w:pStyle w:val="ListParagraph"/>
        <w:numPr>
          <w:ilvl w:val="0"/>
          <w:numId w:val="1"/>
        </w:numPr>
        <w:rPr>
          <w:lang w:val="fr-FR"/>
        </w:rPr>
      </w:pPr>
      <w:r>
        <w:rPr>
          <w:lang w:val="fr-FR"/>
        </w:rPr>
        <w:t>Un parc éolien terrestre de 100 MWc dans l’ouest de la France,</w:t>
      </w:r>
    </w:p>
    <w:p w14:paraId="3C23CCA9" w14:textId="3B05B1BE" w:rsidR="00C02708" w:rsidRDefault="00C02708" w:rsidP="009D71B0">
      <w:pPr>
        <w:pStyle w:val="ListParagraph"/>
        <w:numPr>
          <w:ilvl w:val="0"/>
          <w:numId w:val="1"/>
        </w:numPr>
        <w:rPr>
          <w:lang w:val="fr-FR"/>
        </w:rPr>
      </w:pPr>
      <w:r>
        <w:rPr>
          <w:lang w:val="fr-FR"/>
        </w:rPr>
        <w:t>Un réacteur nucléaire nouvelle génération de 1000 MW.</w:t>
      </w:r>
    </w:p>
    <w:p w14:paraId="0DF39486" w14:textId="082AC9AF" w:rsidR="0074220E" w:rsidRDefault="00C02708" w:rsidP="00C02708">
      <w:pPr>
        <w:rPr>
          <w:lang w:val="fr-FR"/>
        </w:rPr>
      </w:pPr>
      <w:r>
        <w:rPr>
          <w:lang w:val="fr-FR"/>
        </w:rPr>
        <w:t xml:space="preserve">Le </w:t>
      </w:r>
      <w:r w:rsidRPr="0074220E">
        <w:rPr>
          <w:b/>
          <w:bCs/>
          <w:lang w:val="fr-FR"/>
        </w:rPr>
        <w:t>parc photovoltaïque</w:t>
      </w:r>
      <w:r>
        <w:rPr>
          <w:lang w:val="fr-FR"/>
        </w:rPr>
        <w:t xml:space="preserve"> consiste en un assemblage de panneaux multicristallins montés au sol, dont la performance est estimée à </w:t>
      </w:r>
      <w:r w:rsidRPr="00DF5F03">
        <w:rPr>
          <w:highlight w:val="yellow"/>
          <w:lang w:val="fr-FR"/>
        </w:rPr>
        <w:t>170 Wc/m</w:t>
      </w:r>
      <w:r w:rsidRPr="00DF5F03">
        <w:rPr>
          <w:highlight w:val="yellow"/>
          <w:vertAlign w:val="superscript"/>
          <w:lang w:val="fr-FR"/>
        </w:rPr>
        <w:t>2</w:t>
      </w:r>
      <w:r>
        <w:rPr>
          <w:lang w:val="fr-FR"/>
        </w:rPr>
        <w:t>.</w:t>
      </w:r>
      <w:r w:rsidR="00DF5F03">
        <w:rPr>
          <w:lang w:val="fr-FR"/>
        </w:rPr>
        <w:t xml:space="preserve"> Dû à la nécessité de circuler entre les panneaux, ainsi que l’espace nécessaire à un ensoleillement maximal de tous les panneaux, l’installation occupe environ </w:t>
      </w:r>
      <w:r w:rsidR="00DF5F03" w:rsidRPr="00DF5F03">
        <w:rPr>
          <w:highlight w:val="yellow"/>
          <w:lang w:val="fr-FR"/>
        </w:rPr>
        <w:t>50% de place en plus que les panneaux seuls</w:t>
      </w:r>
      <w:r w:rsidR="00DF5F03">
        <w:rPr>
          <w:lang w:val="fr-FR"/>
        </w:rPr>
        <w:t>.</w:t>
      </w:r>
      <w:r w:rsidR="0074220E">
        <w:rPr>
          <w:lang w:val="fr-FR"/>
        </w:rPr>
        <w:t xml:space="preserve"> L’emplacement de l’installation est critique puisqu’elle détermine l’ensoleillement disponible. Le site PVGIS (</w:t>
      </w:r>
      <w:hyperlink r:id="rId10" w:history="1">
        <w:r w:rsidR="0074220E" w:rsidRPr="00BA3FE4">
          <w:rPr>
            <w:rStyle w:val="Hyperlink"/>
            <w:lang w:val="fr-FR"/>
          </w:rPr>
          <w:t>https://re.jrc.ec.europa.eu/pvg_tools/fr/</w:t>
        </w:r>
      </w:hyperlink>
      <w:r w:rsidR="0074220E">
        <w:rPr>
          <w:lang w:val="fr-FR"/>
        </w:rPr>
        <w:t xml:space="preserve">) permet d’estimer la production photovoltaïque d’un emplacement donné. Cette production s’exprime en kWh/kWc annuels, ou en </w:t>
      </w:r>
      <w:r w:rsidR="00FA527D">
        <w:rPr>
          <w:lang w:val="fr-FR"/>
        </w:rPr>
        <w:t>« </w:t>
      </w:r>
      <w:r w:rsidR="0074220E">
        <w:rPr>
          <w:lang w:val="fr-FR"/>
        </w:rPr>
        <w:t xml:space="preserve">heures à pleine </w:t>
      </w:r>
      <w:r w:rsidR="00FA527D">
        <w:rPr>
          <w:lang w:val="fr-FR"/>
        </w:rPr>
        <w:t>charge », c’est-à-dire combien d’heures par an la centrale devrait fonctionner si elle était constamment à pleine puissance (puisque kWh/kW = heures). La composition des panneaux et de leur structure vous est donnée.</w:t>
      </w:r>
    </w:p>
    <w:p w14:paraId="475B7A92" w14:textId="71EFF428" w:rsidR="00FA527D" w:rsidRDefault="00FA527D" w:rsidP="00C02708">
      <w:pPr>
        <w:rPr>
          <w:lang w:val="fr-FR"/>
        </w:rPr>
      </w:pPr>
      <w:r>
        <w:rPr>
          <w:lang w:val="fr-FR"/>
        </w:rPr>
        <w:t xml:space="preserve">Le </w:t>
      </w:r>
      <w:r w:rsidRPr="00FA527D">
        <w:rPr>
          <w:b/>
          <w:bCs/>
          <w:lang w:val="fr-FR"/>
        </w:rPr>
        <w:t>parc éolien</w:t>
      </w:r>
      <w:r>
        <w:rPr>
          <w:lang w:val="fr-FR"/>
        </w:rPr>
        <w:t xml:space="preserve"> consiste en plusieurs éoliennes de 3 MWc chacune, dont la composition vous est donnée. Il est attendu que celles-ci fonctionnent avec un facteur de charge d’environ </w:t>
      </w:r>
      <w:r w:rsidRPr="00FA527D">
        <w:rPr>
          <w:highlight w:val="yellow"/>
          <w:lang w:val="fr-FR"/>
        </w:rPr>
        <w:t>30%</w:t>
      </w:r>
      <w:r>
        <w:rPr>
          <w:lang w:val="fr-FR"/>
        </w:rPr>
        <w:t xml:space="preserve">, ce qui signifie que la production annuelle attendue correspond à une production à pleine puissance 30% du temps, soit </w:t>
      </w:r>
      <w:r w:rsidRPr="00FA527D">
        <w:rPr>
          <w:highlight w:val="yellow"/>
          <w:lang w:val="fr-FR"/>
        </w:rPr>
        <w:t>30% * 365 * 24 = 2600 heures par an</w:t>
      </w:r>
      <w:r>
        <w:rPr>
          <w:lang w:val="fr-FR"/>
        </w:rPr>
        <w:t xml:space="preserve"> environ.</w:t>
      </w:r>
    </w:p>
    <w:p w14:paraId="6B08DB25" w14:textId="3DDB0A9E" w:rsidR="00FA527D" w:rsidRDefault="00FA527D" w:rsidP="00C02708">
      <w:pPr>
        <w:rPr>
          <w:lang w:val="fr-FR"/>
        </w:rPr>
      </w:pPr>
      <w:r>
        <w:rPr>
          <w:lang w:val="fr-FR"/>
        </w:rPr>
        <w:t xml:space="preserve">La </w:t>
      </w:r>
      <w:r w:rsidRPr="00FA527D">
        <w:rPr>
          <w:b/>
          <w:bCs/>
          <w:lang w:val="fr-FR"/>
        </w:rPr>
        <w:t>centrale nucléaire</w:t>
      </w:r>
      <w:r>
        <w:rPr>
          <w:lang w:val="fr-FR"/>
        </w:rPr>
        <w:t xml:space="preserve"> est composée d’un seul réacteur d’1 GW, fonctionnant </w:t>
      </w:r>
      <w:r w:rsidRPr="00FA527D">
        <w:rPr>
          <w:highlight w:val="yellow"/>
          <w:lang w:val="fr-FR"/>
        </w:rPr>
        <w:t>8000 heures par an</w:t>
      </w:r>
      <w:r>
        <w:rPr>
          <w:lang w:val="fr-FR"/>
        </w:rPr>
        <w:t xml:space="preserve"> (donc un facteur de charge de 8000</w:t>
      </w:r>
      <w:proofErr w:type="gramStart"/>
      <w:r>
        <w:rPr>
          <w:lang w:val="fr-FR"/>
        </w:rPr>
        <w:t>/(</w:t>
      </w:r>
      <w:proofErr w:type="gramEnd"/>
      <w:r>
        <w:rPr>
          <w:lang w:val="fr-FR"/>
        </w:rPr>
        <w:t>365 * 24) = 91%). Il vous faudra déterminer l’approvisionnement en uranium pour cette production.</w:t>
      </w:r>
    </w:p>
    <w:p w14:paraId="7AD5ACA8" w14:textId="77777777" w:rsidR="00FA527D" w:rsidRPr="00FA6132" w:rsidRDefault="00FA527D" w:rsidP="00FA527D">
      <w:pPr>
        <w:pStyle w:val="Heading1"/>
        <w:rPr>
          <w:lang w:val="fr-FR"/>
        </w:rPr>
      </w:pPr>
      <w:r w:rsidRPr="00FA6132">
        <w:rPr>
          <w:lang w:val="fr-FR"/>
        </w:rPr>
        <w:t>Questions</w:t>
      </w:r>
    </w:p>
    <w:p w14:paraId="724D9201" w14:textId="77777777" w:rsidR="00FA527D" w:rsidRPr="00DC6873" w:rsidRDefault="00FA527D" w:rsidP="00FA527D">
      <w:pPr>
        <w:pStyle w:val="ListParagraph"/>
        <w:numPr>
          <w:ilvl w:val="0"/>
          <w:numId w:val="2"/>
        </w:numPr>
        <w:rPr>
          <w:b/>
          <w:bCs/>
          <w:lang w:val="fr-FR"/>
        </w:rPr>
      </w:pPr>
      <w:r w:rsidRPr="00DC6873">
        <w:rPr>
          <w:b/>
          <w:bCs/>
          <w:lang w:val="fr-FR"/>
        </w:rPr>
        <w:t>Objectifs et périmètre</w:t>
      </w:r>
    </w:p>
    <w:p w14:paraId="0A8617D2" w14:textId="77777777" w:rsidR="00FA527D" w:rsidRDefault="00FA527D" w:rsidP="00FA527D">
      <w:pPr>
        <w:pStyle w:val="ListParagraph"/>
        <w:numPr>
          <w:ilvl w:val="1"/>
          <w:numId w:val="2"/>
        </w:numPr>
        <w:rPr>
          <w:lang w:val="fr-FR"/>
        </w:rPr>
      </w:pPr>
      <w:r>
        <w:rPr>
          <w:lang w:val="fr-FR"/>
        </w:rPr>
        <w:t>Résumer en une phrase l’objectif de l’étude, à quoi seront destinés les résultats</w:t>
      </w:r>
    </w:p>
    <w:p w14:paraId="528B0432" w14:textId="72B3610D" w:rsidR="00FA527D" w:rsidRDefault="00FA527D" w:rsidP="00FA527D">
      <w:pPr>
        <w:pStyle w:val="ListParagraph"/>
        <w:numPr>
          <w:ilvl w:val="1"/>
          <w:numId w:val="2"/>
        </w:numPr>
        <w:rPr>
          <w:lang w:val="fr-FR"/>
        </w:rPr>
      </w:pPr>
      <w:r>
        <w:rPr>
          <w:lang w:val="fr-FR"/>
        </w:rPr>
        <w:t>Tracer un diagramme représentant le système à étudier pour chacune des centrales. Cela pourra se faire sous cette forme :</w:t>
      </w:r>
    </w:p>
    <w:p w14:paraId="5189221B" w14:textId="77777777" w:rsidR="00C04613" w:rsidRDefault="00C04613" w:rsidP="00C04613">
      <w:pPr>
        <w:keepNext/>
      </w:pPr>
      <w:r w:rsidRPr="00C04613">
        <w:rPr>
          <w:noProof/>
        </w:rPr>
        <w:lastRenderedPageBreak/>
        <w:drawing>
          <wp:inline distT="0" distB="0" distL="0" distR="0" wp14:anchorId="6E3CFED0" wp14:editId="2AFBC23D">
            <wp:extent cx="5731510" cy="899795"/>
            <wp:effectExtent l="0" t="0" r="0" b="0"/>
            <wp:docPr id="249662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899795"/>
                    </a:xfrm>
                    <a:prstGeom prst="rect">
                      <a:avLst/>
                    </a:prstGeom>
                    <a:noFill/>
                    <a:ln>
                      <a:noFill/>
                    </a:ln>
                  </pic:spPr>
                </pic:pic>
              </a:graphicData>
            </a:graphic>
          </wp:inline>
        </w:drawing>
      </w:r>
    </w:p>
    <w:p w14:paraId="1DD39C97" w14:textId="511FC4F0" w:rsidR="00FA527D" w:rsidRDefault="00C04613" w:rsidP="00C04613">
      <w:pPr>
        <w:pStyle w:val="Caption"/>
        <w:rPr>
          <w:lang w:val="fr-FR"/>
        </w:rPr>
      </w:pPr>
      <w:r w:rsidRPr="00C04613">
        <w:rPr>
          <w:lang w:val="fr-FR"/>
        </w:rPr>
        <w:t xml:space="preserve">Figure </w:t>
      </w:r>
      <w:r>
        <w:fldChar w:fldCharType="begin"/>
      </w:r>
      <w:r w:rsidRPr="00C04613">
        <w:rPr>
          <w:lang w:val="fr-FR"/>
        </w:rPr>
        <w:instrText xml:space="preserve"> SEQ Figure \* ARABIC </w:instrText>
      </w:r>
      <w:r>
        <w:fldChar w:fldCharType="separate"/>
      </w:r>
      <w:r w:rsidRPr="00C04613">
        <w:rPr>
          <w:noProof/>
          <w:lang w:val="fr-FR"/>
        </w:rPr>
        <w:t>1</w:t>
      </w:r>
      <w:r>
        <w:fldChar w:fldCharType="end"/>
      </w:r>
      <w:r w:rsidRPr="00C04613">
        <w:rPr>
          <w:lang w:val="fr-FR"/>
        </w:rPr>
        <w:t>. Diagramme simplifié des limites du système pour le parc éolien.</w:t>
      </w:r>
    </w:p>
    <w:p w14:paraId="0A1B0A44" w14:textId="3BF2B9BB" w:rsidR="00D56CA7" w:rsidRDefault="00D56CA7" w:rsidP="00D56CA7">
      <w:pPr>
        <w:pStyle w:val="ListParagraph"/>
        <w:numPr>
          <w:ilvl w:val="1"/>
          <w:numId w:val="2"/>
        </w:numPr>
        <w:rPr>
          <w:lang w:val="fr-FR"/>
        </w:rPr>
      </w:pPr>
      <w:r>
        <w:rPr>
          <w:lang w:val="fr-FR"/>
        </w:rPr>
        <w:t>Quelle est l’unité fonctionnelle de l’étude ?</w:t>
      </w:r>
    </w:p>
    <w:p w14:paraId="4300BE9C" w14:textId="77777777" w:rsidR="00D56CA7" w:rsidRPr="00D56CA7" w:rsidRDefault="00D56CA7" w:rsidP="00D56CA7">
      <w:pPr>
        <w:rPr>
          <w:lang w:val="fr-FR"/>
        </w:rPr>
      </w:pPr>
    </w:p>
    <w:p w14:paraId="1070A448" w14:textId="77777777" w:rsidR="00D56CA7" w:rsidRDefault="00D56CA7" w:rsidP="00D56CA7">
      <w:pPr>
        <w:pStyle w:val="ListParagraph"/>
        <w:numPr>
          <w:ilvl w:val="0"/>
          <w:numId w:val="2"/>
        </w:numPr>
        <w:rPr>
          <w:b/>
          <w:bCs/>
          <w:lang w:val="fr-FR"/>
        </w:rPr>
      </w:pPr>
      <w:r w:rsidRPr="00782E56">
        <w:rPr>
          <w:b/>
          <w:bCs/>
          <w:lang w:val="fr-FR"/>
        </w:rPr>
        <w:t>Analyse d’inventaire</w:t>
      </w:r>
    </w:p>
    <w:p w14:paraId="32FBFDA4" w14:textId="47BE8F42" w:rsidR="00D56CA7" w:rsidRDefault="00D56CA7" w:rsidP="00D56CA7">
      <w:pPr>
        <w:rPr>
          <w:lang w:val="fr-FR"/>
        </w:rPr>
      </w:pPr>
      <w:r w:rsidRPr="00D56CA7">
        <w:rPr>
          <w:lang w:val="fr-FR"/>
        </w:rPr>
        <w:t xml:space="preserve">Cette étape consiste à construire le jeu de données nécessaire au calcul d’impact, autrement appelé « inventaire de cycle de vie ». Dans sa version « opérationnelle », cet inventaire prend la forme d’une matrice carrée reprenant tous les éléments du diagramme du système ACV, ainsi qu’une matrice d’émissions reprenant les facteurs d’émission de GES de chaque procédé. En termes mathématiques, c’est la </w:t>
      </w:r>
      <w:hyperlink r:id="rId12" w:history="1">
        <w:r w:rsidRPr="00D1720A">
          <w:rPr>
            <w:rStyle w:val="Hyperlink"/>
            <w:i/>
            <w:iCs/>
            <w:lang w:val="fr-FR"/>
          </w:rPr>
          <w:t xml:space="preserve">matrice </w:t>
        </w:r>
        <w:r w:rsidR="000D74BF" w:rsidRPr="00D1720A">
          <w:rPr>
            <w:rStyle w:val="Hyperlink"/>
            <w:i/>
            <w:iCs/>
            <w:lang w:val="fr-FR"/>
          </w:rPr>
          <w:t>d’adjacence</w:t>
        </w:r>
      </w:hyperlink>
      <w:r w:rsidR="000D74BF">
        <w:rPr>
          <w:lang w:val="fr-FR"/>
        </w:rPr>
        <w:t xml:space="preserve"> </w:t>
      </w:r>
      <w:r w:rsidRPr="00D56CA7">
        <w:rPr>
          <w:lang w:val="fr-FR"/>
        </w:rPr>
        <w:t xml:space="preserve">du graphe mis à l’échelle d’1 </w:t>
      </w:r>
      <w:r w:rsidR="000D74BF">
        <w:rPr>
          <w:lang w:val="fr-FR"/>
        </w:rPr>
        <w:t>kWh</w:t>
      </w:r>
      <w:r w:rsidRPr="00D56CA7">
        <w:rPr>
          <w:lang w:val="fr-FR"/>
        </w:rPr>
        <w:t>.</w:t>
      </w:r>
    </w:p>
    <w:p w14:paraId="7BB4CC9F" w14:textId="1273EC97" w:rsidR="00D56CA7" w:rsidRPr="00D56CA7" w:rsidRDefault="00D56CA7" w:rsidP="00D56CA7">
      <w:pPr>
        <w:rPr>
          <w:lang w:val="fr-FR"/>
        </w:rPr>
      </w:pPr>
      <w:r w:rsidRPr="00D56CA7">
        <w:rPr>
          <w:lang w:val="fr-FR"/>
        </w:rPr>
        <w:t>Il reste quelques informations à calculer avant de pouvoir compléter l’inventaire. Ces informations sont à compléter dans le fichier « SPN_ACV_TP_</w:t>
      </w:r>
      <w:r>
        <w:rPr>
          <w:lang w:val="fr-FR"/>
        </w:rPr>
        <w:t>électricité_</w:t>
      </w:r>
      <w:r w:rsidRPr="00D56CA7">
        <w:rPr>
          <w:lang w:val="fr-FR"/>
        </w:rPr>
        <w:t>données », onglet « Inventaire ».</w:t>
      </w:r>
    </w:p>
    <w:p w14:paraId="621ADD74" w14:textId="77777777" w:rsidR="00D56CA7" w:rsidRDefault="00D56CA7" w:rsidP="000D74BF">
      <w:pPr>
        <w:keepNext/>
        <w:ind w:left="360"/>
      </w:pPr>
      <w:r w:rsidRPr="00436AA2">
        <w:rPr>
          <w:noProof/>
        </w:rPr>
        <w:drawing>
          <wp:inline distT="0" distB="0" distL="0" distR="0" wp14:anchorId="3BAEA859" wp14:editId="367D25D1">
            <wp:extent cx="3402042" cy="1873649"/>
            <wp:effectExtent l="0" t="0" r="8255" b="0"/>
            <wp:docPr id="56106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9842" cy="1883452"/>
                    </a:xfrm>
                    <a:prstGeom prst="rect">
                      <a:avLst/>
                    </a:prstGeom>
                    <a:noFill/>
                    <a:ln>
                      <a:noFill/>
                    </a:ln>
                  </pic:spPr>
                </pic:pic>
              </a:graphicData>
            </a:graphic>
          </wp:inline>
        </w:drawing>
      </w:r>
      <w:r w:rsidRPr="004B688C">
        <w:rPr>
          <w:noProof/>
        </w:rPr>
        <w:drawing>
          <wp:inline distT="0" distB="0" distL="0" distR="0" wp14:anchorId="7A208156" wp14:editId="4C0ECC35">
            <wp:extent cx="1743710" cy="1543381"/>
            <wp:effectExtent l="0" t="0" r="8890" b="0"/>
            <wp:docPr id="227061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t="-1" b="-23727"/>
                    <a:stretch>
                      <a:fillRect/>
                    </a:stretch>
                  </pic:blipFill>
                  <pic:spPr bwMode="auto">
                    <a:xfrm>
                      <a:off x="0" y="0"/>
                      <a:ext cx="1761699" cy="1559303"/>
                    </a:xfrm>
                    <a:prstGeom prst="rect">
                      <a:avLst/>
                    </a:prstGeom>
                    <a:noFill/>
                    <a:ln>
                      <a:noFill/>
                    </a:ln>
                    <a:extLst>
                      <a:ext uri="{53640926-AAD7-44D8-BBD7-CCE9431645EC}">
                        <a14:shadowObscured xmlns:a14="http://schemas.microsoft.com/office/drawing/2010/main"/>
                      </a:ext>
                    </a:extLst>
                  </pic:spPr>
                </pic:pic>
              </a:graphicData>
            </a:graphic>
          </wp:inline>
        </w:drawing>
      </w:r>
    </w:p>
    <w:p w14:paraId="412A42A9" w14:textId="77777777" w:rsidR="001A1F90" w:rsidRPr="004B688C" w:rsidRDefault="001A1F90" w:rsidP="001A1F90">
      <w:pPr>
        <w:pStyle w:val="Caption"/>
        <w:rPr>
          <w:lang w:val="fr-FR"/>
        </w:rPr>
      </w:pPr>
      <w:r w:rsidRPr="004B688C">
        <w:rPr>
          <w:lang w:val="fr-FR"/>
        </w:rPr>
        <w:t xml:space="preserve">Figure </w:t>
      </w:r>
      <w:r>
        <w:fldChar w:fldCharType="begin"/>
      </w:r>
      <w:r w:rsidRPr="004B688C">
        <w:rPr>
          <w:lang w:val="fr-FR"/>
        </w:rPr>
        <w:instrText xml:space="preserve"> SEQ Figure \* ARABIC </w:instrText>
      </w:r>
      <w:r>
        <w:fldChar w:fldCharType="separate"/>
      </w:r>
      <w:r>
        <w:rPr>
          <w:noProof/>
          <w:lang w:val="fr-FR"/>
        </w:rPr>
        <w:t>2</w:t>
      </w:r>
      <w:r>
        <w:fldChar w:fldCharType="end"/>
      </w:r>
      <w:r w:rsidRPr="004B688C">
        <w:rPr>
          <w:lang w:val="fr-FR"/>
        </w:rPr>
        <w:t xml:space="preserve">. Matrices </w:t>
      </w:r>
      <w:r w:rsidRPr="004B688C">
        <w:rPr>
          <w:b/>
          <w:bCs/>
          <w:color w:val="00AEBC"/>
          <w:lang w:val="fr-FR"/>
        </w:rPr>
        <w:t>A (« technosphère »)</w:t>
      </w:r>
      <w:r>
        <w:rPr>
          <w:lang w:val="fr-FR"/>
        </w:rPr>
        <w:t xml:space="preserve"> </w:t>
      </w:r>
      <w:r w:rsidRPr="004B688C">
        <w:rPr>
          <w:lang w:val="fr-FR"/>
        </w:rPr>
        <w:t xml:space="preserve">et </w:t>
      </w:r>
      <w:r w:rsidRPr="004B688C">
        <w:rPr>
          <w:b/>
          <w:bCs/>
          <w:color w:val="E50051"/>
          <w:lang w:val="fr-FR"/>
        </w:rPr>
        <w:t>B (« biosphère »)</w:t>
      </w:r>
      <w:r>
        <w:rPr>
          <w:lang w:val="fr-FR"/>
        </w:rPr>
        <w:t xml:space="preserve"> reprenant les éléments nécessaires au calcul de l’inventaire de cycle de vie.</w:t>
      </w:r>
    </w:p>
    <w:p w14:paraId="09F53F52" w14:textId="1A4F7D1F" w:rsidR="00D56CA7" w:rsidRDefault="001A1F90" w:rsidP="001A1F90">
      <w:pPr>
        <w:pStyle w:val="ListParagraph"/>
        <w:numPr>
          <w:ilvl w:val="1"/>
          <w:numId w:val="2"/>
        </w:numPr>
        <w:rPr>
          <w:b/>
          <w:bCs/>
          <w:lang w:val="fr-FR"/>
        </w:rPr>
      </w:pPr>
      <w:r>
        <w:rPr>
          <w:lang w:val="fr-FR"/>
        </w:rPr>
        <w:t xml:space="preserve">Déterminer la production annuelle d’1 kWc de photovoltaïque installé dans le sud de la France en utilisant le site PVGIS : </w:t>
      </w:r>
      <w:hyperlink r:id="rId15" w:history="1">
        <w:r w:rsidRPr="001A1F90">
          <w:rPr>
            <w:rStyle w:val="Hyperlink"/>
            <w:b/>
            <w:bCs/>
            <w:lang w:val="fr-FR"/>
          </w:rPr>
          <w:t>https://re.jrc.ec.europa.eu/pvg_tools/fr/</w:t>
        </w:r>
      </w:hyperlink>
    </w:p>
    <w:p w14:paraId="28A0D9C4" w14:textId="6E5BF652" w:rsidR="00AC2BB2" w:rsidRPr="001A1F90" w:rsidRDefault="00AC2BB2" w:rsidP="00AC2BB2">
      <w:pPr>
        <w:pStyle w:val="ListParagraph"/>
        <w:ind w:left="1080"/>
        <w:rPr>
          <w:b/>
          <w:bCs/>
          <w:lang w:val="fr-FR"/>
        </w:rPr>
      </w:pPr>
      <w:r>
        <w:rPr>
          <w:lang w:val="fr-FR"/>
        </w:rPr>
        <w:t>La variation nord-</w:t>
      </w:r>
      <w:r w:rsidRPr="00AC2BB2">
        <w:rPr>
          <w:lang w:val="fr-FR"/>
        </w:rPr>
        <w:t>sud est-elle importante en France ?</w:t>
      </w:r>
      <w:r>
        <w:rPr>
          <w:lang w:val="fr-FR"/>
        </w:rPr>
        <w:t xml:space="preserve"> En Europe ?</w:t>
      </w:r>
    </w:p>
    <w:p w14:paraId="3A6B91C1" w14:textId="39A7DA17" w:rsidR="001A1F90" w:rsidRDefault="001A1F90" w:rsidP="00403C73">
      <w:pPr>
        <w:ind w:firstLine="360"/>
        <w:rPr>
          <w:i/>
          <w:iCs/>
          <w:lang w:val="fr-FR"/>
        </w:rPr>
      </w:pPr>
      <w:r w:rsidRPr="001A1F90">
        <w:rPr>
          <w:i/>
          <w:iCs/>
          <w:lang w:val="fr-FR"/>
        </w:rPr>
        <w:t xml:space="preserve">Correspondance dans l’onglet « Inventaire » : </w:t>
      </w:r>
      <w:r>
        <w:rPr>
          <w:noProof/>
        </w:rPr>
        <w:drawing>
          <wp:inline distT="0" distB="0" distL="0" distR="0" wp14:anchorId="1D6B2BDD" wp14:editId="337E7722">
            <wp:extent cx="495300" cy="150395"/>
            <wp:effectExtent l="0" t="0" r="0" b="2540"/>
            <wp:docPr id="8" name="Picture 7">
              <a:extLst xmlns:a="http://schemas.openxmlformats.org/drawingml/2006/main">
                <a:ext uri="{FF2B5EF4-FFF2-40B4-BE49-F238E27FC236}">
                  <a16:creationId xmlns:a16="http://schemas.microsoft.com/office/drawing/2014/main" id="{EC2B0453-90F4-1653-B631-60EF3292E4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EC2B0453-90F4-1653-B631-60EF3292E450}"/>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5300" cy="15039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D6F0813" w14:textId="778A060E" w:rsidR="001A1F90" w:rsidRDefault="001A1F90" w:rsidP="001A1F90">
      <w:pPr>
        <w:pStyle w:val="ListParagraph"/>
        <w:numPr>
          <w:ilvl w:val="1"/>
          <w:numId w:val="2"/>
        </w:numPr>
        <w:rPr>
          <w:lang w:val="fr-FR"/>
        </w:rPr>
      </w:pPr>
      <w:r w:rsidRPr="001A1F90">
        <w:rPr>
          <w:lang w:val="fr-FR"/>
        </w:rPr>
        <w:t>Calculer le nombre d'</w:t>
      </w:r>
      <w:r>
        <w:rPr>
          <w:lang w:val="fr-FR"/>
        </w:rPr>
        <w:t>unités de production</w:t>
      </w:r>
      <w:r w:rsidRPr="001A1F90">
        <w:rPr>
          <w:lang w:val="fr-FR"/>
        </w:rPr>
        <w:t xml:space="preserve"> par </w:t>
      </w:r>
      <w:r>
        <w:rPr>
          <w:lang w:val="fr-FR"/>
        </w:rPr>
        <w:t>parc, c’est-à-dire le nombre de m2 de panneaux et d’éoliennes respectivement</w:t>
      </w:r>
      <w:r w:rsidR="00AC2BB2">
        <w:rPr>
          <w:lang w:val="fr-FR"/>
        </w:rPr>
        <w:t xml:space="preserve"> à partir de la puissance </w:t>
      </w:r>
      <w:r w:rsidR="00F95326">
        <w:rPr>
          <w:lang w:val="fr-FR"/>
        </w:rPr>
        <w:lastRenderedPageBreak/>
        <w:t xml:space="preserve">(capacité) </w:t>
      </w:r>
      <w:r w:rsidR="00AC2BB2">
        <w:rPr>
          <w:lang w:val="fr-FR"/>
        </w:rPr>
        <w:t>installée par parc, et de la puissance crête nominale de chaque unité.</w:t>
      </w:r>
    </w:p>
    <w:p w14:paraId="082B30B5" w14:textId="2E552F2B" w:rsidR="001A1F90" w:rsidRDefault="001A1F90" w:rsidP="00403C73">
      <w:pPr>
        <w:ind w:firstLine="360"/>
        <w:rPr>
          <w:i/>
          <w:iCs/>
          <w:lang w:val="fr-FR"/>
        </w:rPr>
      </w:pPr>
      <w:r w:rsidRPr="001A1F90">
        <w:rPr>
          <w:i/>
          <w:iCs/>
          <w:lang w:val="fr-FR"/>
        </w:rPr>
        <w:t xml:space="preserve">Correspondance dans l’onglet « Inventaire » : </w:t>
      </w:r>
      <w:r>
        <w:rPr>
          <w:noProof/>
        </w:rPr>
        <w:drawing>
          <wp:inline distT="0" distB="0" distL="0" distR="0" wp14:anchorId="275BDBA3" wp14:editId="0A05C4F9">
            <wp:extent cx="491513" cy="147236"/>
            <wp:effectExtent l="0" t="0" r="3810" b="5715"/>
            <wp:docPr id="9" name="Picture 8">
              <a:extLst xmlns:a="http://schemas.openxmlformats.org/drawingml/2006/main">
                <a:ext uri="{FF2B5EF4-FFF2-40B4-BE49-F238E27FC236}">
                  <a16:creationId xmlns:a16="http://schemas.microsoft.com/office/drawing/2014/main" id="{DA37F0B5-9B70-7EA6-B4E5-A480E24038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DA37F0B5-9B70-7EA6-B4E5-A480E24038DB}"/>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1513" cy="14723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5072EBA" w14:textId="41D35178" w:rsidR="001A1F90" w:rsidRDefault="001A1F90" w:rsidP="001A1F90">
      <w:pPr>
        <w:pStyle w:val="ListParagraph"/>
        <w:numPr>
          <w:ilvl w:val="1"/>
          <w:numId w:val="2"/>
        </w:numPr>
        <w:rPr>
          <w:lang w:val="fr-FR"/>
        </w:rPr>
      </w:pPr>
      <w:r w:rsidRPr="001A1F90">
        <w:rPr>
          <w:lang w:val="fr-FR"/>
        </w:rPr>
        <w:t>Calculer la production totale sur la durée de vie de chaque infrastructure (PV, éolien, nucléaire)</w:t>
      </w:r>
      <w:r>
        <w:rPr>
          <w:lang w:val="fr-FR"/>
        </w:rPr>
        <w:t>. C’est ce chiffre qui permet de faire le lien entre 1 kWh et l’ensemble de l’infrastructure</w:t>
      </w:r>
      <w:r w:rsidR="00AC2BB2">
        <w:rPr>
          <w:lang w:val="fr-FR"/>
        </w:rPr>
        <w:t>, notamment à l’étape 5.</w:t>
      </w:r>
    </w:p>
    <w:p w14:paraId="20B9B6CF" w14:textId="1E73F861" w:rsidR="001A1F90" w:rsidRPr="001A1F90" w:rsidRDefault="001A1F90" w:rsidP="00403C73">
      <w:pPr>
        <w:ind w:firstLine="360"/>
        <w:rPr>
          <w:i/>
          <w:iCs/>
          <w:lang w:val="fr-FR"/>
        </w:rPr>
      </w:pPr>
      <w:r w:rsidRPr="001A1F90">
        <w:rPr>
          <w:i/>
          <w:iCs/>
          <w:lang w:val="fr-FR"/>
        </w:rPr>
        <w:t xml:space="preserve">Correspondance dans l’onglet « Inventaire » : </w:t>
      </w:r>
      <w:r>
        <w:rPr>
          <w:noProof/>
        </w:rPr>
        <w:drawing>
          <wp:inline distT="0" distB="0" distL="0" distR="0" wp14:anchorId="620C5EC1" wp14:editId="0F9BF0D3">
            <wp:extent cx="495300" cy="150395"/>
            <wp:effectExtent l="0" t="0" r="0" b="2540"/>
            <wp:docPr id="10" name="Picture 9">
              <a:extLst xmlns:a="http://schemas.openxmlformats.org/drawingml/2006/main">
                <a:ext uri="{FF2B5EF4-FFF2-40B4-BE49-F238E27FC236}">
                  <a16:creationId xmlns:a16="http://schemas.microsoft.com/office/drawing/2014/main" id="{E43D1EF4-FDE0-C600-0DC2-787C0AC5B2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E43D1EF4-FDE0-C600-0DC2-787C0AC5B234}"/>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5300" cy="15039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6887FA54" w14:textId="440F9C40" w:rsidR="00403C73" w:rsidRDefault="00403C73" w:rsidP="00403C73">
      <w:pPr>
        <w:pStyle w:val="ListParagraph"/>
        <w:numPr>
          <w:ilvl w:val="1"/>
          <w:numId w:val="2"/>
        </w:numPr>
        <w:rPr>
          <w:lang w:val="fr-FR"/>
        </w:rPr>
      </w:pPr>
      <w:r>
        <w:rPr>
          <w:lang w:val="fr-FR"/>
        </w:rPr>
        <w:t>La chaîne du combustible uranium est relativement complexe, mais elle a été simplifiée ici en [minerai d’uranium] -&gt; [uranium enrichi] -&gt; [opération].</w:t>
      </w:r>
    </w:p>
    <w:p w14:paraId="4CFB96C0" w14:textId="77777777" w:rsidR="008C7071" w:rsidRDefault="00403C73" w:rsidP="008C7071">
      <w:pPr>
        <w:pStyle w:val="ListParagraph"/>
        <w:numPr>
          <w:ilvl w:val="0"/>
          <w:numId w:val="4"/>
        </w:numPr>
        <w:rPr>
          <w:lang w:val="fr-FR"/>
        </w:rPr>
      </w:pPr>
      <w:r>
        <w:rPr>
          <w:lang w:val="fr-FR"/>
        </w:rPr>
        <w:t>À partir du contenu énergétique (thermique) d’1 kg d’uranium 235, déterminer le contenu énergétique par kWh électrique (le rendement d’un réacteur nucléaire est de 33%).</w:t>
      </w:r>
    </w:p>
    <w:p w14:paraId="1F6B240D" w14:textId="0415A22F" w:rsidR="00403C73" w:rsidRPr="00403C73" w:rsidRDefault="00403C73" w:rsidP="008C7071">
      <w:pPr>
        <w:pStyle w:val="ListParagraph"/>
        <w:numPr>
          <w:ilvl w:val="0"/>
          <w:numId w:val="4"/>
        </w:numPr>
        <w:rPr>
          <w:lang w:val="fr-FR"/>
        </w:rPr>
      </w:pPr>
      <w:r>
        <w:rPr>
          <w:lang w:val="fr-FR"/>
        </w:rPr>
        <w:t>Enfin, sachant que le combustible est composé de 5% d’uranium-235 (fissile) et le reste d’uranium-238 (non-fissile), calculer combien d’électricité peut fournir 1 kg d’uranium enrichi à 5%.</w:t>
      </w:r>
    </w:p>
    <w:p w14:paraId="44F3498D" w14:textId="29B8F381" w:rsidR="00403C73" w:rsidRDefault="00403C73" w:rsidP="00403C73">
      <w:pPr>
        <w:ind w:firstLine="360"/>
        <w:rPr>
          <w:i/>
          <w:iCs/>
          <w:lang w:val="fr-FR"/>
        </w:rPr>
      </w:pPr>
      <w:r w:rsidRPr="00403C73">
        <w:rPr>
          <w:i/>
          <w:iCs/>
          <w:lang w:val="fr-FR"/>
        </w:rPr>
        <w:t xml:space="preserve">Correspondance dans l’onglet « Inventaire » : </w:t>
      </w:r>
      <w:r w:rsidRPr="00403C73">
        <w:rPr>
          <w:noProof/>
        </w:rPr>
        <w:drawing>
          <wp:inline distT="0" distB="0" distL="0" distR="0" wp14:anchorId="28D4D726" wp14:editId="239517A6">
            <wp:extent cx="495300" cy="161925"/>
            <wp:effectExtent l="0" t="0" r="0" b="9525"/>
            <wp:docPr id="497693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5300" cy="161925"/>
                    </a:xfrm>
                    <a:prstGeom prst="rect">
                      <a:avLst/>
                    </a:prstGeom>
                    <a:noFill/>
                    <a:ln>
                      <a:noFill/>
                    </a:ln>
                  </pic:spPr>
                </pic:pic>
              </a:graphicData>
            </a:graphic>
          </wp:inline>
        </w:drawing>
      </w:r>
    </w:p>
    <w:p w14:paraId="52DDBF04" w14:textId="2DC8123F" w:rsidR="00403C73" w:rsidRDefault="00403C73" w:rsidP="00403C73">
      <w:pPr>
        <w:pStyle w:val="ListParagraph"/>
        <w:numPr>
          <w:ilvl w:val="1"/>
          <w:numId w:val="2"/>
        </w:numPr>
        <w:rPr>
          <w:lang w:val="fr-FR"/>
        </w:rPr>
      </w:pPr>
      <w:r>
        <w:rPr>
          <w:lang w:val="fr-FR"/>
        </w:rPr>
        <w:t>Remplir les 4 cellules représentant la demande en infrastructure (et uranium) de chaque source de production d’électricité.</w:t>
      </w:r>
      <w:r w:rsidR="00AC2BB2">
        <w:rPr>
          <w:lang w:val="fr-FR"/>
        </w:rPr>
        <w:t xml:space="preserve"> </w:t>
      </w:r>
    </w:p>
    <w:p w14:paraId="76AC13A4" w14:textId="4B73CA0C" w:rsidR="00403C73" w:rsidRDefault="00403C73" w:rsidP="00403C73">
      <w:pPr>
        <w:ind w:firstLine="360"/>
        <w:rPr>
          <w:i/>
          <w:iCs/>
          <w:lang w:val="fr-FR"/>
        </w:rPr>
      </w:pPr>
      <w:r w:rsidRPr="00403C73">
        <w:rPr>
          <w:i/>
          <w:iCs/>
          <w:lang w:val="fr-FR"/>
        </w:rPr>
        <w:t xml:space="preserve">Correspondance dans l’onglet « Inventaire » : </w:t>
      </w:r>
      <w:r>
        <w:rPr>
          <w:noProof/>
        </w:rPr>
        <w:drawing>
          <wp:inline distT="0" distB="0" distL="0" distR="0" wp14:anchorId="341B0594" wp14:editId="0BB1C2BB">
            <wp:extent cx="495300" cy="159920"/>
            <wp:effectExtent l="0" t="0" r="0" b="0"/>
            <wp:docPr id="12" name="Picture 11">
              <a:extLst xmlns:a="http://schemas.openxmlformats.org/drawingml/2006/main">
                <a:ext uri="{FF2B5EF4-FFF2-40B4-BE49-F238E27FC236}">
                  <a16:creationId xmlns:a16="http://schemas.microsoft.com/office/drawing/2014/main" id="{3A5C4683-6FF8-8D12-607F-F8ECDE9273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3A5C4683-6FF8-8D12-607F-F8ECDE92738B}"/>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5300" cy="15992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CA3620C" w14:textId="1F9095C7" w:rsidR="00403C73" w:rsidRDefault="00403C73" w:rsidP="00403C73">
      <w:pPr>
        <w:pStyle w:val="ListParagraph"/>
        <w:numPr>
          <w:ilvl w:val="1"/>
          <w:numId w:val="2"/>
        </w:numPr>
        <w:rPr>
          <w:lang w:val="fr-FR"/>
        </w:rPr>
      </w:pPr>
      <w:r>
        <w:rPr>
          <w:lang w:val="fr-FR"/>
        </w:rPr>
        <w:t>Remplir la demande intermédiaire, c’est-à-dire le nombre d’unités de production par parc. Le parc photovoltaïque nécessite panneaux ET leur structure de montage au sol.</w:t>
      </w:r>
    </w:p>
    <w:p w14:paraId="73BD001E" w14:textId="4DC89BC9" w:rsidR="00212EC4" w:rsidRDefault="00212EC4" w:rsidP="00212EC4">
      <w:pPr>
        <w:ind w:firstLine="360"/>
        <w:rPr>
          <w:i/>
          <w:iCs/>
          <w:lang w:val="fr-FR"/>
        </w:rPr>
      </w:pPr>
      <w:r w:rsidRPr="00212EC4">
        <w:rPr>
          <w:i/>
          <w:iCs/>
          <w:lang w:val="fr-FR"/>
        </w:rPr>
        <w:t xml:space="preserve">Correspondance dans l’onglet « Inventaire » : </w:t>
      </w:r>
      <w:r>
        <w:rPr>
          <w:noProof/>
        </w:rPr>
        <w:drawing>
          <wp:inline distT="0" distB="0" distL="0" distR="0" wp14:anchorId="240D52E0" wp14:editId="2E312196">
            <wp:extent cx="491378" cy="166408"/>
            <wp:effectExtent l="0" t="0" r="4445" b="5080"/>
            <wp:docPr id="13" name="Picture 12">
              <a:extLst xmlns:a="http://schemas.openxmlformats.org/drawingml/2006/main">
                <a:ext uri="{FF2B5EF4-FFF2-40B4-BE49-F238E27FC236}">
                  <a16:creationId xmlns:a16="http://schemas.microsoft.com/office/drawing/2014/main" id="{CE66E97C-2442-9051-C27F-B3C3913E3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CE66E97C-2442-9051-C27F-B3C3913E31C9}"/>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1378" cy="166408"/>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6136B44E" w14:textId="76890931" w:rsidR="00212EC4" w:rsidRDefault="00212EC4" w:rsidP="00212EC4">
      <w:pPr>
        <w:pStyle w:val="ListParagraph"/>
        <w:numPr>
          <w:ilvl w:val="1"/>
          <w:numId w:val="2"/>
        </w:numPr>
        <w:rPr>
          <w:lang w:val="fr-FR"/>
        </w:rPr>
      </w:pPr>
      <w:r>
        <w:rPr>
          <w:lang w:val="fr-FR"/>
        </w:rPr>
        <w:t>Enfin, choisir les mix électriques utilisés pour la production des infrastructures, à savoir pour la France, l’Allemagne, et la Chine.</w:t>
      </w:r>
    </w:p>
    <w:p w14:paraId="474F799D" w14:textId="486BAF9A" w:rsidR="00212EC4" w:rsidRPr="00212EC4" w:rsidRDefault="00212EC4" w:rsidP="00212EC4">
      <w:pPr>
        <w:ind w:firstLine="360"/>
        <w:rPr>
          <w:i/>
          <w:iCs/>
          <w:lang w:val="fr-FR"/>
        </w:rPr>
      </w:pPr>
      <w:r w:rsidRPr="00212EC4">
        <w:rPr>
          <w:i/>
          <w:iCs/>
          <w:lang w:val="fr-FR"/>
        </w:rPr>
        <w:t xml:space="preserve">Correspondance dans l’onglet « Inventaire » : </w:t>
      </w:r>
      <w:r w:rsidRPr="00212EC4">
        <w:rPr>
          <w:noProof/>
        </w:rPr>
        <w:drawing>
          <wp:inline distT="0" distB="0" distL="0" distR="0" wp14:anchorId="0C1AF525" wp14:editId="29BCBB57">
            <wp:extent cx="495300" cy="161925"/>
            <wp:effectExtent l="0" t="0" r="0" b="9525"/>
            <wp:docPr id="901372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5300" cy="161925"/>
                    </a:xfrm>
                    <a:prstGeom prst="rect">
                      <a:avLst/>
                    </a:prstGeom>
                    <a:noFill/>
                    <a:ln>
                      <a:noFill/>
                    </a:ln>
                  </pic:spPr>
                </pic:pic>
              </a:graphicData>
            </a:graphic>
          </wp:inline>
        </w:drawing>
      </w:r>
    </w:p>
    <w:p w14:paraId="7D86514B" w14:textId="77777777" w:rsidR="00212EC4" w:rsidRPr="00212EC4" w:rsidRDefault="00212EC4" w:rsidP="00212EC4">
      <w:pPr>
        <w:ind w:left="360"/>
        <w:rPr>
          <w:lang w:val="fr-FR"/>
        </w:rPr>
      </w:pPr>
    </w:p>
    <w:p w14:paraId="74860B9A" w14:textId="31659722" w:rsidR="00212EC4" w:rsidRPr="00F051CE" w:rsidRDefault="00F051CE" w:rsidP="00F051CE">
      <w:pPr>
        <w:pStyle w:val="ListParagraph"/>
        <w:numPr>
          <w:ilvl w:val="0"/>
          <w:numId w:val="2"/>
        </w:numPr>
        <w:rPr>
          <w:b/>
          <w:bCs/>
          <w:lang w:val="fr-FR"/>
        </w:rPr>
      </w:pPr>
      <w:r w:rsidRPr="00F051CE">
        <w:rPr>
          <w:b/>
          <w:bCs/>
          <w:lang w:val="fr-FR"/>
        </w:rPr>
        <w:t>Analyse d’impacts</w:t>
      </w:r>
    </w:p>
    <w:p w14:paraId="15C664EB" w14:textId="6C38E297" w:rsidR="00F051CE" w:rsidRPr="00F051CE" w:rsidRDefault="00F051CE" w:rsidP="00F051CE">
      <w:pPr>
        <w:ind w:left="360"/>
        <w:rPr>
          <w:lang w:val="fr-FR"/>
        </w:rPr>
      </w:pPr>
      <w:r w:rsidRPr="00F051CE">
        <w:rPr>
          <w:lang w:val="fr-FR"/>
        </w:rPr>
        <w:t>Cette étape inclut le calcul des indicateurs d’impacts environnementaux, à savoir les gaz à effet de serre, l’énergie primaire, les matériaux</w:t>
      </w:r>
      <w:r>
        <w:rPr>
          <w:lang w:val="fr-FR"/>
        </w:rPr>
        <w:t>, et l’emprise au sol</w:t>
      </w:r>
      <w:r w:rsidRPr="00F051CE">
        <w:rPr>
          <w:lang w:val="fr-FR"/>
        </w:rPr>
        <w:t>.</w:t>
      </w:r>
    </w:p>
    <w:p w14:paraId="0DD1D652" w14:textId="220AE4E8" w:rsidR="00F051CE" w:rsidRPr="00F051CE" w:rsidRDefault="00F051CE" w:rsidP="00F051CE">
      <w:pPr>
        <w:pStyle w:val="ListParagraph"/>
        <w:numPr>
          <w:ilvl w:val="1"/>
          <w:numId w:val="2"/>
        </w:numPr>
        <w:rPr>
          <w:lang w:val="fr-FR"/>
        </w:rPr>
      </w:pPr>
      <w:r>
        <w:rPr>
          <w:lang w:val="fr-FR"/>
        </w:rPr>
        <w:t xml:space="preserve">Calculer les résultats d’impact de cycle de vie </w:t>
      </w:r>
      <w:r w:rsidR="008A56C0">
        <w:rPr>
          <w:lang w:val="fr-FR"/>
        </w:rPr>
        <w:t>D en multipliant</w:t>
      </w:r>
      <w:r>
        <w:rPr>
          <w:lang w:val="fr-FR"/>
        </w:rPr>
        <w:t xml:space="preserve"> la matrice C et la matrice E.</w:t>
      </w:r>
    </w:p>
    <w:p w14:paraId="71463CBA" w14:textId="77777777" w:rsidR="008A56C0" w:rsidRDefault="008A56C0" w:rsidP="008A56C0">
      <w:pPr>
        <w:ind w:firstLine="360"/>
        <w:rPr>
          <w:i/>
          <w:iCs/>
          <w:lang w:val="fr-FR"/>
        </w:rPr>
      </w:pPr>
      <w:r w:rsidRPr="008A56C0">
        <w:rPr>
          <w:i/>
          <w:iCs/>
          <w:lang w:val="fr-FR"/>
        </w:rPr>
        <w:t xml:space="preserve">Correspondance dans l’onglet « Inventaire » : </w:t>
      </w:r>
      <w:r w:rsidRPr="00212EC4">
        <w:rPr>
          <w:noProof/>
        </w:rPr>
        <w:drawing>
          <wp:inline distT="0" distB="0" distL="0" distR="0" wp14:anchorId="2E949F69" wp14:editId="16B45218">
            <wp:extent cx="495300" cy="161925"/>
            <wp:effectExtent l="0" t="0" r="0" b="9525"/>
            <wp:docPr id="1441923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5300" cy="161925"/>
                    </a:xfrm>
                    <a:prstGeom prst="rect">
                      <a:avLst/>
                    </a:prstGeom>
                    <a:noFill/>
                    <a:ln>
                      <a:noFill/>
                    </a:ln>
                  </pic:spPr>
                </pic:pic>
              </a:graphicData>
            </a:graphic>
          </wp:inline>
        </w:drawing>
      </w:r>
    </w:p>
    <w:p w14:paraId="687A3D11" w14:textId="73116EE0" w:rsidR="008A56C0" w:rsidRDefault="008A56C0" w:rsidP="008A56C0">
      <w:pPr>
        <w:pStyle w:val="ListParagraph"/>
        <w:numPr>
          <w:ilvl w:val="1"/>
          <w:numId w:val="2"/>
        </w:numPr>
        <w:tabs>
          <w:tab w:val="left" w:pos="5162"/>
        </w:tabs>
        <w:rPr>
          <w:lang w:val="fr-FR"/>
        </w:rPr>
      </w:pPr>
      <w:r>
        <w:rPr>
          <w:lang w:val="fr-FR"/>
        </w:rPr>
        <w:lastRenderedPageBreak/>
        <w:t>Produire un graphique montrant les quatre catégories d’impact (empreinte GES, empreinte fossile, empreinte matérielle, emprise au sol) pour les trois sources d’électricité.</w:t>
      </w:r>
    </w:p>
    <w:p w14:paraId="6E929355" w14:textId="77777777" w:rsidR="008A56C0" w:rsidRPr="008A56C0" w:rsidRDefault="008A56C0" w:rsidP="008A56C0">
      <w:pPr>
        <w:tabs>
          <w:tab w:val="left" w:pos="5162"/>
        </w:tabs>
        <w:rPr>
          <w:lang w:val="fr-FR"/>
        </w:rPr>
      </w:pPr>
    </w:p>
    <w:p w14:paraId="2D2B6DEE" w14:textId="02EBDEE6" w:rsidR="008A56C0" w:rsidRPr="008A56C0" w:rsidRDefault="008A56C0" w:rsidP="008A56C0">
      <w:pPr>
        <w:pStyle w:val="ListParagraph"/>
        <w:numPr>
          <w:ilvl w:val="0"/>
          <w:numId w:val="2"/>
        </w:numPr>
        <w:tabs>
          <w:tab w:val="left" w:pos="5162"/>
        </w:tabs>
        <w:rPr>
          <w:b/>
          <w:bCs/>
          <w:lang w:val="fr-FR"/>
        </w:rPr>
      </w:pPr>
      <w:r w:rsidRPr="008A56C0">
        <w:rPr>
          <w:b/>
          <w:bCs/>
          <w:lang w:val="fr-FR"/>
        </w:rPr>
        <w:t>Interprétation</w:t>
      </w:r>
    </w:p>
    <w:p w14:paraId="5A0DE860" w14:textId="26C31459" w:rsidR="008A56C0" w:rsidRDefault="008A56C0" w:rsidP="008A56C0">
      <w:pPr>
        <w:pStyle w:val="ListParagraph"/>
        <w:numPr>
          <w:ilvl w:val="1"/>
          <w:numId w:val="2"/>
        </w:numPr>
        <w:rPr>
          <w:lang w:val="fr-FR"/>
        </w:rPr>
      </w:pPr>
      <w:r>
        <w:rPr>
          <w:lang w:val="fr-FR"/>
        </w:rPr>
        <w:t>Analyse de contribution</w:t>
      </w:r>
    </w:p>
    <w:p w14:paraId="34C2CEE5" w14:textId="77777777" w:rsidR="008A56C0" w:rsidRDefault="008A56C0" w:rsidP="008A56C0">
      <w:pPr>
        <w:pStyle w:val="ListParagraph"/>
        <w:ind w:left="1080"/>
        <w:rPr>
          <w:lang w:val="fr-FR"/>
        </w:rPr>
      </w:pPr>
    </w:p>
    <w:p w14:paraId="407ABC6E" w14:textId="5D495AE6" w:rsidR="008A56C0" w:rsidRDefault="008A56C0" w:rsidP="008A56C0">
      <w:pPr>
        <w:pStyle w:val="ListParagraph"/>
        <w:tabs>
          <w:tab w:val="left" w:pos="5162"/>
        </w:tabs>
        <w:ind w:left="1080"/>
        <w:rPr>
          <w:lang w:val="fr-FR"/>
        </w:rPr>
      </w:pPr>
      <w:r>
        <w:rPr>
          <w:lang w:val="fr-FR"/>
        </w:rPr>
        <w:t xml:space="preserve">Produire le même graphique que dans la question 3.2, </w:t>
      </w:r>
      <w:r w:rsidRPr="001A00C5">
        <w:rPr>
          <w:b/>
          <w:bCs/>
          <w:lang w:val="fr-FR"/>
        </w:rPr>
        <w:t xml:space="preserve">en distinguant </w:t>
      </w:r>
      <w:r w:rsidR="008E3312">
        <w:rPr>
          <w:b/>
          <w:bCs/>
          <w:lang w:val="fr-FR"/>
        </w:rPr>
        <w:t xml:space="preserve">la contribution </w:t>
      </w:r>
      <w:r w:rsidR="008E3312">
        <w:rPr>
          <w:lang w:val="fr-FR"/>
        </w:rPr>
        <w:t>de chaque élément du système, au moins pour les gaz à effet de serre.</w:t>
      </w:r>
    </w:p>
    <w:p w14:paraId="156D0F80" w14:textId="77777777" w:rsidR="008E3312" w:rsidRDefault="008E3312" w:rsidP="008A56C0">
      <w:pPr>
        <w:pStyle w:val="ListParagraph"/>
        <w:tabs>
          <w:tab w:val="left" w:pos="5162"/>
        </w:tabs>
        <w:ind w:left="1080"/>
        <w:rPr>
          <w:lang w:val="fr-FR"/>
        </w:rPr>
      </w:pPr>
    </w:p>
    <w:p w14:paraId="455B8E12" w14:textId="3AFF8747" w:rsidR="00D22B1A" w:rsidRPr="00D22B1A" w:rsidRDefault="008E3312" w:rsidP="00D22B1A">
      <w:pPr>
        <w:pStyle w:val="ListParagraph"/>
        <w:tabs>
          <w:tab w:val="left" w:pos="5162"/>
        </w:tabs>
        <w:ind w:left="1080"/>
        <w:rPr>
          <w:lang w:val="fr-FR"/>
        </w:rPr>
      </w:pPr>
      <w:r>
        <w:rPr>
          <w:lang w:val="fr-FR"/>
        </w:rPr>
        <w:t>Quels éléments sont les plus impactant</w:t>
      </w:r>
      <w:r w:rsidR="00B74749">
        <w:rPr>
          <w:lang w:val="fr-FR"/>
        </w:rPr>
        <w:t>s</w:t>
      </w:r>
      <w:r>
        <w:rPr>
          <w:lang w:val="fr-FR"/>
        </w:rPr>
        <w:t xml:space="preserve"> pour chacune des trois sources d’électricité ?</w:t>
      </w:r>
    </w:p>
    <w:p w14:paraId="6A495C59" w14:textId="77777777" w:rsidR="008A56C0" w:rsidRDefault="008A56C0" w:rsidP="008A56C0">
      <w:pPr>
        <w:pStyle w:val="ListParagraph"/>
        <w:ind w:left="1080"/>
        <w:rPr>
          <w:lang w:val="fr-FR"/>
        </w:rPr>
      </w:pPr>
    </w:p>
    <w:p w14:paraId="6B10612B" w14:textId="77777777" w:rsidR="00B74749" w:rsidRDefault="008E3312" w:rsidP="00B74749">
      <w:pPr>
        <w:pStyle w:val="ListParagraph"/>
        <w:numPr>
          <w:ilvl w:val="1"/>
          <w:numId w:val="2"/>
        </w:numPr>
        <w:rPr>
          <w:lang w:val="fr-FR"/>
        </w:rPr>
      </w:pPr>
      <w:r>
        <w:rPr>
          <w:lang w:val="fr-FR"/>
        </w:rPr>
        <w:t>Analyses de sensibilité</w:t>
      </w:r>
    </w:p>
    <w:p w14:paraId="58428001" w14:textId="77777777" w:rsidR="00B74749" w:rsidRDefault="00B74749" w:rsidP="00B74749">
      <w:pPr>
        <w:pStyle w:val="ListParagraph"/>
        <w:ind w:left="1080"/>
        <w:rPr>
          <w:lang w:val="fr-FR"/>
        </w:rPr>
      </w:pPr>
    </w:p>
    <w:p w14:paraId="4BFBD5C0" w14:textId="440DBF56" w:rsidR="00403C73" w:rsidRDefault="00B74749" w:rsidP="00B74749">
      <w:pPr>
        <w:pStyle w:val="ListParagraph"/>
        <w:ind w:left="1080"/>
        <w:rPr>
          <w:lang w:val="fr-FR"/>
        </w:rPr>
      </w:pPr>
      <w:r w:rsidRPr="00B74749">
        <w:rPr>
          <w:lang w:val="fr-FR"/>
        </w:rPr>
        <w:t>Maintenant que le calcul est établi, il est intéressant de faire varier les paramètres.</w:t>
      </w:r>
    </w:p>
    <w:p w14:paraId="599C2A71" w14:textId="77777777" w:rsidR="00B74749" w:rsidRDefault="00B74749" w:rsidP="00B74749">
      <w:pPr>
        <w:pStyle w:val="ListParagraph"/>
        <w:ind w:left="1080"/>
        <w:rPr>
          <w:lang w:val="fr-FR"/>
        </w:rPr>
      </w:pPr>
    </w:p>
    <w:p w14:paraId="3D834411" w14:textId="77777777" w:rsidR="00D22B1A" w:rsidRDefault="00D22B1A" w:rsidP="00D22B1A">
      <w:pPr>
        <w:pStyle w:val="ListParagraph"/>
        <w:tabs>
          <w:tab w:val="left" w:pos="5162"/>
        </w:tabs>
        <w:ind w:left="1080"/>
        <w:rPr>
          <w:lang w:val="fr-FR"/>
        </w:rPr>
      </w:pPr>
      <w:r>
        <w:rPr>
          <w:lang w:val="fr-FR"/>
        </w:rPr>
        <w:t>Proposer une analyse de sensibilité en modifiant :</w:t>
      </w:r>
    </w:p>
    <w:p w14:paraId="6FD713F1" w14:textId="4DC01A2C" w:rsidR="00D22B1A" w:rsidRDefault="00D22B1A" w:rsidP="00D22B1A">
      <w:pPr>
        <w:pStyle w:val="ListParagraph"/>
        <w:numPr>
          <w:ilvl w:val="0"/>
          <w:numId w:val="5"/>
        </w:numPr>
        <w:tabs>
          <w:tab w:val="left" w:pos="5162"/>
        </w:tabs>
        <w:rPr>
          <w:lang w:val="fr-FR"/>
        </w:rPr>
      </w:pPr>
      <w:r>
        <w:rPr>
          <w:lang w:val="fr-FR"/>
        </w:rPr>
        <w:t>Durée de vie des infrastructures,</w:t>
      </w:r>
    </w:p>
    <w:p w14:paraId="73A08C0C" w14:textId="77777777" w:rsidR="00D22B1A" w:rsidRDefault="00D22B1A" w:rsidP="00D22B1A">
      <w:pPr>
        <w:pStyle w:val="ListParagraph"/>
        <w:numPr>
          <w:ilvl w:val="0"/>
          <w:numId w:val="5"/>
        </w:numPr>
        <w:tabs>
          <w:tab w:val="left" w:pos="5162"/>
        </w:tabs>
        <w:rPr>
          <w:lang w:val="fr-FR"/>
        </w:rPr>
      </w:pPr>
      <w:r>
        <w:rPr>
          <w:lang w:val="fr-FR"/>
        </w:rPr>
        <w:t>Production annuelle :</w:t>
      </w:r>
    </w:p>
    <w:p w14:paraId="48D230F2" w14:textId="6522F3C7" w:rsidR="00D22B1A" w:rsidRDefault="00D22B1A" w:rsidP="00D22B1A">
      <w:pPr>
        <w:pStyle w:val="ListParagraph"/>
        <w:numPr>
          <w:ilvl w:val="1"/>
          <w:numId w:val="5"/>
        </w:numPr>
        <w:tabs>
          <w:tab w:val="left" w:pos="5162"/>
        </w:tabs>
        <w:rPr>
          <w:lang w:val="fr-FR"/>
        </w:rPr>
      </w:pPr>
      <w:r>
        <w:rPr>
          <w:lang w:val="fr-FR"/>
        </w:rPr>
        <w:t>Photovoltaïque : quelle différence y a-t-il à produire de l’électricité photovoltaïque en Espagne</w:t>
      </w:r>
      <w:r w:rsidR="00306760">
        <w:rPr>
          <w:lang w:val="fr-FR"/>
        </w:rPr>
        <w:t xml:space="preserve"> ? </w:t>
      </w:r>
      <w:r>
        <w:rPr>
          <w:lang w:val="fr-FR"/>
        </w:rPr>
        <w:t>En Finlande ? En Californie ?</w:t>
      </w:r>
    </w:p>
    <w:p w14:paraId="53112B32" w14:textId="77777777" w:rsidR="00D22B1A" w:rsidRDefault="00D22B1A" w:rsidP="00D22B1A">
      <w:pPr>
        <w:pStyle w:val="ListParagraph"/>
        <w:numPr>
          <w:ilvl w:val="1"/>
          <w:numId w:val="5"/>
        </w:numPr>
        <w:tabs>
          <w:tab w:val="left" w:pos="5162"/>
        </w:tabs>
        <w:rPr>
          <w:lang w:val="fr-FR"/>
        </w:rPr>
      </w:pPr>
      <w:r>
        <w:rPr>
          <w:lang w:val="fr-FR"/>
        </w:rPr>
        <w:t>Nucléaire : à l’étranger le nucléaire atteint souvent les 90% de facteur de charge, mais pas en France, où certaines centrales ont plutôt 60-70% de facteur de charge – cela a-t-il une différence notable sur les résultats ?</w:t>
      </w:r>
    </w:p>
    <w:p w14:paraId="1F4E5A22" w14:textId="495A16BE" w:rsidR="00D22B1A" w:rsidRDefault="00D22B1A" w:rsidP="00D22B1A">
      <w:pPr>
        <w:tabs>
          <w:tab w:val="left" w:pos="5162"/>
        </w:tabs>
        <w:rPr>
          <w:lang w:val="fr-FR"/>
        </w:rPr>
      </w:pPr>
      <w:r w:rsidRPr="00D22B1A">
        <w:rPr>
          <w:lang w:val="fr-FR"/>
        </w:rPr>
        <w:t xml:space="preserve">Les mix électriques utilisés pour produire les infrastructures sont eux-mêmes issus des sources d’électricité modélisées – que peut-on en </w:t>
      </w:r>
      <w:r>
        <w:rPr>
          <w:lang w:val="fr-FR"/>
        </w:rPr>
        <w:t>déduire, à mesure que les mix intègrent de plus en plus de PV/éolien ?</w:t>
      </w:r>
    </w:p>
    <w:p w14:paraId="635BD07A" w14:textId="33DAF811" w:rsidR="001276B6" w:rsidRDefault="00D22B1A" w:rsidP="00D22B1A">
      <w:pPr>
        <w:tabs>
          <w:tab w:val="left" w:pos="5162"/>
        </w:tabs>
        <w:rPr>
          <w:lang w:val="fr-FR"/>
        </w:rPr>
      </w:pPr>
      <w:r>
        <w:rPr>
          <w:lang w:val="fr-FR"/>
        </w:rPr>
        <w:t xml:space="preserve">Que peut-on déduire de la stratégie de décarbonation de l’électricité en Europe : s’expose-t-on à d’autres impacts environnementaux ? Si oui, lesquels ? Comment arbitrer décarbonation vs. </w:t>
      </w:r>
      <w:proofErr w:type="gramStart"/>
      <w:r>
        <w:rPr>
          <w:lang w:val="fr-FR"/>
        </w:rPr>
        <w:t>autres</w:t>
      </w:r>
      <w:proofErr w:type="gramEnd"/>
      <w:r>
        <w:rPr>
          <w:lang w:val="fr-FR"/>
        </w:rPr>
        <w:t xml:space="preserve"> impacts ? Que recommanderiez-vous quant à la composition idéale du futur mix français et européen ?</w:t>
      </w:r>
      <w:r w:rsidR="00306760">
        <w:rPr>
          <w:lang w:val="fr-FR"/>
        </w:rPr>
        <w:t xml:space="preserve"> En quoi ces questions peuvent avoir des réponses différentes par pays concerné ?</w:t>
      </w:r>
    </w:p>
    <w:p w14:paraId="6A2B655B" w14:textId="4B15DDF8" w:rsidR="00306760" w:rsidRPr="00D22B1A" w:rsidRDefault="00306760" w:rsidP="00306760">
      <w:pPr>
        <w:pBdr>
          <w:top w:val="single" w:sz="4" w:space="1" w:color="auto"/>
          <w:left w:val="single" w:sz="4" w:space="4" w:color="auto"/>
          <w:bottom w:val="single" w:sz="4" w:space="1" w:color="auto"/>
          <w:right w:val="single" w:sz="4" w:space="4" w:color="auto"/>
        </w:pBdr>
        <w:tabs>
          <w:tab w:val="left" w:pos="5162"/>
        </w:tabs>
        <w:rPr>
          <w:lang w:val="fr-FR"/>
        </w:rPr>
      </w:pPr>
      <w:r w:rsidRPr="005F15DA">
        <w:rPr>
          <w:b/>
          <w:bCs/>
          <w:lang w:val="fr-FR"/>
        </w:rPr>
        <w:t>BONUS</w:t>
      </w:r>
      <w:r>
        <w:rPr>
          <w:lang w:val="fr-FR"/>
        </w:rPr>
        <w:t> : aller chercher les données d’impacts environnementaux d’autres sources d’électricité (hydro, gaz, …) et reprendre les questions du paragraphe précédent.</w:t>
      </w:r>
    </w:p>
    <w:sectPr w:rsidR="00306760" w:rsidRPr="00D22B1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205A3" w14:textId="77777777" w:rsidR="00972D6C" w:rsidRDefault="00972D6C" w:rsidP="009D71B0">
      <w:pPr>
        <w:spacing w:after="0" w:line="240" w:lineRule="auto"/>
      </w:pPr>
      <w:r>
        <w:separator/>
      </w:r>
    </w:p>
  </w:endnote>
  <w:endnote w:type="continuationSeparator" w:id="0">
    <w:p w14:paraId="196C3901" w14:textId="77777777" w:rsidR="00972D6C" w:rsidRDefault="00972D6C" w:rsidP="009D7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807D7" w14:textId="77777777" w:rsidR="00972D6C" w:rsidRDefault="00972D6C" w:rsidP="009D71B0">
      <w:pPr>
        <w:spacing w:after="0" w:line="240" w:lineRule="auto"/>
      </w:pPr>
      <w:r>
        <w:separator/>
      </w:r>
    </w:p>
  </w:footnote>
  <w:footnote w:type="continuationSeparator" w:id="0">
    <w:p w14:paraId="7A8FE5DA" w14:textId="77777777" w:rsidR="00972D6C" w:rsidRDefault="00972D6C" w:rsidP="009D71B0">
      <w:pPr>
        <w:spacing w:after="0" w:line="240" w:lineRule="auto"/>
      </w:pPr>
      <w:r>
        <w:continuationSeparator/>
      </w:r>
    </w:p>
  </w:footnote>
  <w:footnote w:id="1">
    <w:p w14:paraId="680A639D" w14:textId="60FDEA13" w:rsidR="009D71B0" w:rsidRPr="009D71B0" w:rsidRDefault="009D71B0">
      <w:pPr>
        <w:pStyle w:val="FootnoteText"/>
        <w:rPr>
          <w:lang w:val="fr-FR"/>
        </w:rPr>
      </w:pPr>
      <w:r>
        <w:rPr>
          <w:rStyle w:val="FootnoteReference"/>
        </w:rPr>
        <w:footnoteRef/>
      </w:r>
      <w:r w:rsidRPr="009D71B0">
        <w:rPr>
          <w:lang w:val="fr-FR"/>
        </w:rPr>
        <w:t xml:space="preserve"> MWc = megawatt-crête, la puissance m</w:t>
      </w:r>
      <w:r>
        <w:rPr>
          <w:lang w:val="fr-FR"/>
        </w:rPr>
        <w:t>aximale pouvant être atteinte en conditions optimales, aussi appelée « puissance installée » ou « capacité installée/nominale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A45BA"/>
    <w:multiLevelType w:val="multilevel"/>
    <w:tmpl w:val="57605B2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3E02E91"/>
    <w:multiLevelType w:val="hybridMultilevel"/>
    <w:tmpl w:val="2E1432DE"/>
    <w:lvl w:ilvl="0" w:tplc="2B1C22BE">
      <w:start w:val="2"/>
      <w:numFmt w:val="bullet"/>
      <w:lvlText w:val="-"/>
      <w:lvlJc w:val="left"/>
      <w:pPr>
        <w:ind w:left="1440" w:hanging="360"/>
      </w:pPr>
      <w:rPr>
        <w:rFonts w:ascii="Aptos" w:eastAsiaTheme="minorHAnsi" w:hAnsi="Aptos" w:cstheme="minorBidi"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 w15:restartNumberingAfterBreak="0">
    <w:nsid w:val="4A4F6C4C"/>
    <w:multiLevelType w:val="hybridMultilevel"/>
    <w:tmpl w:val="843A1D76"/>
    <w:lvl w:ilvl="0" w:tplc="ADE49D48">
      <w:start w:val="2"/>
      <w:numFmt w:val="bullet"/>
      <w:lvlText w:val="-"/>
      <w:lvlJc w:val="left"/>
      <w:pPr>
        <w:ind w:left="1440" w:hanging="360"/>
      </w:pPr>
      <w:rPr>
        <w:rFonts w:ascii="Aptos" w:eastAsiaTheme="minorHAnsi" w:hAnsi="Aptos" w:cstheme="minorBidi" w:hint="default"/>
      </w:rPr>
    </w:lvl>
    <w:lvl w:ilvl="1" w:tplc="18090003">
      <w:start w:val="1"/>
      <w:numFmt w:val="bullet"/>
      <w:lvlText w:val="o"/>
      <w:lvlJc w:val="left"/>
      <w:pPr>
        <w:ind w:left="2160" w:hanging="360"/>
      </w:pPr>
      <w:rPr>
        <w:rFonts w:ascii="Courier New" w:hAnsi="Courier New" w:cs="Courier New" w:hint="default"/>
      </w:rPr>
    </w:lvl>
    <w:lvl w:ilvl="2" w:tplc="18090005">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 w15:restartNumberingAfterBreak="0">
    <w:nsid w:val="696E7B95"/>
    <w:multiLevelType w:val="multilevel"/>
    <w:tmpl w:val="BABA0E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72655995"/>
    <w:multiLevelType w:val="hybridMultilevel"/>
    <w:tmpl w:val="187461A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2117405406">
    <w:abstractNumId w:val="4"/>
  </w:num>
  <w:num w:numId="2" w16cid:durableId="1412967942">
    <w:abstractNumId w:val="0"/>
  </w:num>
  <w:num w:numId="3" w16cid:durableId="1654724144">
    <w:abstractNumId w:val="3"/>
  </w:num>
  <w:num w:numId="4" w16cid:durableId="613636962">
    <w:abstractNumId w:val="1"/>
  </w:num>
  <w:num w:numId="5" w16cid:durableId="15949717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CE7"/>
    <w:rsid w:val="00067A0D"/>
    <w:rsid w:val="000D74BF"/>
    <w:rsid w:val="001276B6"/>
    <w:rsid w:val="001A1F90"/>
    <w:rsid w:val="00212EC4"/>
    <w:rsid w:val="00223E1D"/>
    <w:rsid w:val="00306760"/>
    <w:rsid w:val="00403C73"/>
    <w:rsid w:val="00445128"/>
    <w:rsid w:val="005F15DA"/>
    <w:rsid w:val="006560FA"/>
    <w:rsid w:val="0074220E"/>
    <w:rsid w:val="008436A3"/>
    <w:rsid w:val="008A56C0"/>
    <w:rsid w:val="008C7071"/>
    <w:rsid w:val="008E3312"/>
    <w:rsid w:val="00972D6C"/>
    <w:rsid w:val="009D269D"/>
    <w:rsid w:val="009D71B0"/>
    <w:rsid w:val="00AC2BB2"/>
    <w:rsid w:val="00B13A6B"/>
    <w:rsid w:val="00B74749"/>
    <w:rsid w:val="00C02708"/>
    <w:rsid w:val="00C04613"/>
    <w:rsid w:val="00C33E81"/>
    <w:rsid w:val="00D1720A"/>
    <w:rsid w:val="00D22B1A"/>
    <w:rsid w:val="00D56CA7"/>
    <w:rsid w:val="00D77831"/>
    <w:rsid w:val="00DA59FF"/>
    <w:rsid w:val="00DA7EE0"/>
    <w:rsid w:val="00DF5F03"/>
    <w:rsid w:val="00EA3CE7"/>
    <w:rsid w:val="00F051CE"/>
    <w:rsid w:val="00F95326"/>
    <w:rsid w:val="00FA527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B22A6"/>
  <w15:chartTrackingRefBased/>
  <w15:docId w15:val="{7252614B-BF58-4E58-90EC-65D60D62B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CE7"/>
  </w:style>
  <w:style w:type="paragraph" w:styleId="Heading1">
    <w:name w:val="heading 1"/>
    <w:basedOn w:val="Normal"/>
    <w:next w:val="Normal"/>
    <w:link w:val="Heading1Char"/>
    <w:uiPriority w:val="9"/>
    <w:qFormat/>
    <w:rsid w:val="00EA3C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C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C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C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C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C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C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C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C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C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CE7"/>
    <w:rPr>
      <w:rFonts w:eastAsiaTheme="majorEastAsia" w:cstheme="majorBidi"/>
      <w:color w:val="272727" w:themeColor="text1" w:themeTint="D8"/>
    </w:rPr>
  </w:style>
  <w:style w:type="paragraph" w:styleId="Title">
    <w:name w:val="Title"/>
    <w:basedOn w:val="Normal"/>
    <w:next w:val="Normal"/>
    <w:link w:val="TitleChar"/>
    <w:uiPriority w:val="10"/>
    <w:qFormat/>
    <w:rsid w:val="00EA3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CE7"/>
    <w:pPr>
      <w:spacing w:before="160"/>
      <w:jc w:val="center"/>
    </w:pPr>
    <w:rPr>
      <w:i/>
      <w:iCs/>
      <w:color w:val="404040" w:themeColor="text1" w:themeTint="BF"/>
    </w:rPr>
  </w:style>
  <w:style w:type="character" w:customStyle="1" w:styleId="QuoteChar">
    <w:name w:val="Quote Char"/>
    <w:basedOn w:val="DefaultParagraphFont"/>
    <w:link w:val="Quote"/>
    <w:uiPriority w:val="29"/>
    <w:rsid w:val="00EA3CE7"/>
    <w:rPr>
      <w:i/>
      <w:iCs/>
      <w:color w:val="404040" w:themeColor="text1" w:themeTint="BF"/>
    </w:rPr>
  </w:style>
  <w:style w:type="paragraph" w:styleId="ListParagraph">
    <w:name w:val="List Paragraph"/>
    <w:basedOn w:val="Normal"/>
    <w:uiPriority w:val="34"/>
    <w:qFormat/>
    <w:rsid w:val="00EA3CE7"/>
    <w:pPr>
      <w:ind w:left="720"/>
      <w:contextualSpacing/>
    </w:pPr>
  </w:style>
  <w:style w:type="character" w:styleId="IntenseEmphasis">
    <w:name w:val="Intense Emphasis"/>
    <w:basedOn w:val="DefaultParagraphFont"/>
    <w:uiPriority w:val="21"/>
    <w:qFormat/>
    <w:rsid w:val="00EA3CE7"/>
    <w:rPr>
      <w:i/>
      <w:iCs/>
      <w:color w:val="0F4761" w:themeColor="accent1" w:themeShade="BF"/>
    </w:rPr>
  </w:style>
  <w:style w:type="paragraph" w:styleId="IntenseQuote">
    <w:name w:val="Intense Quote"/>
    <w:basedOn w:val="Normal"/>
    <w:next w:val="Normal"/>
    <w:link w:val="IntenseQuoteChar"/>
    <w:uiPriority w:val="30"/>
    <w:qFormat/>
    <w:rsid w:val="00EA3C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CE7"/>
    <w:rPr>
      <w:i/>
      <w:iCs/>
      <w:color w:val="0F4761" w:themeColor="accent1" w:themeShade="BF"/>
    </w:rPr>
  </w:style>
  <w:style w:type="character" w:styleId="IntenseReference">
    <w:name w:val="Intense Reference"/>
    <w:basedOn w:val="DefaultParagraphFont"/>
    <w:uiPriority w:val="32"/>
    <w:qFormat/>
    <w:rsid w:val="00EA3CE7"/>
    <w:rPr>
      <w:b/>
      <w:bCs/>
      <w:smallCaps/>
      <w:color w:val="0F4761" w:themeColor="accent1" w:themeShade="BF"/>
      <w:spacing w:val="5"/>
    </w:rPr>
  </w:style>
  <w:style w:type="character" w:styleId="Hyperlink">
    <w:name w:val="Hyperlink"/>
    <w:basedOn w:val="DefaultParagraphFont"/>
    <w:uiPriority w:val="99"/>
    <w:unhideWhenUsed/>
    <w:rsid w:val="00EA3CE7"/>
    <w:rPr>
      <w:color w:val="467886" w:themeColor="hyperlink"/>
      <w:u w:val="single"/>
    </w:rPr>
  </w:style>
  <w:style w:type="character" w:styleId="UnresolvedMention">
    <w:name w:val="Unresolved Mention"/>
    <w:basedOn w:val="DefaultParagraphFont"/>
    <w:uiPriority w:val="99"/>
    <w:semiHidden/>
    <w:unhideWhenUsed/>
    <w:rsid w:val="00EA3CE7"/>
    <w:rPr>
      <w:color w:val="605E5C"/>
      <w:shd w:val="clear" w:color="auto" w:fill="E1DFDD"/>
    </w:rPr>
  </w:style>
  <w:style w:type="paragraph" w:styleId="FootnoteText">
    <w:name w:val="footnote text"/>
    <w:basedOn w:val="Normal"/>
    <w:link w:val="FootnoteTextChar"/>
    <w:uiPriority w:val="99"/>
    <w:semiHidden/>
    <w:unhideWhenUsed/>
    <w:rsid w:val="009D71B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D71B0"/>
    <w:rPr>
      <w:sz w:val="20"/>
      <w:szCs w:val="20"/>
    </w:rPr>
  </w:style>
  <w:style w:type="character" w:styleId="FootnoteReference">
    <w:name w:val="footnote reference"/>
    <w:basedOn w:val="DefaultParagraphFont"/>
    <w:uiPriority w:val="99"/>
    <w:semiHidden/>
    <w:unhideWhenUsed/>
    <w:rsid w:val="009D71B0"/>
    <w:rPr>
      <w:vertAlign w:val="superscript"/>
    </w:rPr>
  </w:style>
  <w:style w:type="paragraph" w:styleId="Caption">
    <w:name w:val="caption"/>
    <w:basedOn w:val="Normal"/>
    <w:next w:val="Normal"/>
    <w:uiPriority w:val="35"/>
    <w:unhideWhenUsed/>
    <w:qFormat/>
    <w:rsid w:val="00C0461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emf"/><Relationship Id="rId18" Type="http://schemas.openxmlformats.org/officeDocument/2006/relationships/image" Target="media/image7.emf"/><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openxmlformats.org/officeDocument/2006/relationships/hyperlink" Target="https://fr.wikipedia.org/wiki/Matrice_d%27adjacence" TargetMode="External"/><Relationship Id="rId17" Type="http://schemas.openxmlformats.org/officeDocument/2006/relationships/image" Target="media/image6.emf"/><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e.jrc.ec.europa.eu/pvg_tools/fr/" TargetMode="External"/><Relationship Id="rId23" Type="http://schemas.openxmlformats.org/officeDocument/2006/relationships/fontTable" Target="fontTable.xml"/><Relationship Id="rId10" Type="http://schemas.openxmlformats.org/officeDocument/2006/relationships/hyperlink" Target="https://re.jrc.ec.europa.eu/pvg_tools/fr/" TargetMode="External"/><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hyperlink" Target="https://medium.com/@alkidel/the-land-footprint-of-solar-and-nuclear-and-wind-power-b4a8b2c42ba9" TargetMode="External"/><Relationship Id="rId14" Type="http://schemas.openxmlformats.org/officeDocument/2006/relationships/image" Target="media/image4.emf"/><Relationship Id="rId22" Type="http://schemas.openxmlformats.org/officeDocument/2006/relationships/image" Target="media/image1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9A3BD-F3B7-4224-9246-C52046A82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1273</Words>
  <Characters>7259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LIST</Company>
  <LinksUpToDate>false</LinksUpToDate>
  <CharactersWithSpaces>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Gibon</dc:creator>
  <cp:keywords/>
  <dc:description/>
  <cp:lastModifiedBy>Thomas Gibon</cp:lastModifiedBy>
  <cp:revision>20</cp:revision>
  <dcterms:created xsi:type="dcterms:W3CDTF">2026-01-16T09:12:00Z</dcterms:created>
  <dcterms:modified xsi:type="dcterms:W3CDTF">2026-01-20T12:41:00Z</dcterms:modified>
</cp:coreProperties>
</file>