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B9691" w14:textId="782000A2" w:rsidR="008D5226" w:rsidRDefault="008D5226">
      <w:pPr>
        <w:rPr>
          <w:lang w:val="en-GB"/>
        </w:rPr>
      </w:pPr>
      <w:r>
        <w:rPr>
          <w:lang w:val="en-GB"/>
        </w:rPr>
        <w:t xml:space="preserve">DIAPO </w:t>
      </w:r>
      <w:proofErr w:type="gramStart"/>
      <w:r>
        <w:rPr>
          <w:lang w:val="en-GB"/>
        </w:rPr>
        <w:t>1 :</w:t>
      </w:r>
      <w:proofErr w:type="gramEnd"/>
      <w:r>
        <w:rPr>
          <w:lang w:val="en-GB"/>
        </w:rPr>
        <w:t xml:space="preserve"> </w:t>
      </w:r>
    </w:p>
    <w:p w14:paraId="3F3A4615" w14:textId="6F2A2DF0" w:rsidR="008D5226" w:rsidRDefault="008D5226">
      <w:pPr>
        <w:rPr>
          <w:lang w:val="en-GB"/>
        </w:rPr>
      </w:pPr>
      <w:r>
        <w:rPr>
          <w:lang w:val="en-GB"/>
        </w:rPr>
        <w:t xml:space="preserve">DIAPO </w:t>
      </w:r>
      <w:proofErr w:type="gramStart"/>
      <w:r>
        <w:rPr>
          <w:lang w:val="en-GB"/>
        </w:rPr>
        <w:t>2 :</w:t>
      </w:r>
      <w:proofErr w:type="gramEnd"/>
      <w:r>
        <w:rPr>
          <w:lang w:val="en-GB"/>
        </w:rPr>
        <w:t xml:space="preserve"> Introduction 1</w:t>
      </w:r>
    </w:p>
    <w:p w14:paraId="3023E74D" w14:textId="76675BBB" w:rsidR="008D5226" w:rsidRPr="008D5226" w:rsidRDefault="008D5226" w:rsidP="008D5226">
      <w:proofErr w:type="gramStart"/>
      <w:r>
        <w:rPr>
          <w:lang w:val="en-GB"/>
        </w:rPr>
        <w:t xml:space="preserve">This </w:t>
      </w:r>
      <w:r w:rsidRPr="008D5226">
        <w:rPr>
          <w:lang w:val="en-GB"/>
        </w:rPr>
        <w:t xml:space="preserve"> article</w:t>
      </w:r>
      <w:proofErr w:type="gramEnd"/>
      <w:r w:rsidRPr="008D5226">
        <w:rPr>
          <w:lang w:val="en-GB"/>
        </w:rPr>
        <w:t xml:space="preserve"> is a </w:t>
      </w:r>
      <w:r>
        <w:rPr>
          <w:lang w:val="en-GB"/>
        </w:rPr>
        <w:t xml:space="preserve">clinical trial that </w:t>
      </w:r>
      <w:r w:rsidRPr="008D5226">
        <w:t xml:space="preserve">evaluates the efficacy and safety of the antisense oligonucleotide ION224 in patients with metabolic dysfunction-associated </w:t>
      </w:r>
      <w:proofErr w:type="gramStart"/>
      <w:r w:rsidRPr="008D5226">
        <w:t xml:space="preserve">steatohepatitis </w:t>
      </w:r>
      <w:r w:rsidR="005C27BA">
        <w:t>,</w:t>
      </w:r>
      <w:proofErr w:type="gramEnd"/>
      <w:r w:rsidR="005C27BA">
        <w:t xml:space="preserve"> also </w:t>
      </w:r>
      <w:r w:rsidRPr="008D5226">
        <w:t>MASH</w:t>
      </w:r>
      <w:r w:rsidR="005C27BA">
        <w:t>.</w:t>
      </w:r>
    </w:p>
    <w:p w14:paraId="381F171D" w14:textId="68EE9DB6" w:rsidR="008D5226" w:rsidRDefault="008D5226" w:rsidP="008D5226">
      <w:r w:rsidRPr="008D5226">
        <w:t>It is a phase 2, adaptive, multicentre, randomised, double-blind, placebo-controlled trial.</w:t>
      </w:r>
    </w:p>
    <w:p w14:paraId="735BBAC9" w14:textId="58397FC9" w:rsidR="008D5226" w:rsidRPr="008D5226" w:rsidRDefault="008D5226" w:rsidP="008D5226">
      <w:pPr>
        <w:rPr>
          <w:lang w:val="en-GB"/>
        </w:rPr>
      </w:pPr>
      <w:r>
        <w:t xml:space="preserve">The population included </w:t>
      </w:r>
      <w:r w:rsidRPr="008D5226">
        <w:rPr>
          <w:lang w:val="en-GB"/>
        </w:rPr>
        <w:t xml:space="preserve">adults with </w:t>
      </w:r>
      <w:r w:rsidR="005C27BA">
        <w:rPr>
          <w:lang w:val="en-GB"/>
        </w:rPr>
        <w:t>MASH</w:t>
      </w:r>
      <w:r w:rsidRPr="008D5226">
        <w:rPr>
          <w:lang w:val="en-GB"/>
        </w:rPr>
        <w:t xml:space="preserve"> and fibrosis, with </w:t>
      </w:r>
      <w:r w:rsidR="005C27BA">
        <w:rPr>
          <w:lang w:val="en-GB"/>
        </w:rPr>
        <w:t xml:space="preserve">a </w:t>
      </w:r>
      <w:r w:rsidRPr="008D5226">
        <w:rPr>
          <w:lang w:val="en-GB"/>
        </w:rPr>
        <w:t>steatosis</w:t>
      </w:r>
      <w:r w:rsidR="005C27BA">
        <w:rPr>
          <w:lang w:val="en-GB"/>
        </w:rPr>
        <w:t xml:space="preserve"> rate superior or equal to </w:t>
      </w:r>
      <w:r w:rsidRPr="008D5226">
        <w:rPr>
          <w:lang w:val="en-GB"/>
        </w:rPr>
        <w:t>10%</w:t>
      </w:r>
    </w:p>
    <w:p w14:paraId="2C60DF95" w14:textId="25253B64" w:rsidR="008D5226" w:rsidRDefault="008D5226" w:rsidP="008D5226">
      <w:r w:rsidRPr="008D5226">
        <w:t>As a phase 2 study, its aims are both to provide preliminary evidence of efficacy and to determine the dose that should be carried forward into a phase 3 programme.</w:t>
      </w:r>
    </w:p>
    <w:p w14:paraId="5EF19881" w14:textId="789BBAC8" w:rsidR="008D5226" w:rsidRDefault="008D5226" w:rsidP="008D5226">
      <w:r w:rsidRPr="008D5226">
        <w:t>The primary objective is to assess the efficacy and safety of ION224 in patients with biopsy-proven MASH (metabolic dysfunction-associated steatohepatitis) and moderate to severe hepatic fibrosis.</w:t>
      </w:r>
    </w:p>
    <w:p w14:paraId="49EEFA27" w14:textId="77777777" w:rsidR="008D5226" w:rsidRDefault="008D5226" w:rsidP="008D5226"/>
    <w:p w14:paraId="39A02514" w14:textId="0BE01D20" w:rsidR="008D5226" w:rsidRDefault="008D5226" w:rsidP="008D5226">
      <w:r>
        <w:t xml:space="preserve">DIAPO 3 : Introduction 2 : </w:t>
      </w:r>
    </w:p>
    <w:p w14:paraId="77F878D5" w14:textId="2F85A875" w:rsidR="008D5226" w:rsidRDefault="008D5226" w:rsidP="008D5226">
      <w:r>
        <w:t xml:space="preserve">Inclusion criterias were : </w:t>
      </w:r>
    </w:p>
    <w:p w14:paraId="14E22F63" w14:textId="77777777" w:rsidR="008D5226" w:rsidRPr="008D5226" w:rsidRDefault="008D5226" w:rsidP="008D5226">
      <w:pPr>
        <w:pStyle w:val="ListParagraph"/>
        <w:numPr>
          <w:ilvl w:val="0"/>
          <w:numId w:val="69"/>
        </w:numPr>
      </w:pPr>
      <w:r>
        <w:rPr>
          <w:lang w:val="en-GB"/>
        </w:rPr>
        <w:t xml:space="preserve">Age between </w:t>
      </w:r>
      <w:r w:rsidRPr="008D5226">
        <w:rPr>
          <w:lang w:val="en-GB"/>
        </w:rPr>
        <w:t xml:space="preserve">18-75 years, </w:t>
      </w:r>
    </w:p>
    <w:p w14:paraId="04D7531D" w14:textId="4F8FB8DD" w:rsidR="008D5226" w:rsidRPr="008D5226" w:rsidRDefault="008D5226" w:rsidP="008D5226">
      <w:pPr>
        <w:pStyle w:val="ListParagraph"/>
        <w:numPr>
          <w:ilvl w:val="0"/>
          <w:numId w:val="69"/>
        </w:numPr>
      </w:pPr>
      <w:r w:rsidRPr="008D5226">
        <w:rPr>
          <w:lang w:val="en-GB"/>
        </w:rPr>
        <w:t xml:space="preserve">BMI </w:t>
      </w:r>
      <w:r w:rsidR="005C27BA">
        <w:rPr>
          <w:lang w:val="en-GB"/>
        </w:rPr>
        <w:t>superior or equal to</w:t>
      </w:r>
      <w:r w:rsidRPr="008D5226">
        <w:rPr>
          <w:lang w:val="en-GB"/>
        </w:rPr>
        <w:t xml:space="preserve"> 25</w:t>
      </w:r>
    </w:p>
    <w:p w14:paraId="782F04CF" w14:textId="3787F879" w:rsidR="008D5226" w:rsidRPr="008D5226" w:rsidRDefault="008D5226" w:rsidP="008D5226">
      <w:pPr>
        <w:pStyle w:val="ListParagraph"/>
        <w:numPr>
          <w:ilvl w:val="0"/>
          <w:numId w:val="69"/>
        </w:numPr>
      </w:pPr>
      <w:r w:rsidRPr="008D5226">
        <w:rPr>
          <w:lang w:val="en-GB"/>
        </w:rPr>
        <w:t>Liver steatosis ≥ 10%</w:t>
      </w:r>
      <w:r w:rsidR="00420C02">
        <w:rPr>
          <w:lang w:val="en-GB"/>
        </w:rPr>
        <w:t xml:space="preserve"> in MRI </w:t>
      </w:r>
    </w:p>
    <w:p w14:paraId="7C30D670" w14:textId="43B7AB2F" w:rsidR="008D5226" w:rsidRPr="008D5226" w:rsidRDefault="008D5226" w:rsidP="008D5226">
      <w:pPr>
        <w:pStyle w:val="ListParagraph"/>
        <w:numPr>
          <w:ilvl w:val="0"/>
          <w:numId w:val="69"/>
        </w:numPr>
      </w:pPr>
      <w:r w:rsidRPr="008D5226">
        <w:rPr>
          <w:lang w:val="en-GB"/>
        </w:rPr>
        <w:t>MASH histologic diagnosis</w:t>
      </w:r>
    </w:p>
    <w:p w14:paraId="1185584B" w14:textId="4A0164D4" w:rsidR="008D5226" w:rsidRDefault="008D5226" w:rsidP="008D5226">
      <w:r>
        <w:t xml:space="preserve">Exclusion criterias were : </w:t>
      </w:r>
    </w:p>
    <w:p w14:paraId="2B031262" w14:textId="77777777" w:rsidR="008D5226" w:rsidRPr="008D5226" w:rsidRDefault="008D5226" w:rsidP="008D5226">
      <w:pPr>
        <w:pStyle w:val="ListParagraph"/>
        <w:numPr>
          <w:ilvl w:val="0"/>
          <w:numId w:val="69"/>
        </w:numPr>
      </w:pPr>
      <w:r w:rsidRPr="008D5226">
        <w:rPr>
          <w:lang w:val="en-GB"/>
        </w:rPr>
        <w:t>Other liver disease</w:t>
      </w:r>
    </w:p>
    <w:p w14:paraId="629B6A6A" w14:textId="77777777" w:rsidR="008D5226" w:rsidRPr="008D5226" w:rsidRDefault="008D5226" w:rsidP="008D5226">
      <w:pPr>
        <w:pStyle w:val="ListParagraph"/>
        <w:numPr>
          <w:ilvl w:val="0"/>
          <w:numId w:val="69"/>
        </w:numPr>
      </w:pPr>
      <w:r w:rsidRPr="008D5226">
        <w:rPr>
          <w:lang w:val="en-GB"/>
        </w:rPr>
        <w:t>Liver decompensation</w:t>
      </w:r>
    </w:p>
    <w:p w14:paraId="4826E9C8" w14:textId="77777777" w:rsidR="008D5226" w:rsidRPr="008D5226" w:rsidRDefault="008D5226" w:rsidP="008D5226">
      <w:pPr>
        <w:pStyle w:val="ListParagraph"/>
        <w:numPr>
          <w:ilvl w:val="0"/>
          <w:numId w:val="69"/>
        </w:numPr>
      </w:pPr>
      <w:r w:rsidRPr="008D5226">
        <w:rPr>
          <w:lang w:val="en-GB"/>
        </w:rPr>
        <w:t>Illicit drugs or alcohol</w:t>
      </w:r>
    </w:p>
    <w:p w14:paraId="386C63A1" w14:textId="77777777" w:rsidR="008D5226" w:rsidRPr="008D5226" w:rsidRDefault="008D5226" w:rsidP="008D5226">
      <w:pPr>
        <w:pStyle w:val="ListParagraph"/>
        <w:numPr>
          <w:ilvl w:val="0"/>
          <w:numId w:val="69"/>
        </w:numPr>
      </w:pPr>
      <w:r w:rsidRPr="008D5226">
        <w:rPr>
          <w:lang w:val="en-GB"/>
        </w:rPr>
        <w:t>HIV, HBV, HCV active infection</w:t>
      </w:r>
    </w:p>
    <w:p w14:paraId="59FBB39F" w14:textId="7F1E6E98" w:rsidR="008D5226" w:rsidRPr="008D5226" w:rsidRDefault="008D5226" w:rsidP="008D5226">
      <w:pPr>
        <w:pStyle w:val="ListParagraph"/>
        <w:numPr>
          <w:ilvl w:val="0"/>
          <w:numId w:val="69"/>
        </w:numPr>
      </w:pPr>
      <w:r w:rsidRPr="008D5226">
        <w:rPr>
          <w:lang w:val="en-GB"/>
        </w:rPr>
        <w:t>Use of concomitant medications</w:t>
      </w:r>
    </w:p>
    <w:p w14:paraId="69D2D45F" w14:textId="2A2E4F14" w:rsidR="008D5226" w:rsidRPr="008D5226" w:rsidRDefault="008D5226" w:rsidP="008D5226">
      <w:r w:rsidRPr="008D5226">
        <w:t xml:space="preserve">The trial is described as </w:t>
      </w:r>
      <w:r w:rsidR="00487479">
        <w:t xml:space="preserve">an </w:t>
      </w:r>
      <w:r w:rsidRPr="008D5226">
        <w:t xml:space="preserve">adaptive </w:t>
      </w:r>
      <w:r w:rsidR="00487479">
        <w:t xml:space="preserve">trial </w:t>
      </w:r>
      <w:r w:rsidRPr="008D5226">
        <w:t xml:space="preserve">because the design included a pre-planned interim analysis that allowed certain parameters of the study to be modified – in this case, </w:t>
      </w:r>
      <w:r w:rsidR="00487479">
        <w:t xml:space="preserve">it was </w:t>
      </w:r>
      <w:r w:rsidRPr="008D5226">
        <w:t>to select the most promising doses – without breaking the blind for investigators or participants.</w:t>
      </w:r>
    </w:p>
    <w:p w14:paraId="6186CDB9" w14:textId="77777777" w:rsidR="00420C02" w:rsidRDefault="00420C02"/>
    <w:p w14:paraId="5535F427" w14:textId="0EB6F96C" w:rsidR="008D5226" w:rsidRDefault="00420C02">
      <w:r>
        <w:t xml:space="preserve">The first phase was a “dose selection” phase with 4 different doses of ION. </w:t>
      </w:r>
    </w:p>
    <w:p w14:paraId="2A79BE3A" w14:textId="342F44BD" w:rsidR="00420C02" w:rsidRDefault="00420C02">
      <w:r>
        <w:lastRenderedPageBreak/>
        <w:t xml:space="preserve">There was a first randomization with a 1:1:1 ratio </w:t>
      </w:r>
      <w:r w:rsidR="00487479">
        <w:t xml:space="preserve">that obtained </w:t>
      </w:r>
      <w:r>
        <w:t>3 cohorts, for 60, 90, 120</w:t>
      </w:r>
      <w:r w:rsidR="00487479">
        <w:t xml:space="preserve">g. </w:t>
      </w:r>
    </w:p>
    <w:p w14:paraId="03004B17" w14:textId="55E938F3" w:rsidR="00420C02" w:rsidRDefault="00420C02">
      <w:r>
        <w:t xml:space="preserve">In each cohorts, another randomization was performed, with a 3:1 ratio (it means that it was 3 ION for 1 placebo). </w:t>
      </w:r>
    </w:p>
    <w:p w14:paraId="36479F49" w14:textId="7EB61949" w:rsidR="00420C02" w:rsidRDefault="00420C02">
      <w:r>
        <w:t xml:space="preserve">At week 13, a pre-planned interim analysis was performed by an independent committee on </w:t>
      </w:r>
      <w:r w:rsidR="00487479">
        <w:t xml:space="preserve">the first </w:t>
      </w:r>
      <w:r>
        <w:t>50 patients. It analyzed safety and efficiency</w:t>
      </w:r>
      <w:r w:rsidR="00487479">
        <w:t xml:space="preserve"> of the three different doses</w:t>
      </w:r>
      <w:r>
        <w:t xml:space="preserve"> (based on liver steatosis on MRI).</w:t>
      </w:r>
    </w:p>
    <w:p w14:paraId="75742BA1" w14:textId="7432A80A" w:rsidR="00420C02" w:rsidRPr="008D5226" w:rsidRDefault="00420C02" w:rsidP="00420C02">
      <w:r>
        <w:t xml:space="preserve">After the interim analysis, doses of 90 and 120miligrams were selectionned for pursuing the study. </w:t>
      </w:r>
    </w:p>
    <w:p w14:paraId="559C6278" w14:textId="6F34FFD5" w:rsidR="008D5226" w:rsidRDefault="00420C02">
      <w:r>
        <w:t>DIAPO 4 :</w:t>
      </w:r>
    </w:p>
    <w:p w14:paraId="2C454E4F" w14:textId="3E60F3E8" w:rsidR="00AF73A5" w:rsidRDefault="00AF73A5" w:rsidP="008D5226">
      <w:pPr>
        <w:spacing w:after="120" w:line="240" w:lineRule="auto"/>
        <w:outlineLvl w:val="0"/>
      </w:pPr>
      <w:r w:rsidRPr="00AF73A5">
        <w:t>The primary endpoint was defined as an improvement in MASH without worsening of fibrosis</w:t>
      </w:r>
      <w:r w:rsidR="00487479">
        <w:t xml:space="preserve">. This composite outcome was mesured </w:t>
      </w:r>
      <w:r w:rsidR="00487479" w:rsidRPr="00AF73A5">
        <w:t xml:space="preserve">at week 51 </w:t>
      </w:r>
      <w:r w:rsidR="00487479">
        <w:t>and</w:t>
      </w:r>
      <w:r w:rsidRPr="00AF73A5">
        <w:t xml:space="preserve"> required a reduction of 2 points in the total </w:t>
      </w:r>
      <w:r w:rsidR="00487479">
        <w:t>NAS score</w:t>
      </w:r>
      <w:r w:rsidRPr="00AF73A5">
        <w:t>, including an improvement of at least 1 point in hepatocellular ballooning or lobular inflammation, and no increase in the fibrosis stage</w:t>
      </w:r>
    </w:p>
    <w:p w14:paraId="349A0396" w14:textId="77777777" w:rsidR="00AF73A5" w:rsidRDefault="00AF73A5" w:rsidP="00AF73A5">
      <w:pPr>
        <w:spacing w:after="120" w:line="240" w:lineRule="auto"/>
        <w:outlineLvl w:val="0"/>
      </w:pPr>
      <w:r w:rsidRPr="00AF73A5">
        <w:t>Secondary endpoints included</w:t>
      </w:r>
      <w:r>
        <w:t xml:space="preserve"> </w:t>
      </w:r>
    </w:p>
    <w:p w14:paraId="51C52F26" w14:textId="77777777" w:rsidR="00AF73A5" w:rsidRDefault="00AF73A5" w:rsidP="00AF73A5">
      <w:pPr>
        <w:pStyle w:val="ListParagraph"/>
        <w:numPr>
          <w:ilvl w:val="0"/>
          <w:numId w:val="69"/>
        </w:numPr>
        <w:spacing w:after="120" w:line="240" w:lineRule="auto"/>
        <w:outlineLvl w:val="0"/>
      </w:pPr>
      <w:r>
        <w:t xml:space="preserve">Reduction of steatosis on MRI, </w:t>
      </w:r>
    </w:p>
    <w:p w14:paraId="5CD3A638" w14:textId="77777777" w:rsidR="00AF73A5" w:rsidRDefault="00AF73A5" w:rsidP="00AF73A5">
      <w:pPr>
        <w:pStyle w:val="ListParagraph"/>
        <w:numPr>
          <w:ilvl w:val="0"/>
          <w:numId w:val="69"/>
        </w:numPr>
        <w:spacing w:after="120" w:line="240" w:lineRule="auto"/>
        <w:outlineLvl w:val="0"/>
      </w:pPr>
      <w:r>
        <w:t>MASH resolution</w:t>
      </w:r>
    </w:p>
    <w:p w14:paraId="4315DBA0" w14:textId="7268EE9A" w:rsidR="00AF73A5" w:rsidRDefault="00AF73A5" w:rsidP="008D5226">
      <w:pPr>
        <w:pStyle w:val="ListParagraph"/>
        <w:numPr>
          <w:ilvl w:val="0"/>
          <w:numId w:val="69"/>
        </w:numPr>
        <w:spacing w:after="120" w:line="240" w:lineRule="auto"/>
        <w:outlineLvl w:val="0"/>
      </w:pPr>
      <w:r>
        <w:t>Reduction of at least one stage in fibrosis score</w:t>
      </w:r>
    </w:p>
    <w:p w14:paraId="3050F13A" w14:textId="2879E14D" w:rsidR="00AF73A5" w:rsidRDefault="00AF73A5" w:rsidP="00AF73A5">
      <w:pPr>
        <w:spacing w:after="120" w:line="240" w:lineRule="auto"/>
        <w:outlineLvl w:val="0"/>
      </w:pPr>
      <w:r>
        <w:t xml:space="preserve">The primary analysis was a per-protocol analysis, including </w:t>
      </w:r>
      <w:r w:rsidRPr="00AF73A5">
        <w:t>  randomised participants who received at least 10 of the 13 planned doses, did not miss three consecutive doses, completed the final liver biopsy, and had no major protocol deviations such as use of prohibited medications.</w:t>
      </w:r>
    </w:p>
    <w:p w14:paraId="6FF78E38" w14:textId="549512BA" w:rsidR="00AF73A5" w:rsidRPr="00AF73A5" w:rsidRDefault="00AF73A5" w:rsidP="00AF73A5">
      <w:pPr>
        <w:spacing w:after="120" w:line="240" w:lineRule="auto"/>
        <w:outlineLvl w:val="0"/>
      </w:pPr>
      <w:r>
        <w:t>The “intention to treat” population was all of those who were randomized.</w:t>
      </w:r>
    </w:p>
    <w:p w14:paraId="2CCC2D2E" w14:textId="4201778E" w:rsidR="00AF73A5" w:rsidRPr="00AF73A5" w:rsidRDefault="00AF73A5" w:rsidP="00AF73A5">
      <w:pPr>
        <w:spacing w:after="120" w:line="240" w:lineRule="auto"/>
        <w:outlineLvl w:val="0"/>
        <w:rPr>
          <w:b/>
          <w:bCs/>
          <w:i/>
          <w:iCs/>
        </w:rPr>
      </w:pPr>
      <w:r>
        <w:rPr>
          <w:b/>
          <w:bCs/>
          <w:i/>
          <w:iCs/>
        </w:rPr>
        <w:t xml:space="preserve">WHY PER-PROTOCOL : </w:t>
      </w:r>
      <w:r w:rsidRPr="00AF73A5">
        <w:rPr>
          <w:b/>
          <w:bCs/>
          <w:i/>
          <w:iCs/>
        </w:rPr>
        <w:t>Per-protocol analysis as the primary efficacy analysis because, in a Phase 2 trial with invasive histological criteria, the objective is to evaluate the true potential of ION224 when administered correctly and for a sufficient duration, without noise related to non-adherence and major deviations, while then controlling this result with ITT sensitivity analyses to limit the risk of overestimation.</w:t>
      </w:r>
    </w:p>
    <w:p w14:paraId="30CB3CCB" w14:textId="77777777" w:rsidR="00487479" w:rsidRDefault="00AF73A5" w:rsidP="00AF73A5">
      <w:pPr>
        <w:spacing w:after="120" w:line="240" w:lineRule="auto"/>
        <w:outlineLvl w:val="0"/>
      </w:pPr>
      <w:r w:rsidRPr="00AF73A5">
        <w:t>For the statistical analysis, the sample-size assumptions differed between the two parts of the study. I</w:t>
      </w:r>
    </w:p>
    <w:p w14:paraId="7AB9FEAC" w14:textId="66C50E87" w:rsidR="00AF73A5" w:rsidRDefault="00AF73A5" w:rsidP="00AF73A5">
      <w:pPr>
        <w:spacing w:after="120" w:line="240" w:lineRule="auto"/>
        <w:outlineLvl w:val="0"/>
      </w:pPr>
      <w:r w:rsidRPr="00AF73A5">
        <w:t xml:space="preserve">n Part 1, the alternative hypothesis was a relative difference of 25% in hepatic fat reduction on MRI between pooled active-treatment groups and placebo at week 13. </w:t>
      </w:r>
    </w:p>
    <w:p w14:paraId="1B816402" w14:textId="77777777" w:rsidR="00AF73A5" w:rsidRDefault="00AF73A5" w:rsidP="00AF73A5">
      <w:pPr>
        <w:spacing w:after="120" w:line="240" w:lineRule="auto"/>
        <w:outlineLvl w:val="0"/>
      </w:pPr>
      <w:r w:rsidRPr="00AF73A5">
        <w:t>The standard deviation was predicted to be 20%, with an alpha risk of 5% and a beta risk of 20%, leading to a required sample size of 12 participants.</w:t>
      </w:r>
    </w:p>
    <w:p w14:paraId="17D764F6" w14:textId="77777777" w:rsidR="00AF73A5" w:rsidRDefault="00AF73A5" w:rsidP="00AF73A5">
      <w:pPr>
        <w:spacing w:after="120" w:line="240" w:lineRule="auto"/>
        <w:outlineLvl w:val="0"/>
      </w:pPr>
      <w:r w:rsidRPr="00AF73A5">
        <w:t xml:space="preserve">In Part 2, the alternative hypothesis was a 30% difference in the proportion of responders, for the primary histological endpoint, between ION224 and placebo. </w:t>
      </w:r>
    </w:p>
    <w:p w14:paraId="61E0D171" w14:textId="4DE651A7" w:rsidR="00AF73A5" w:rsidRPr="00AF73A5" w:rsidRDefault="00AF73A5" w:rsidP="00AF73A5">
      <w:pPr>
        <w:spacing w:after="120" w:line="240" w:lineRule="auto"/>
        <w:outlineLvl w:val="0"/>
      </w:pPr>
      <w:r w:rsidRPr="00AF73A5">
        <w:t>The alpha and beta risks were the same as in Part 1, resulting in a required sample size of 39 participants, and an anticipated dropout rate of 15% was built into the calculation.</w:t>
      </w:r>
    </w:p>
    <w:p w14:paraId="54483907" w14:textId="42A09143" w:rsidR="008D5226" w:rsidRDefault="00487479">
      <w:r>
        <w:lastRenderedPageBreak/>
        <w:t xml:space="preserve">For the results, </w:t>
      </w:r>
    </w:p>
    <w:p w14:paraId="5E7B28F9" w14:textId="77777777" w:rsidR="002A75A5" w:rsidRPr="002A75A5" w:rsidRDefault="002A75A5" w:rsidP="002A75A5">
      <w:pPr>
        <w:rPr>
          <w:b/>
          <w:bCs/>
        </w:rPr>
      </w:pPr>
      <w:r w:rsidRPr="002A75A5">
        <w:rPr>
          <w:b/>
          <w:bCs/>
        </w:rPr>
        <w:t>Slide 1: Results - Primary Endpoint</w:t>
      </w:r>
    </w:p>
    <w:p w14:paraId="35DFD19E" w14:textId="282A2465" w:rsidR="002A75A5" w:rsidRPr="002A75A5" w:rsidRDefault="002A75A5" w:rsidP="002A75A5">
      <w:r>
        <w:t xml:space="preserve">For the results of the primary endpoint : </w:t>
      </w:r>
      <w:r w:rsidRPr="002A75A5">
        <w:t>As a reminder, the primary endpoint was defined as an improvement in MASH at week 51 without any worsening of fibrosis. Specifically, this required a reduction of at least 2 points in the NAS score, with significant improvements in ballooning or inflammation</w:t>
      </w:r>
      <w:r w:rsidRPr="002A75A5">
        <w:rPr>
          <w:vertAlign w:val="superscript"/>
        </w:rPr>
        <w:t>2</w:t>
      </w:r>
      <w:r w:rsidRPr="002A75A5">
        <w:t>.</w:t>
      </w:r>
    </w:p>
    <w:p w14:paraId="66796939" w14:textId="070A9A02" w:rsidR="002A75A5" w:rsidRPr="002A75A5" w:rsidRDefault="002A75A5" w:rsidP="002A75A5">
      <w:r w:rsidRPr="002A75A5">
        <w:t>For the statistical analysis, the authors compared the pooled placebo group against each ION224 dose group individually. They used a Chi-squared test for the comparison, or Fisher's exact test when sample sizes were small</w:t>
      </w:r>
      <w:r>
        <w:t>.</w:t>
      </w:r>
      <w:r>
        <w:br/>
      </w:r>
      <w:r w:rsidRPr="002A75A5">
        <w:t>To quantify the strength of these differences, they employed binomial regression to estimate risk differences</w:t>
      </w:r>
      <w:r w:rsidRPr="002A75A5">
        <w:rPr>
          <w:vertAlign w:val="superscript"/>
        </w:rPr>
        <w:t>4</w:t>
      </w:r>
      <w:r w:rsidRPr="002A75A5">
        <w:t>.</w:t>
      </w:r>
    </w:p>
    <w:p w14:paraId="5AC68CD7" w14:textId="77777777" w:rsidR="002A75A5" w:rsidRPr="002A75A5" w:rsidRDefault="002A75A5" w:rsidP="002A75A5">
      <w:r w:rsidRPr="002A75A5">
        <w:t>Looking at the histogram in Figure 2A, we see a clear, statistically significant difference. The response rate was lowest in the placebo group at 19%, rose to 46% in the 90 mg group, and reached 59% in the 120 mg group</w:t>
      </w:r>
      <w:r w:rsidRPr="002A75A5">
        <w:rPr>
          <w:vertAlign w:val="superscript"/>
        </w:rPr>
        <w:t>5</w:t>
      </w:r>
      <w:r w:rsidRPr="002A75A5">
        <w:t>. This demonstrates a distinct dose-response relationship where efficacy increases with the dosage."</w:t>
      </w:r>
    </w:p>
    <w:p w14:paraId="0E160BD8" w14:textId="77777777" w:rsidR="002A75A5" w:rsidRPr="002A75A5" w:rsidRDefault="002A75A5" w:rsidP="002A75A5">
      <w:pPr>
        <w:rPr>
          <w:b/>
          <w:bCs/>
        </w:rPr>
      </w:pPr>
      <w:r w:rsidRPr="002A75A5">
        <w:rPr>
          <w:b/>
          <w:bCs/>
        </w:rPr>
        <w:t>Slide 2: Results - Secondary Endpoints 1</w:t>
      </w:r>
    </w:p>
    <w:p w14:paraId="2AC868A1" w14:textId="77777777" w:rsidR="00ED678D" w:rsidRPr="00ED678D" w:rsidRDefault="00ED678D" w:rsidP="00ED678D">
      <w:r w:rsidRPr="00ED678D">
        <w:t>"Moving on to the key secondary histological endpoints: MASH resolution and fibrosis improvement.</w:t>
      </w:r>
    </w:p>
    <w:p w14:paraId="6562A148" w14:textId="77777777" w:rsidR="00ED678D" w:rsidRPr="00ED678D" w:rsidRDefault="00ED678D" w:rsidP="00ED678D">
      <w:r w:rsidRPr="00ED678D">
        <w:t>First, looking at MASH resolution without worsening of fibrosis:</w:t>
      </w:r>
    </w:p>
    <w:p w14:paraId="13D23B39" w14:textId="77777777" w:rsidR="00ED678D" w:rsidRPr="00ED678D" w:rsidRDefault="00ED678D" w:rsidP="00ED678D">
      <w:r w:rsidRPr="00ED678D">
        <w:t>We observed a statistically significant difference between placebo and the ION224 90 mg group, as well as in the pooled analysis.</w:t>
      </w:r>
    </w:p>
    <w:p w14:paraId="0336BB0C" w14:textId="77777777" w:rsidR="00ED678D" w:rsidRPr="00ED678D" w:rsidRDefault="00ED678D" w:rsidP="00ED678D">
      <w:r w:rsidRPr="00ED678D">
        <w:t>Interestingly, for the 120 mg group, although the response rate was similar to the 90 mg dose—around 35%—the p-value was just above the significance threshold at 0.059, meaning it did not strictly reach statistical significance in this specific analysis.</w:t>
      </w:r>
    </w:p>
    <w:p w14:paraId="65B27DD2" w14:textId="77777777" w:rsidR="00ED678D" w:rsidRPr="00ED678D" w:rsidRDefault="00ED678D" w:rsidP="00ED678D">
      <w:r w:rsidRPr="00ED678D">
        <w:t>Next, regarding Fibrosis improvement of at least one stage:</w:t>
      </w:r>
    </w:p>
    <w:p w14:paraId="0B91BF8E" w14:textId="77777777" w:rsidR="00ED678D" w:rsidRPr="00ED678D" w:rsidRDefault="00ED678D" w:rsidP="00ED678D">
      <w:r w:rsidRPr="00ED678D">
        <w:t>The results here were driven by the higher dose. We achieved statistical significance for the 120 mg group with a p-value of 0.046, and this effect was also significant in the pooled analysis.</w:t>
      </w:r>
    </w:p>
    <w:p w14:paraId="716E6208" w14:textId="77777777" w:rsidR="00ED678D" w:rsidRPr="00ED678D" w:rsidRDefault="00ED678D" w:rsidP="00ED678D">
      <w:r w:rsidRPr="00ED678D">
        <w:t>However, for the 90 mg group, while the trend was positive compared to placebo, the difference was not statistically significant with a p-value of 0.115.</w:t>
      </w:r>
    </w:p>
    <w:p w14:paraId="32B3B6A2" w14:textId="77777777" w:rsidR="00ED678D" w:rsidRPr="00ED678D" w:rsidRDefault="00ED678D" w:rsidP="00ED678D">
      <w:r w:rsidRPr="00ED678D">
        <w:t>Overall, these secondary endpoints confirm the histological activity of the drug, particularly at the highest dose for fibrosis improvement."</w:t>
      </w:r>
    </w:p>
    <w:p w14:paraId="295D6282" w14:textId="77777777" w:rsidR="002A75A5" w:rsidRPr="002A75A5" w:rsidRDefault="002A75A5" w:rsidP="002A75A5">
      <w:pPr>
        <w:rPr>
          <w:b/>
          <w:bCs/>
        </w:rPr>
      </w:pPr>
      <w:r w:rsidRPr="002A75A5">
        <w:rPr>
          <w:b/>
          <w:bCs/>
        </w:rPr>
        <w:t>Slide 3: Results - Secondary Outcomes 2 (Liver Steatosis)</w:t>
      </w:r>
    </w:p>
    <w:p w14:paraId="7E98E492" w14:textId="5EFACFC9" w:rsidR="002A75A5" w:rsidRPr="002A75A5" w:rsidRDefault="002A75A5" w:rsidP="002A75A5">
      <w:r w:rsidRPr="002A75A5">
        <w:lastRenderedPageBreak/>
        <w:t>"</w:t>
      </w:r>
      <w:r w:rsidR="00ED678D">
        <w:t>The study</w:t>
      </w:r>
      <w:r w:rsidRPr="002A75A5">
        <w:t xml:space="preserve"> also examined liver steatosis reduction using MR</w:t>
      </w:r>
      <w:r w:rsidR="00ED678D">
        <w:t>I</w:t>
      </w:r>
      <w:r w:rsidRPr="002A75A5">
        <w:t>. Here, we are looking at the Odds Ratios (OR) for achieving a significant reduction of 50% or more in liver fat.</w:t>
      </w:r>
    </w:p>
    <w:p w14:paraId="4A85C2F4" w14:textId="0731EB95" w:rsidR="002A75A5" w:rsidRPr="002A75A5" w:rsidRDefault="002A75A5" w:rsidP="002A75A5">
      <w:r w:rsidRPr="002A75A5">
        <w:t>The data reveals a strong dose and time effect. At Day 99, the odds of response increase from placebo to the 90 mg dose, and further to the 120 mg dose. By Day 351, this trend is even more pronounced</w:t>
      </w:r>
    </w:p>
    <w:p w14:paraId="0894E588" w14:textId="5A4E8005" w:rsidR="002A75A5" w:rsidRPr="002A75A5" w:rsidRDefault="002A75A5" w:rsidP="002A75A5">
      <w:r w:rsidRPr="002A75A5">
        <w:t xml:space="preserve">The effect clearly increases over time; the odds ratios are higher at Day 351 compared to Day 99, indicating that the longer the patient is on the treatment, the more profound the reduction in liver fat becomes. This confirms both a dose-dependent and time-dependent </w:t>
      </w:r>
      <w:r w:rsidR="00ED678D">
        <w:t>efficacity.</w:t>
      </w:r>
    </w:p>
    <w:p w14:paraId="5336528B" w14:textId="77777777" w:rsidR="002A75A5" w:rsidRPr="002A75A5" w:rsidRDefault="002A75A5" w:rsidP="002A75A5">
      <w:pPr>
        <w:rPr>
          <w:b/>
          <w:bCs/>
        </w:rPr>
      </w:pPr>
      <w:r w:rsidRPr="002A75A5">
        <w:rPr>
          <w:b/>
          <w:bCs/>
        </w:rPr>
        <w:t>Slide 4: Results - Intention-to-Treat (ITT) with J2R</w:t>
      </w:r>
    </w:p>
    <w:p w14:paraId="66098AEA" w14:textId="77777777" w:rsidR="002A75A5" w:rsidRPr="002A75A5" w:rsidRDefault="002A75A5" w:rsidP="002A75A5">
      <w:r w:rsidRPr="002A75A5">
        <w:t>"To assess the robustness of these findings, the authors performed a post-hoc analysis on the Intention-to-Treat (ITT) population</w:t>
      </w:r>
      <w:r w:rsidRPr="002A75A5">
        <w:rPr>
          <w:vertAlign w:val="superscript"/>
        </w:rPr>
        <w:t>11</w:t>
      </w:r>
      <w:r w:rsidRPr="002A75A5">
        <w:t>.</w:t>
      </w:r>
    </w:p>
    <w:p w14:paraId="17232CD8" w14:textId="109225B9" w:rsidR="002A75A5" w:rsidRPr="002A75A5" w:rsidRDefault="002A75A5" w:rsidP="002A75A5">
      <w:r w:rsidRPr="002A75A5">
        <w:t xml:space="preserve">A critical part of this analysis was how they handled missing data. They used a </w:t>
      </w:r>
      <w:r w:rsidRPr="002A75A5">
        <w:rPr>
          <w:b/>
          <w:bCs/>
        </w:rPr>
        <w:t>'Jump to Reference' (J2R)</w:t>
      </w:r>
      <w:r w:rsidRPr="002A75A5">
        <w:t xml:space="preserve"> multiple imputation method</w:t>
      </w:r>
      <w:r w:rsidRPr="002A75A5">
        <w:rPr>
          <w:vertAlign w:val="superscript"/>
        </w:rPr>
        <w:t>12</w:t>
      </w:r>
      <w:r w:rsidRPr="002A75A5">
        <w:t>. This is a conservative approach that assumes patients with missing biopsy data would respond similarly to the placebo group, neutralizing any assumed benefit for dropouts</w:t>
      </w:r>
      <w:r w:rsidRPr="002A75A5">
        <w:rPr>
          <w:vertAlign w:val="superscript"/>
        </w:rPr>
        <w:t>13</w:t>
      </w:r>
      <w:r w:rsidRPr="002A75A5">
        <w:t>.</w:t>
      </w:r>
    </w:p>
    <w:p w14:paraId="3B7C1B48" w14:textId="7C872DCF" w:rsidR="002A75A5" w:rsidRPr="002A75A5" w:rsidRDefault="002A75A5" w:rsidP="002A75A5">
      <w:r w:rsidRPr="002A75A5">
        <w:t>Even with this conservative imputation, the primary endpoint remained statistically significant for both the 90 mg and 120 mg doses</w:t>
      </w:r>
      <w:r w:rsidRPr="002A75A5">
        <w:rPr>
          <w:vertAlign w:val="superscript"/>
        </w:rPr>
        <w:t>14</w:t>
      </w:r>
      <w:r w:rsidRPr="002A75A5">
        <w:t>. The key secondary endpoints (SEP) generally supported the primary findings, confirming that the results are not driven solely by excluding non-completers."</w:t>
      </w:r>
    </w:p>
    <w:p w14:paraId="232F7791" w14:textId="77777777" w:rsidR="002A75A5" w:rsidRPr="002A75A5" w:rsidRDefault="002A75A5" w:rsidP="002A75A5">
      <w:pPr>
        <w:rPr>
          <w:b/>
          <w:bCs/>
        </w:rPr>
      </w:pPr>
      <w:r w:rsidRPr="002A75A5">
        <w:rPr>
          <w:b/>
          <w:bCs/>
        </w:rPr>
        <w:t>Slide 5: Safety Analysis</w:t>
      </w:r>
    </w:p>
    <w:p w14:paraId="6F0ACA6B" w14:textId="77777777" w:rsidR="002A75A5" w:rsidRPr="002A75A5" w:rsidRDefault="002A75A5" w:rsidP="002A75A5">
      <w:r w:rsidRPr="002A75A5">
        <w:t>"Moving on to safety, the drug was generally well tolerated. Adverse events were reported in 94% of ION224-treated participants compared to 89% in the placebo group, which is comparable</w:t>
      </w:r>
      <w:r w:rsidRPr="002A75A5">
        <w:rPr>
          <w:vertAlign w:val="superscript"/>
        </w:rPr>
        <w:t>15</w:t>
      </w:r>
      <w:r w:rsidRPr="002A75A5">
        <w:t>.</w:t>
      </w:r>
    </w:p>
    <w:p w14:paraId="0C04556C" w14:textId="77777777" w:rsidR="002A75A5" w:rsidRPr="002A75A5" w:rsidRDefault="002A75A5" w:rsidP="002A75A5">
      <w:r w:rsidRPr="002A75A5">
        <w:t>Importantly, the majority of these events were mild to moderate in severity</w:t>
      </w:r>
      <w:r w:rsidRPr="002A75A5">
        <w:rPr>
          <w:vertAlign w:val="superscript"/>
        </w:rPr>
        <w:t>16</w:t>
      </w:r>
      <w:r w:rsidRPr="002A75A5">
        <w:t>. The most frequent treatment-related adverse events were injection site reactions, such as erythema and pain, and some nausea</w:t>
      </w:r>
      <w:r w:rsidRPr="002A75A5">
        <w:rPr>
          <w:vertAlign w:val="superscript"/>
        </w:rPr>
        <w:t>17</w:t>
      </w:r>
      <w:r w:rsidRPr="002A75A5">
        <w:t>.</w:t>
      </w:r>
    </w:p>
    <w:p w14:paraId="1D4DCEF4" w14:textId="77777777" w:rsidR="002A75A5" w:rsidRPr="002A75A5" w:rsidRDefault="002A75A5" w:rsidP="002A75A5">
      <w:r w:rsidRPr="002A75A5">
        <w:t>Crucially, there were no deaths and no serious adverse events considered related to the study drug</w:t>
      </w:r>
      <w:r w:rsidRPr="002A75A5">
        <w:rPr>
          <w:vertAlign w:val="superscript"/>
        </w:rPr>
        <w:t>18</w:t>
      </w:r>
      <w:r w:rsidRPr="002A75A5">
        <w:t>. Furthermore, unlike some other drugs targeting lipogenesis, ION224 did not cause hypertriglyceridemia or worsen lipid profiles, which is a significant safety advantage in this population</w:t>
      </w:r>
      <w:r w:rsidRPr="002A75A5">
        <w:rPr>
          <w:vertAlign w:val="superscript"/>
        </w:rPr>
        <w:t>19</w:t>
      </w:r>
      <w:r w:rsidRPr="002A75A5">
        <w:t>."</w:t>
      </w:r>
    </w:p>
    <w:p w14:paraId="4D091B64" w14:textId="77777777" w:rsidR="002A75A5" w:rsidRPr="002A75A5" w:rsidRDefault="002A75A5" w:rsidP="002A75A5">
      <w:pPr>
        <w:rPr>
          <w:b/>
          <w:bCs/>
        </w:rPr>
      </w:pPr>
      <w:r w:rsidRPr="002A75A5">
        <w:rPr>
          <w:b/>
          <w:bCs/>
        </w:rPr>
        <w:t>Slide 6: Discussion</w:t>
      </w:r>
    </w:p>
    <w:p w14:paraId="716CA05E" w14:textId="77777777" w:rsidR="002A75A5" w:rsidRPr="002A75A5" w:rsidRDefault="002A75A5" w:rsidP="002A75A5">
      <w:r w:rsidRPr="002A75A5">
        <w:t>"Let's discuss the strengths and limitations of the trial.</w:t>
      </w:r>
    </w:p>
    <w:p w14:paraId="6F513C91" w14:textId="77777777" w:rsidR="002A75A5" w:rsidRPr="002A75A5" w:rsidRDefault="002A75A5" w:rsidP="002A75A5">
      <w:r w:rsidRPr="002A75A5">
        <w:t xml:space="preserve">In terms of </w:t>
      </w:r>
      <w:r w:rsidRPr="002A75A5">
        <w:rPr>
          <w:b/>
          <w:bCs/>
        </w:rPr>
        <w:t>strengths</w:t>
      </w:r>
      <w:r w:rsidRPr="002A75A5">
        <w:t>, the study utilized a robust randomized, double-blind, placebo-controlled design</w:t>
      </w:r>
      <w:r w:rsidRPr="002A75A5">
        <w:rPr>
          <w:vertAlign w:val="superscript"/>
        </w:rPr>
        <w:t>20</w:t>
      </w:r>
      <w:r w:rsidRPr="002A75A5">
        <w:t xml:space="preserve">. The adaptive design was innovative, allowing them to optimize dose </w:t>
      </w:r>
      <w:r w:rsidRPr="002A75A5">
        <w:lastRenderedPageBreak/>
        <w:t>selection midway through</w:t>
      </w:r>
      <w:r w:rsidRPr="002A75A5">
        <w:rPr>
          <w:vertAlign w:val="superscript"/>
        </w:rPr>
        <w:t>21</w:t>
      </w:r>
      <w:r w:rsidRPr="002A75A5">
        <w:t>. The methodology was clear, utilizing objective histological endpoints confirmed by central pathologists</w:t>
      </w:r>
      <w:r w:rsidRPr="002A75A5">
        <w:rPr>
          <w:vertAlign w:val="superscript"/>
        </w:rPr>
        <w:t>22</w:t>
      </w:r>
      <w:r w:rsidRPr="002A75A5">
        <w:t xml:space="preserve">. Despite a relatively small sample size, the effect size was large enough to achieve statistical significance </w:t>
      </w:r>
      <w:r w:rsidRPr="002A75A5">
        <w:rPr>
          <w:vertAlign w:val="superscript"/>
        </w:rPr>
        <w:t>23</w:t>
      </w:r>
      <w:r w:rsidRPr="002A75A5">
        <w:t>, and we observed a clear dose-dependent effect, reinforcing the biological plausibility of the treatment</w:t>
      </w:r>
      <w:r w:rsidRPr="002A75A5">
        <w:rPr>
          <w:vertAlign w:val="superscript"/>
        </w:rPr>
        <w:t>24</w:t>
      </w:r>
      <w:r w:rsidRPr="002A75A5">
        <w:t>.</w:t>
      </w:r>
    </w:p>
    <w:p w14:paraId="1A8D81A3" w14:textId="1D9C9298" w:rsidR="002A75A5" w:rsidRPr="002A75A5" w:rsidRDefault="002A75A5" w:rsidP="002A75A5">
      <w:r w:rsidRPr="002A75A5">
        <w:t xml:space="preserve">However, there are </w:t>
      </w:r>
      <w:r w:rsidRPr="002A75A5">
        <w:rPr>
          <w:b/>
          <w:bCs/>
        </w:rPr>
        <w:t>key limitations</w:t>
      </w:r>
      <w:r w:rsidRPr="002A75A5">
        <w:t xml:space="preserve">. </w:t>
      </w:r>
      <w:r w:rsidR="007865F3">
        <w:br/>
      </w:r>
      <w:r w:rsidRPr="002A75A5">
        <w:t>First, as a Phase 2 study, the sample size was small, which limited the statistical power for some registrational endpoints like fibrosis improvement</w:t>
      </w:r>
      <w:r w:rsidRPr="002A75A5">
        <w:rPr>
          <w:vertAlign w:val="superscript"/>
        </w:rPr>
        <w:t>25</w:t>
      </w:r>
      <w:r w:rsidRPr="002A75A5">
        <w:t xml:space="preserve">. </w:t>
      </w:r>
      <w:r w:rsidR="007865F3">
        <w:br/>
      </w:r>
      <w:r w:rsidRPr="002A75A5">
        <w:t>Second, about 23% of participants were excluded from the per-protocol analysis due to missing biopsies or protocol deviations</w:t>
      </w:r>
      <w:r w:rsidRPr="002A75A5">
        <w:rPr>
          <w:vertAlign w:val="superscript"/>
        </w:rPr>
        <w:t>26</w:t>
      </w:r>
      <w:r w:rsidRPr="002A75A5">
        <w:t xml:space="preserve">; although, as mentioned, the results held up in the ITT analysis. </w:t>
      </w:r>
      <w:r w:rsidR="007865F3">
        <w:br/>
      </w:r>
      <w:r w:rsidRPr="002A75A5">
        <w:t xml:space="preserve">Finally, the study duration was capped at 1 year </w:t>
      </w:r>
      <w:r w:rsidRPr="002A75A5">
        <w:rPr>
          <w:vertAlign w:val="superscript"/>
        </w:rPr>
        <w:t>27</w:t>
      </w:r>
      <w:r w:rsidRPr="002A75A5">
        <w:t>, so we do not yet have data on long-term histological outcomes or clinical events</w:t>
      </w:r>
      <w:r w:rsidRPr="002A75A5">
        <w:rPr>
          <w:vertAlign w:val="superscript"/>
        </w:rPr>
        <w:t>28</w:t>
      </w:r>
      <w:r w:rsidRPr="002A75A5">
        <w:t>."</w:t>
      </w:r>
    </w:p>
    <w:p w14:paraId="41B3008A" w14:textId="77777777" w:rsidR="002A75A5" w:rsidRPr="002A75A5" w:rsidRDefault="002A75A5" w:rsidP="002A75A5">
      <w:pPr>
        <w:rPr>
          <w:b/>
          <w:bCs/>
        </w:rPr>
      </w:pPr>
      <w:r w:rsidRPr="002A75A5">
        <w:rPr>
          <w:b/>
          <w:bCs/>
        </w:rPr>
        <w:t>Slide 7: Conclusion</w:t>
      </w:r>
    </w:p>
    <w:p w14:paraId="0B287C10" w14:textId="77777777" w:rsidR="002A75A5" w:rsidRPr="002A75A5" w:rsidRDefault="002A75A5" w:rsidP="002A75A5">
      <w:r w:rsidRPr="002A75A5">
        <w:t>"In conclusion, this trial provides the first clinical evidence for this mechanism of action. ION224-mediated inhibition of DGAT2 resulted in significant histological improvements, including MASH resolution and a reduction in fibrosis</w:t>
      </w:r>
      <w:r w:rsidRPr="002A75A5">
        <w:rPr>
          <w:vertAlign w:val="superscript"/>
        </w:rPr>
        <w:t>29292929</w:t>
      </w:r>
      <w:r w:rsidRPr="002A75A5">
        <w:t>.</w:t>
      </w:r>
    </w:p>
    <w:p w14:paraId="2B2C21B1" w14:textId="77777777" w:rsidR="002A75A5" w:rsidRPr="002A75A5" w:rsidRDefault="002A75A5" w:rsidP="002A75A5">
      <w:r w:rsidRPr="002A75A5">
        <w:t>We also saw a clear, time-dependent reduction in hepatic steatosis</w:t>
      </w:r>
      <w:r w:rsidRPr="002A75A5">
        <w:rPr>
          <w:vertAlign w:val="superscript"/>
        </w:rPr>
        <w:t>30</w:t>
      </w:r>
      <w:r w:rsidRPr="002A75A5">
        <w:t>. Importantly, this efficacy comes with a favorable safety profile, specifically without the hyperlipidemia often seen in similar metabolic targets</w:t>
      </w:r>
      <w:r w:rsidRPr="002A75A5">
        <w:rPr>
          <w:vertAlign w:val="superscript"/>
        </w:rPr>
        <w:t>31</w:t>
      </w:r>
      <w:r w:rsidRPr="002A75A5">
        <w:t>. These results strongly support the further development of ION224 in larger, longer-term Phase 3 trials."</w:t>
      </w:r>
    </w:p>
    <w:p w14:paraId="6241848C" w14:textId="1AB09C39" w:rsidR="007865F3" w:rsidRDefault="007865F3">
      <w:r>
        <w:br w:type="page"/>
      </w:r>
    </w:p>
    <w:p w14:paraId="5FA9EC14" w14:textId="77777777" w:rsidR="007865F3" w:rsidRPr="007865F3" w:rsidRDefault="007865F3" w:rsidP="007865F3">
      <w:pPr>
        <w:spacing w:after="120" w:line="240" w:lineRule="auto"/>
        <w:outlineLvl w:val="2"/>
        <w:rPr>
          <w:rFonts w:ascii="Aptos" w:eastAsia="Times New Roman" w:hAnsi="Aptos" w:cs="Arial"/>
          <w:b/>
          <w:bCs/>
          <w:color w:val="1F1F1F"/>
          <w:kern w:val="0"/>
          <w:sz w:val="27"/>
          <w:szCs w:val="27"/>
          <w:lang w:eastAsia="en-GB"/>
          <w14:ligatures w14:val="none"/>
        </w:rPr>
      </w:pPr>
      <w:r w:rsidRPr="007865F3">
        <w:rPr>
          <w:rFonts w:ascii="Aptos" w:eastAsia="Times New Roman" w:hAnsi="Aptos" w:cs="Arial"/>
          <w:b/>
          <w:bCs/>
          <w:color w:val="1F1F1F"/>
          <w:kern w:val="0"/>
          <w:sz w:val="27"/>
          <w:szCs w:val="27"/>
          <w:lang w:eastAsia="en-GB"/>
          <w14:ligatures w14:val="none"/>
        </w:rPr>
        <w:lastRenderedPageBreak/>
        <w:t>1. Méthodologie &amp; Statistiques</w:t>
      </w:r>
    </w:p>
    <w:p w14:paraId="14D2AB49" w14:textId="77777777" w:rsidR="007865F3" w:rsidRPr="007865F3" w:rsidRDefault="007865F3" w:rsidP="007865F3">
      <w:pPr>
        <w:spacing w:after="0" w:line="240" w:lineRule="auto"/>
        <w:rPr>
          <w:rFonts w:ascii="Aptos" w:eastAsia="Times New Roman" w:hAnsi="Aptos" w:cs="Arial"/>
          <w:color w:val="1F1F1F"/>
          <w:kern w:val="0"/>
          <w:lang w:eastAsia="en-GB"/>
          <w14:ligatures w14:val="none"/>
        </w:rPr>
      </w:pPr>
      <w:r w:rsidRPr="007865F3">
        <w:rPr>
          <w:rFonts w:ascii="Aptos" w:eastAsia="Times New Roman" w:hAnsi="Aptos" w:cs="Arial"/>
          <w:b/>
          <w:bCs/>
          <w:color w:val="1F1F1F"/>
          <w:kern w:val="0"/>
          <w:bdr w:val="none" w:sz="0" w:space="0" w:color="auto" w:frame="1"/>
          <w:lang w:eastAsia="en-GB"/>
          <w14:ligatures w14:val="none"/>
        </w:rPr>
        <w:t>Q : Pourquoi les auteurs ont-ils choisi l'analyse "Per-Protocol" (PP) comme analyse principale, alors que le standard est généralement l'intention de traiter (ITT) ?</w:t>
      </w:r>
    </w:p>
    <w:p w14:paraId="7101D833" w14:textId="77777777" w:rsidR="007865F3" w:rsidRPr="007865F3" w:rsidRDefault="007865F3" w:rsidP="007865F3">
      <w:pPr>
        <w:numPr>
          <w:ilvl w:val="0"/>
          <w:numId w:val="71"/>
        </w:numPr>
        <w:spacing w:after="0" w:line="240" w:lineRule="auto"/>
        <w:rPr>
          <w:rFonts w:ascii="Aptos" w:eastAsia="Times New Roman" w:hAnsi="Aptos" w:cs="Arial"/>
          <w:color w:val="1F1F1F"/>
          <w:kern w:val="0"/>
          <w:lang w:eastAsia="en-GB"/>
          <w14:ligatures w14:val="none"/>
        </w:rPr>
      </w:pPr>
      <w:r w:rsidRPr="007865F3">
        <w:rPr>
          <w:rFonts w:ascii="Aptos" w:eastAsia="Times New Roman" w:hAnsi="Aptos" w:cs="Arial"/>
          <w:b/>
          <w:bCs/>
          <w:color w:val="1F1F1F"/>
          <w:kern w:val="0"/>
          <w:bdr w:val="none" w:sz="0" w:space="0" w:color="auto" w:frame="1"/>
          <w:lang w:eastAsia="en-GB"/>
          <w14:ligatures w14:val="none"/>
        </w:rPr>
        <w:t>Réponse :</w:t>
      </w:r>
      <w:r w:rsidRPr="007865F3">
        <w:rPr>
          <w:rFonts w:ascii="Aptos" w:eastAsia="Times New Roman" w:hAnsi="Aptos" w:cs="Arial"/>
          <w:color w:val="1F1F1F"/>
          <w:kern w:val="0"/>
          <w:lang w:eastAsia="en-GB"/>
          <w14:ligatures w14:val="none"/>
        </w:rPr>
        <w:t xml:space="preserve"> C'est un choix fréquent en </w:t>
      </w:r>
      <w:r w:rsidRPr="007865F3">
        <w:rPr>
          <w:rFonts w:ascii="Aptos" w:eastAsia="Times New Roman" w:hAnsi="Aptos" w:cs="Arial"/>
          <w:b/>
          <w:bCs/>
          <w:color w:val="1F1F1F"/>
          <w:kern w:val="0"/>
          <w:bdr w:val="none" w:sz="0" w:space="0" w:color="auto" w:frame="1"/>
          <w:lang w:eastAsia="en-GB"/>
          <w14:ligatures w14:val="none"/>
        </w:rPr>
        <w:t>Phase 2</w:t>
      </w:r>
      <w:r w:rsidRPr="007865F3">
        <w:rPr>
          <w:rFonts w:ascii="Aptos" w:eastAsia="Times New Roman" w:hAnsi="Aptos" w:cs="Arial"/>
          <w:color w:val="1F1F1F"/>
          <w:kern w:val="0"/>
          <w:lang w:eastAsia="en-GB"/>
          <w14:ligatures w14:val="none"/>
        </w:rPr>
        <w:t>, mais qui mérite discussion.</w:t>
      </w:r>
    </w:p>
    <w:p w14:paraId="6ECFFDB5" w14:textId="5DC210B0" w:rsidR="007865F3" w:rsidRPr="007865F3" w:rsidRDefault="007865F3" w:rsidP="007865F3">
      <w:pPr>
        <w:numPr>
          <w:ilvl w:val="0"/>
          <w:numId w:val="71"/>
        </w:numPr>
        <w:spacing w:after="0" w:line="240" w:lineRule="auto"/>
        <w:rPr>
          <w:rFonts w:ascii="Aptos" w:eastAsia="Times New Roman" w:hAnsi="Aptos" w:cs="Arial"/>
          <w:color w:val="1F1F1F"/>
          <w:kern w:val="0"/>
          <w:lang w:eastAsia="en-GB"/>
          <w14:ligatures w14:val="none"/>
        </w:rPr>
      </w:pPr>
      <w:r>
        <w:rPr>
          <w:rFonts w:ascii="Aptos" w:eastAsia="Times New Roman" w:hAnsi="Aptos" w:cs="Arial"/>
          <w:color w:val="1F1F1F"/>
          <w:kern w:val="0"/>
          <w:bdr w:val="none" w:sz="0" w:space="0" w:color="auto" w:frame="1"/>
          <w:lang w:eastAsia="en-GB"/>
          <w14:ligatures w14:val="none"/>
        </w:rPr>
        <w:t xml:space="preserve">Objectif phase 2 : </w:t>
      </w:r>
      <w:r w:rsidRPr="007865F3">
        <w:rPr>
          <w:rFonts w:ascii="Aptos" w:eastAsia="Times New Roman" w:hAnsi="Aptos" w:cs="Arial"/>
          <w:color w:val="1F1F1F"/>
          <w:kern w:val="0"/>
          <w:bdr w:val="none" w:sz="0" w:space="0" w:color="auto" w:frame="1"/>
          <w:lang w:eastAsia="en-GB"/>
          <w14:ligatures w14:val="none"/>
        </w:rPr>
        <w:t>"Preuve de Concept" (Proof of Concept) : on veut savoir si la molécule fonctionne physiologiquement chez les patients qui la prennent réellement</w:t>
      </w:r>
    </w:p>
    <w:p w14:paraId="3C44F939" w14:textId="77777777" w:rsidR="007865F3" w:rsidRPr="007865F3" w:rsidRDefault="007865F3" w:rsidP="007865F3">
      <w:pPr>
        <w:numPr>
          <w:ilvl w:val="0"/>
          <w:numId w:val="71"/>
        </w:numPr>
        <w:spacing w:after="120" w:line="240" w:lineRule="auto"/>
        <w:rPr>
          <w:rFonts w:ascii="Aptos" w:eastAsia="Times New Roman" w:hAnsi="Aptos" w:cs="Arial"/>
          <w:color w:val="1F1F1F"/>
          <w:kern w:val="0"/>
          <w:lang w:eastAsia="en-GB"/>
          <w14:ligatures w14:val="none"/>
        </w:rPr>
      </w:pPr>
      <w:r w:rsidRPr="007865F3">
        <w:rPr>
          <w:rFonts w:ascii="Aptos" w:eastAsia="Times New Roman" w:hAnsi="Aptos" w:cs="Arial"/>
          <w:color w:val="1F1F1F"/>
          <w:kern w:val="0"/>
          <w:lang w:eastAsia="en-GB"/>
          <w14:ligatures w14:val="none"/>
        </w:rPr>
        <w:t>L'ITT (Intention de Traiter) teste l'efficacité en conditions réelles (stratégie thérapeutique), incluant les arrêts de traitement.</w:t>
      </w:r>
    </w:p>
    <w:p w14:paraId="3D19CBE9" w14:textId="77777777" w:rsidR="007865F3" w:rsidRPr="007865F3" w:rsidRDefault="007865F3" w:rsidP="007865F3">
      <w:pPr>
        <w:numPr>
          <w:ilvl w:val="0"/>
          <w:numId w:val="71"/>
        </w:numPr>
        <w:spacing w:after="0" w:line="240" w:lineRule="auto"/>
        <w:rPr>
          <w:rFonts w:ascii="Aptos" w:eastAsia="Times New Roman" w:hAnsi="Aptos" w:cs="Arial"/>
          <w:color w:val="1F1F1F"/>
          <w:kern w:val="0"/>
          <w:lang w:eastAsia="en-GB"/>
          <w14:ligatures w14:val="none"/>
        </w:rPr>
      </w:pPr>
      <w:r w:rsidRPr="007865F3">
        <w:rPr>
          <w:rFonts w:ascii="Aptos" w:eastAsia="Times New Roman" w:hAnsi="Aptos" w:cs="Arial"/>
          <w:color w:val="1F1F1F"/>
          <w:kern w:val="0"/>
          <w:bdr w:val="none" w:sz="0" w:space="0" w:color="auto" w:frame="1"/>
          <w:lang w:eastAsia="en-GB"/>
          <w14:ligatures w14:val="none"/>
        </w:rPr>
        <w:t>Dans cet essai, comme il y a eu beaucoup d'exclusions du set Per-Protocol (23%)</w:t>
      </w:r>
      <w:r w:rsidRPr="007865F3">
        <w:rPr>
          <w:rFonts w:ascii="Aptos" w:eastAsia="Times New Roman" w:hAnsi="Aptos" w:cs="Arial"/>
          <w:color w:val="444746"/>
          <w:kern w:val="0"/>
          <w:bdr w:val="none" w:sz="0" w:space="0" w:color="auto" w:frame="1"/>
          <w:vertAlign w:val="superscript"/>
          <w:lang w:eastAsia="en-GB"/>
          <w14:ligatures w14:val="none"/>
        </w:rPr>
        <w:t>2</w:t>
      </w:r>
      <w:r w:rsidRPr="007865F3">
        <w:rPr>
          <w:rFonts w:ascii="Aptos" w:eastAsia="Times New Roman" w:hAnsi="Aptos" w:cs="Arial"/>
          <w:color w:val="1F1F1F"/>
          <w:kern w:val="0"/>
          <w:bdr w:val="none" w:sz="0" w:space="0" w:color="auto" w:frame="1"/>
          <w:lang w:eastAsia="en-GB"/>
          <w14:ligatures w14:val="none"/>
        </w:rPr>
        <w:t>, l'ITT aurait pu diluer l'effet biologique pur du médicament.</w:t>
      </w:r>
    </w:p>
    <w:p w14:paraId="21B07912" w14:textId="77777777" w:rsidR="007865F3" w:rsidRPr="007865F3" w:rsidRDefault="007865F3" w:rsidP="007865F3">
      <w:pPr>
        <w:numPr>
          <w:ilvl w:val="0"/>
          <w:numId w:val="71"/>
        </w:numPr>
        <w:spacing w:after="0" w:line="240" w:lineRule="auto"/>
        <w:rPr>
          <w:rFonts w:ascii="Aptos" w:eastAsia="Times New Roman" w:hAnsi="Aptos" w:cs="Arial"/>
          <w:color w:val="1F1F1F"/>
          <w:kern w:val="0"/>
          <w:lang w:eastAsia="en-GB"/>
          <w14:ligatures w14:val="none"/>
        </w:rPr>
      </w:pPr>
      <w:r w:rsidRPr="007865F3">
        <w:rPr>
          <w:rFonts w:ascii="Aptos" w:eastAsia="Times New Roman" w:hAnsi="Aptos" w:cs="Arial"/>
          <w:i/>
          <w:iCs/>
          <w:color w:val="1F1F1F"/>
          <w:kern w:val="0"/>
          <w:bdr w:val="none" w:sz="0" w:space="0" w:color="auto" w:frame="1"/>
          <w:lang w:eastAsia="en-GB"/>
          <w14:ligatures w14:val="none"/>
        </w:rPr>
        <w:t>Le point fort à souligner :</w:t>
      </w:r>
      <w:r w:rsidRPr="007865F3">
        <w:rPr>
          <w:rFonts w:ascii="Aptos" w:eastAsia="Times New Roman" w:hAnsi="Aptos" w:cs="Arial"/>
          <w:color w:val="1F1F1F"/>
          <w:kern w:val="0"/>
          <w:bdr w:val="none" w:sz="0" w:space="0" w:color="auto" w:frame="1"/>
          <w:lang w:eastAsia="en-GB"/>
          <w14:ligatures w14:val="none"/>
        </w:rPr>
        <w:t xml:space="preserve"> Les auteurs ont quand même réalisé une analyse </w:t>
      </w:r>
      <w:r w:rsidRPr="007865F3">
        <w:rPr>
          <w:rFonts w:ascii="Aptos" w:eastAsia="Times New Roman" w:hAnsi="Aptos" w:cs="Arial"/>
          <w:i/>
          <w:iCs/>
          <w:color w:val="1F1F1F"/>
          <w:kern w:val="0"/>
          <w:bdr w:val="none" w:sz="0" w:space="0" w:color="auto" w:frame="1"/>
          <w:lang w:eastAsia="en-GB"/>
          <w14:ligatures w14:val="none"/>
        </w:rPr>
        <w:t>post-hoc</w:t>
      </w:r>
      <w:r w:rsidRPr="007865F3">
        <w:rPr>
          <w:rFonts w:ascii="Aptos" w:eastAsia="Times New Roman" w:hAnsi="Aptos" w:cs="Arial"/>
          <w:color w:val="1F1F1F"/>
          <w:kern w:val="0"/>
          <w:bdr w:val="none" w:sz="0" w:space="0" w:color="auto" w:frame="1"/>
          <w:lang w:eastAsia="en-GB"/>
          <w14:ligatures w14:val="none"/>
        </w:rPr>
        <w:t xml:space="preserve"> en ITT qui confirme les résultats sur le critère principal, ce qui rassure sur la robustesse des données</w:t>
      </w:r>
      <w:r w:rsidRPr="007865F3">
        <w:rPr>
          <w:rFonts w:ascii="Aptos" w:eastAsia="Times New Roman" w:hAnsi="Aptos" w:cs="Arial"/>
          <w:color w:val="444746"/>
          <w:kern w:val="0"/>
          <w:bdr w:val="none" w:sz="0" w:space="0" w:color="auto" w:frame="1"/>
          <w:vertAlign w:val="superscript"/>
          <w:lang w:eastAsia="en-GB"/>
          <w14:ligatures w14:val="none"/>
        </w:rPr>
        <w:t>3</w:t>
      </w:r>
      <w:r w:rsidRPr="007865F3">
        <w:rPr>
          <w:rFonts w:ascii="Aptos" w:eastAsia="Times New Roman" w:hAnsi="Aptos" w:cs="Arial"/>
          <w:color w:val="1F1F1F"/>
          <w:kern w:val="0"/>
          <w:bdr w:val="none" w:sz="0" w:space="0" w:color="auto" w:frame="1"/>
          <w:lang w:eastAsia="en-GB"/>
          <w14:ligatures w14:val="none"/>
        </w:rPr>
        <w:t>.</w:t>
      </w:r>
    </w:p>
    <w:p w14:paraId="0A216FB3" w14:textId="77777777" w:rsidR="007865F3" w:rsidRPr="007865F3" w:rsidRDefault="007865F3" w:rsidP="007865F3">
      <w:pPr>
        <w:spacing w:after="0" w:line="240" w:lineRule="auto"/>
        <w:rPr>
          <w:rFonts w:ascii="Aptos" w:eastAsia="Times New Roman" w:hAnsi="Aptos" w:cs="Arial"/>
          <w:color w:val="1F1F1F"/>
          <w:kern w:val="0"/>
          <w:lang w:eastAsia="en-GB"/>
          <w14:ligatures w14:val="none"/>
        </w:rPr>
      </w:pPr>
      <w:r w:rsidRPr="007865F3">
        <w:rPr>
          <w:rFonts w:ascii="Aptos" w:eastAsia="Times New Roman" w:hAnsi="Aptos" w:cs="Arial"/>
          <w:b/>
          <w:bCs/>
          <w:color w:val="1F1F1F"/>
          <w:kern w:val="0"/>
          <w:bdr w:val="none" w:sz="0" w:space="0" w:color="auto" w:frame="1"/>
          <w:lang w:eastAsia="en-GB"/>
          <w14:ligatures w14:val="none"/>
        </w:rPr>
        <w:t>Q : Pouvez-vous expliquer la méthode d'imputation "Jump to Reference" (J2R) utilisée pour les données manquantes ? Est-elle conservatrice ?</w:t>
      </w:r>
    </w:p>
    <w:p w14:paraId="3FC6D66E" w14:textId="623284F7" w:rsidR="007865F3" w:rsidRPr="007865F3" w:rsidRDefault="007865F3" w:rsidP="007865F3">
      <w:pPr>
        <w:numPr>
          <w:ilvl w:val="0"/>
          <w:numId w:val="72"/>
        </w:numPr>
        <w:spacing w:after="0" w:line="240" w:lineRule="auto"/>
        <w:rPr>
          <w:rFonts w:ascii="Aptos" w:eastAsia="Times New Roman" w:hAnsi="Aptos" w:cs="Arial"/>
          <w:b/>
          <w:bCs/>
          <w:color w:val="1F1F1F"/>
          <w:kern w:val="0"/>
          <w:lang w:eastAsia="en-GB"/>
          <w14:ligatures w14:val="none"/>
        </w:rPr>
      </w:pPr>
      <w:r w:rsidRPr="007865F3">
        <w:rPr>
          <w:rFonts w:ascii="Aptos" w:eastAsia="Times New Roman" w:hAnsi="Aptos" w:cs="Arial"/>
          <w:b/>
          <w:bCs/>
          <w:color w:val="1F1F1F"/>
          <w:kern w:val="0"/>
          <w:bdr w:val="none" w:sz="0" w:space="0" w:color="auto" w:frame="1"/>
          <w:lang w:eastAsia="en-GB"/>
          <w14:ligatures w14:val="none"/>
        </w:rPr>
        <w:t>C’est</w:t>
      </w:r>
      <w:r w:rsidRPr="007865F3">
        <w:rPr>
          <w:rFonts w:ascii="Aptos" w:eastAsia="Times New Roman" w:hAnsi="Aptos" w:cs="Arial"/>
          <w:b/>
          <w:bCs/>
          <w:color w:val="1F1F1F"/>
          <w:kern w:val="0"/>
          <w:lang w:eastAsia="en-GB"/>
          <w14:ligatures w14:val="none"/>
        </w:rPr>
        <w:t xml:space="preserve"> une méthode très conservatrice (solide).</w:t>
      </w:r>
    </w:p>
    <w:p w14:paraId="4A1D20D6" w14:textId="77777777" w:rsidR="007865F3" w:rsidRPr="007865F3" w:rsidRDefault="007865F3" w:rsidP="007865F3">
      <w:pPr>
        <w:numPr>
          <w:ilvl w:val="0"/>
          <w:numId w:val="72"/>
        </w:numPr>
        <w:spacing w:after="0" w:line="240" w:lineRule="auto"/>
        <w:rPr>
          <w:rFonts w:ascii="Aptos" w:eastAsia="Times New Roman" w:hAnsi="Aptos" w:cs="Arial"/>
          <w:color w:val="1F1F1F"/>
          <w:kern w:val="0"/>
          <w:lang w:eastAsia="en-GB"/>
          <w14:ligatures w14:val="none"/>
        </w:rPr>
      </w:pPr>
      <w:r w:rsidRPr="007865F3">
        <w:rPr>
          <w:rFonts w:ascii="Aptos" w:eastAsia="Times New Roman" w:hAnsi="Aptos" w:cs="Arial"/>
          <w:color w:val="1F1F1F"/>
          <w:kern w:val="0"/>
          <w:bdr w:val="none" w:sz="0" w:space="0" w:color="auto" w:frame="1"/>
          <w:lang w:eastAsia="en-GB"/>
          <w14:ligatures w14:val="none"/>
        </w:rPr>
        <w:t>La méthode J2R remplace les données manquantes d'un patient du groupe traité en supposant qu'après l'arrêt, ses résultats suivraient la même trajectoire que ceux du groupe placebo</w:t>
      </w:r>
      <w:r w:rsidRPr="007865F3">
        <w:rPr>
          <w:rFonts w:ascii="Aptos" w:eastAsia="Times New Roman" w:hAnsi="Aptos" w:cs="Arial"/>
          <w:color w:val="444746"/>
          <w:kern w:val="0"/>
          <w:bdr w:val="none" w:sz="0" w:space="0" w:color="auto" w:frame="1"/>
          <w:vertAlign w:val="superscript"/>
          <w:lang w:eastAsia="en-GB"/>
          <w14:ligatures w14:val="none"/>
        </w:rPr>
        <w:t>4</w:t>
      </w:r>
      <w:r w:rsidRPr="007865F3">
        <w:rPr>
          <w:rFonts w:ascii="Aptos" w:eastAsia="Times New Roman" w:hAnsi="Aptos" w:cs="Arial"/>
          <w:color w:val="1F1F1F"/>
          <w:kern w:val="0"/>
          <w:bdr w:val="none" w:sz="0" w:space="0" w:color="auto" w:frame="1"/>
          <w:lang w:eastAsia="en-GB"/>
          <w14:ligatures w14:val="none"/>
        </w:rPr>
        <w:t>.</w:t>
      </w:r>
    </w:p>
    <w:p w14:paraId="5A819AA4" w14:textId="77777777" w:rsidR="007865F3" w:rsidRPr="007865F3" w:rsidRDefault="007865F3" w:rsidP="007865F3">
      <w:pPr>
        <w:numPr>
          <w:ilvl w:val="0"/>
          <w:numId w:val="72"/>
        </w:numPr>
        <w:spacing w:after="120" w:line="240" w:lineRule="auto"/>
        <w:rPr>
          <w:rFonts w:ascii="Aptos" w:eastAsia="Times New Roman" w:hAnsi="Aptos" w:cs="Arial"/>
          <w:color w:val="1F1F1F"/>
          <w:kern w:val="0"/>
          <w:lang w:eastAsia="en-GB"/>
          <w14:ligatures w14:val="none"/>
        </w:rPr>
      </w:pPr>
      <w:r w:rsidRPr="007865F3">
        <w:rPr>
          <w:rFonts w:ascii="Aptos" w:eastAsia="Times New Roman" w:hAnsi="Aptos" w:cs="Arial"/>
          <w:color w:val="1F1F1F"/>
          <w:kern w:val="0"/>
          <w:lang w:eastAsia="en-GB"/>
          <w14:ligatures w14:val="none"/>
        </w:rPr>
        <w:t>Contrairement à une imputation simple (comme "Last Observation Carried Forward") qui pourrait surestimer l'efficacité si le patient allait mieux juste avant d'arrêter, la J2R "pénalise" le traitement en considérant que l'effet bénéfique disparaît à l'arrêt.</w:t>
      </w:r>
    </w:p>
    <w:p w14:paraId="39166ACF" w14:textId="77777777" w:rsidR="007865F3" w:rsidRPr="007865F3" w:rsidRDefault="007865F3" w:rsidP="007865F3">
      <w:pPr>
        <w:numPr>
          <w:ilvl w:val="0"/>
          <w:numId w:val="72"/>
        </w:numPr>
        <w:spacing w:after="0" w:line="240" w:lineRule="auto"/>
        <w:rPr>
          <w:rFonts w:ascii="Aptos" w:eastAsia="Times New Roman" w:hAnsi="Aptos" w:cs="Arial"/>
          <w:color w:val="1F1F1F"/>
          <w:kern w:val="0"/>
          <w:lang w:eastAsia="en-GB"/>
          <w14:ligatures w14:val="none"/>
        </w:rPr>
      </w:pPr>
      <w:r w:rsidRPr="007865F3">
        <w:rPr>
          <w:rFonts w:ascii="Aptos" w:eastAsia="Times New Roman" w:hAnsi="Aptos" w:cs="Arial"/>
          <w:color w:val="1F1F1F"/>
          <w:kern w:val="0"/>
          <w:bdr w:val="none" w:sz="0" w:space="0" w:color="auto" w:frame="1"/>
          <w:lang w:eastAsia="en-GB"/>
          <w14:ligatures w14:val="none"/>
        </w:rPr>
        <w:t>Le fait que les résultats restent significatifs avec cette méthode renforce la crédibilité de l'efficacité</w:t>
      </w:r>
      <w:r w:rsidRPr="007865F3">
        <w:rPr>
          <w:rFonts w:ascii="Aptos" w:eastAsia="Times New Roman" w:hAnsi="Aptos" w:cs="Arial"/>
          <w:color w:val="444746"/>
          <w:kern w:val="0"/>
          <w:bdr w:val="none" w:sz="0" w:space="0" w:color="auto" w:frame="1"/>
          <w:vertAlign w:val="superscript"/>
          <w:lang w:eastAsia="en-GB"/>
          <w14:ligatures w14:val="none"/>
        </w:rPr>
        <w:t>5</w:t>
      </w:r>
      <w:r w:rsidRPr="007865F3">
        <w:rPr>
          <w:rFonts w:ascii="Aptos" w:eastAsia="Times New Roman" w:hAnsi="Aptos" w:cs="Arial"/>
          <w:color w:val="1F1F1F"/>
          <w:kern w:val="0"/>
          <w:bdr w:val="none" w:sz="0" w:space="0" w:color="auto" w:frame="1"/>
          <w:lang w:eastAsia="en-GB"/>
          <w14:ligatures w14:val="none"/>
        </w:rPr>
        <w:t>.</w:t>
      </w:r>
    </w:p>
    <w:p w14:paraId="2C0C49E3" w14:textId="77777777" w:rsidR="007865F3" w:rsidRPr="007865F3" w:rsidRDefault="007865F3" w:rsidP="007865F3">
      <w:pPr>
        <w:spacing w:after="0" w:line="240" w:lineRule="auto"/>
        <w:rPr>
          <w:rFonts w:ascii="Aptos" w:eastAsia="Times New Roman" w:hAnsi="Aptos" w:cs="Arial"/>
          <w:color w:val="1F1F1F"/>
          <w:kern w:val="0"/>
          <w:lang w:eastAsia="en-GB"/>
          <w14:ligatures w14:val="none"/>
        </w:rPr>
      </w:pPr>
      <w:r w:rsidRPr="007865F3">
        <w:rPr>
          <w:rFonts w:ascii="Aptos" w:eastAsia="Times New Roman" w:hAnsi="Aptos" w:cs="Arial"/>
          <w:b/>
          <w:bCs/>
          <w:color w:val="1F1F1F"/>
          <w:kern w:val="0"/>
          <w:bdr w:val="none" w:sz="0" w:space="0" w:color="auto" w:frame="1"/>
          <w:lang w:eastAsia="en-GB"/>
          <w14:ligatures w14:val="none"/>
        </w:rPr>
        <w:t>Q : Que pensez-vous du design adaptatif en deux parties ? Cela introduit-il des biais ?</w:t>
      </w:r>
    </w:p>
    <w:p w14:paraId="6E7B5644" w14:textId="77777777" w:rsidR="007865F3" w:rsidRPr="007865F3" w:rsidRDefault="007865F3" w:rsidP="007865F3">
      <w:pPr>
        <w:numPr>
          <w:ilvl w:val="0"/>
          <w:numId w:val="73"/>
        </w:numPr>
        <w:spacing w:after="0" w:line="240" w:lineRule="auto"/>
        <w:rPr>
          <w:rFonts w:ascii="Aptos" w:eastAsia="Times New Roman" w:hAnsi="Aptos" w:cs="Arial"/>
          <w:color w:val="1F1F1F"/>
          <w:kern w:val="0"/>
          <w:lang w:eastAsia="en-GB"/>
          <w14:ligatures w14:val="none"/>
        </w:rPr>
      </w:pPr>
      <w:r w:rsidRPr="007865F3">
        <w:rPr>
          <w:rFonts w:ascii="Aptos" w:eastAsia="Times New Roman" w:hAnsi="Aptos" w:cs="Arial"/>
          <w:b/>
          <w:bCs/>
          <w:color w:val="1F1F1F"/>
          <w:kern w:val="0"/>
          <w:bdr w:val="none" w:sz="0" w:space="0" w:color="auto" w:frame="1"/>
          <w:lang w:eastAsia="en-GB"/>
          <w14:ligatures w14:val="none"/>
        </w:rPr>
        <w:t>Réponse :</w:t>
      </w:r>
      <w:r w:rsidRPr="007865F3">
        <w:rPr>
          <w:rFonts w:ascii="Aptos" w:eastAsia="Times New Roman" w:hAnsi="Aptos" w:cs="Arial"/>
          <w:color w:val="1F1F1F"/>
          <w:kern w:val="0"/>
          <w:lang w:eastAsia="en-GB"/>
          <w14:ligatures w14:val="none"/>
        </w:rPr>
        <w:t xml:space="preserve"> C'est un design complexe mais astucieux pour une phase 2.</w:t>
      </w:r>
    </w:p>
    <w:p w14:paraId="0CA94F84" w14:textId="77777777" w:rsidR="007865F3" w:rsidRPr="007865F3" w:rsidRDefault="007865F3" w:rsidP="007865F3">
      <w:pPr>
        <w:numPr>
          <w:ilvl w:val="0"/>
          <w:numId w:val="73"/>
        </w:numPr>
        <w:spacing w:after="0" w:line="240" w:lineRule="auto"/>
        <w:rPr>
          <w:rFonts w:ascii="Aptos" w:eastAsia="Times New Roman" w:hAnsi="Aptos" w:cs="Arial"/>
          <w:color w:val="1F1F1F"/>
          <w:kern w:val="0"/>
          <w:lang w:eastAsia="en-GB"/>
          <w14:ligatures w14:val="none"/>
        </w:rPr>
      </w:pPr>
      <w:r w:rsidRPr="007865F3">
        <w:rPr>
          <w:rFonts w:ascii="Aptos" w:eastAsia="Times New Roman" w:hAnsi="Aptos" w:cs="Arial"/>
          <w:i/>
          <w:iCs/>
          <w:color w:val="1F1F1F"/>
          <w:kern w:val="0"/>
          <w:bdr w:val="none" w:sz="0" w:space="0" w:color="auto" w:frame="1"/>
          <w:lang w:eastAsia="en-GB"/>
          <w14:ligatures w14:val="none"/>
        </w:rPr>
        <w:t>Principe :</w:t>
      </w:r>
      <w:r w:rsidRPr="007865F3">
        <w:rPr>
          <w:rFonts w:ascii="Aptos" w:eastAsia="Times New Roman" w:hAnsi="Aptos" w:cs="Arial"/>
          <w:color w:val="1F1F1F"/>
          <w:kern w:val="0"/>
          <w:lang w:eastAsia="en-GB"/>
          <w14:ligatures w14:val="none"/>
        </w:rPr>
        <w:t xml:space="preserve"> La partie 1 servait à sélectionner les doses efficaces (élimination de la dose 60mg). La partie 2 a permis de "gonfler" les effectifs des groupes prometteurs (90 et 120 mg) .</w:t>
      </w:r>
    </w:p>
    <w:p w14:paraId="565C2224" w14:textId="77777777" w:rsidR="007865F3" w:rsidRPr="007865F3" w:rsidRDefault="007865F3" w:rsidP="007865F3">
      <w:pPr>
        <w:numPr>
          <w:ilvl w:val="0"/>
          <w:numId w:val="73"/>
        </w:numPr>
        <w:spacing w:after="0" w:line="240" w:lineRule="auto"/>
        <w:rPr>
          <w:rFonts w:ascii="Aptos" w:eastAsia="Times New Roman" w:hAnsi="Aptos" w:cs="Arial"/>
          <w:color w:val="1F1F1F"/>
          <w:kern w:val="0"/>
          <w:lang w:eastAsia="en-GB"/>
          <w14:ligatures w14:val="none"/>
        </w:rPr>
      </w:pPr>
      <w:r w:rsidRPr="007865F3">
        <w:rPr>
          <w:rFonts w:ascii="Aptos" w:eastAsia="Times New Roman" w:hAnsi="Aptos" w:cs="Arial"/>
          <w:i/>
          <w:iCs/>
          <w:color w:val="1F1F1F"/>
          <w:kern w:val="0"/>
          <w:bdr w:val="none" w:sz="0" w:space="0" w:color="auto" w:frame="1"/>
          <w:lang w:eastAsia="en-GB"/>
          <w14:ligatures w14:val="none"/>
        </w:rPr>
        <w:t>Risque de biais :</w:t>
      </w:r>
      <w:r w:rsidRPr="007865F3">
        <w:rPr>
          <w:rFonts w:ascii="Aptos" w:eastAsia="Times New Roman" w:hAnsi="Aptos" w:cs="Arial"/>
          <w:color w:val="1F1F1F"/>
          <w:kern w:val="0"/>
          <w:lang w:eastAsia="en-GB"/>
          <w14:ligatures w14:val="none"/>
        </w:rPr>
        <w:t xml:space="preserve"> Le risque principal est un "effet cohorte" (les patients de la partie 2 pourraient être différents de ceux de la partie 1).</w:t>
      </w:r>
    </w:p>
    <w:p w14:paraId="279698D8" w14:textId="77777777" w:rsidR="007865F3" w:rsidRPr="007865F3" w:rsidRDefault="007865F3" w:rsidP="007865F3">
      <w:pPr>
        <w:numPr>
          <w:ilvl w:val="0"/>
          <w:numId w:val="73"/>
        </w:numPr>
        <w:spacing w:after="0" w:line="240" w:lineRule="auto"/>
        <w:rPr>
          <w:rFonts w:ascii="Aptos" w:eastAsia="Times New Roman" w:hAnsi="Aptos" w:cs="Arial"/>
          <w:color w:val="1F1F1F"/>
          <w:kern w:val="0"/>
          <w:lang w:eastAsia="en-GB"/>
          <w14:ligatures w14:val="none"/>
        </w:rPr>
      </w:pPr>
      <w:r w:rsidRPr="007865F3">
        <w:rPr>
          <w:rFonts w:ascii="Aptos" w:eastAsia="Times New Roman" w:hAnsi="Aptos" w:cs="Arial"/>
          <w:i/>
          <w:iCs/>
          <w:color w:val="1F1F1F"/>
          <w:kern w:val="0"/>
          <w:bdr w:val="none" w:sz="0" w:space="0" w:color="auto" w:frame="1"/>
          <w:lang w:eastAsia="en-GB"/>
          <w14:ligatures w14:val="none"/>
        </w:rPr>
        <w:t>Contrôle :</w:t>
      </w:r>
      <w:r w:rsidRPr="007865F3">
        <w:rPr>
          <w:rFonts w:ascii="Aptos" w:eastAsia="Times New Roman" w:hAnsi="Aptos" w:cs="Arial"/>
          <w:color w:val="1F1F1F"/>
          <w:kern w:val="0"/>
          <w:bdr w:val="none" w:sz="0" w:space="0" w:color="auto" w:frame="1"/>
          <w:lang w:eastAsia="en-GB"/>
          <w14:ligatures w14:val="none"/>
        </w:rPr>
        <w:t xml:space="preserve"> Les auteurs ont poolé (regroupé) les données placebo des deux parties pour l'analyse, et les caractéristiques de base semblaient similaires. Cela permet d'augmenter la puissance statistique sans relancer une étude complète</w:t>
      </w:r>
      <w:r w:rsidRPr="007865F3">
        <w:rPr>
          <w:rFonts w:ascii="Aptos" w:eastAsia="Times New Roman" w:hAnsi="Aptos" w:cs="Arial"/>
          <w:color w:val="444746"/>
          <w:kern w:val="0"/>
          <w:bdr w:val="none" w:sz="0" w:space="0" w:color="auto" w:frame="1"/>
          <w:vertAlign w:val="superscript"/>
          <w:lang w:eastAsia="en-GB"/>
          <w14:ligatures w14:val="none"/>
        </w:rPr>
        <w:t>6</w:t>
      </w:r>
      <w:r w:rsidRPr="007865F3">
        <w:rPr>
          <w:rFonts w:ascii="Aptos" w:eastAsia="Times New Roman" w:hAnsi="Aptos" w:cs="Arial"/>
          <w:color w:val="1F1F1F"/>
          <w:kern w:val="0"/>
          <w:bdr w:val="none" w:sz="0" w:space="0" w:color="auto" w:frame="1"/>
          <w:lang w:eastAsia="en-GB"/>
          <w14:ligatures w14:val="none"/>
        </w:rPr>
        <w:t>.</w:t>
      </w:r>
    </w:p>
    <w:p w14:paraId="5772612C" w14:textId="77777777" w:rsidR="007865F3" w:rsidRPr="007865F3" w:rsidRDefault="007865F3" w:rsidP="007865F3">
      <w:pPr>
        <w:spacing w:after="120" w:line="240" w:lineRule="auto"/>
        <w:outlineLvl w:val="2"/>
        <w:rPr>
          <w:rFonts w:ascii="Aptos" w:eastAsia="Times New Roman" w:hAnsi="Aptos" w:cs="Arial"/>
          <w:b/>
          <w:bCs/>
          <w:color w:val="1F1F1F"/>
          <w:kern w:val="0"/>
          <w:sz w:val="27"/>
          <w:szCs w:val="27"/>
          <w:lang w:eastAsia="en-GB"/>
          <w14:ligatures w14:val="none"/>
        </w:rPr>
      </w:pPr>
      <w:r w:rsidRPr="007865F3">
        <w:rPr>
          <w:rFonts w:ascii="Aptos" w:eastAsia="Times New Roman" w:hAnsi="Aptos" w:cs="Arial"/>
          <w:b/>
          <w:bCs/>
          <w:color w:val="1F1F1F"/>
          <w:kern w:val="0"/>
          <w:sz w:val="27"/>
          <w:szCs w:val="27"/>
          <w:lang w:eastAsia="en-GB"/>
          <w14:ligatures w14:val="none"/>
        </w:rPr>
        <w:t>2. Résultats &amp; Interprétation</w:t>
      </w:r>
    </w:p>
    <w:p w14:paraId="5A06B27E" w14:textId="77777777" w:rsidR="007865F3" w:rsidRPr="007865F3" w:rsidRDefault="007865F3" w:rsidP="007865F3">
      <w:pPr>
        <w:spacing w:after="0" w:line="240" w:lineRule="auto"/>
        <w:rPr>
          <w:rFonts w:ascii="Aptos" w:eastAsia="Times New Roman" w:hAnsi="Aptos" w:cs="Arial"/>
          <w:color w:val="1F1F1F"/>
          <w:kern w:val="0"/>
          <w:lang w:eastAsia="en-GB"/>
          <w14:ligatures w14:val="none"/>
        </w:rPr>
      </w:pPr>
      <w:r w:rsidRPr="007865F3">
        <w:rPr>
          <w:rFonts w:ascii="Aptos" w:eastAsia="Times New Roman" w:hAnsi="Aptos" w:cs="Arial"/>
          <w:b/>
          <w:bCs/>
          <w:color w:val="1F1F1F"/>
          <w:kern w:val="0"/>
          <w:bdr w:val="none" w:sz="0" w:space="0" w:color="auto" w:frame="1"/>
          <w:lang w:eastAsia="en-GB"/>
          <w14:ligatures w14:val="none"/>
        </w:rPr>
        <w:t>Q : On observe une amélioration de la stéatose hépatique (IRM-PDFF) significative dans le groupe placebo (jusqu'à -18% à J351). Comment l'expliquez-vous et est-ce un problème ?</w:t>
      </w:r>
    </w:p>
    <w:p w14:paraId="4DFA7FFD" w14:textId="77777777" w:rsidR="007865F3" w:rsidRPr="007865F3" w:rsidRDefault="007865F3" w:rsidP="007865F3">
      <w:pPr>
        <w:numPr>
          <w:ilvl w:val="0"/>
          <w:numId w:val="74"/>
        </w:numPr>
        <w:spacing w:after="0" w:line="240" w:lineRule="auto"/>
        <w:rPr>
          <w:rFonts w:ascii="Aptos" w:eastAsia="Times New Roman" w:hAnsi="Aptos" w:cs="Arial"/>
          <w:color w:val="1F1F1F"/>
          <w:kern w:val="0"/>
          <w:lang w:eastAsia="en-GB"/>
          <w14:ligatures w14:val="none"/>
        </w:rPr>
      </w:pPr>
      <w:r w:rsidRPr="007865F3">
        <w:rPr>
          <w:rFonts w:ascii="Aptos" w:eastAsia="Times New Roman" w:hAnsi="Aptos" w:cs="Arial"/>
          <w:b/>
          <w:bCs/>
          <w:color w:val="1F1F1F"/>
          <w:kern w:val="0"/>
          <w:bdr w:val="none" w:sz="0" w:space="0" w:color="auto" w:frame="1"/>
          <w:lang w:eastAsia="en-GB"/>
          <w14:ligatures w14:val="none"/>
        </w:rPr>
        <w:t>Réponse :</w:t>
      </w:r>
      <w:r w:rsidRPr="007865F3">
        <w:rPr>
          <w:rFonts w:ascii="Aptos" w:eastAsia="Times New Roman" w:hAnsi="Aptos" w:cs="Arial"/>
          <w:color w:val="1F1F1F"/>
          <w:kern w:val="0"/>
          <w:lang w:eastAsia="en-GB"/>
          <w14:ligatures w14:val="none"/>
        </w:rPr>
        <w:t xml:space="preserve"> C'est l'effet "Hawthorne" classique dans les essais MASH : le simple fait d'être suivi incite les patients à améliorer leur hygiène de vie.</w:t>
      </w:r>
    </w:p>
    <w:p w14:paraId="1E0CDC30" w14:textId="77777777" w:rsidR="007865F3" w:rsidRPr="007865F3" w:rsidRDefault="007865F3" w:rsidP="007865F3">
      <w:pPr>
        <w:numPr>
          <w:ilvl w:val="1"/>
          <w:numId w:val="74"/>
        </w:numPr>
        <w:spacing w:after="0" w:line="240" w:lineRule="auto"/>
        <w:rPr>
          <w:rFonts w:ascii="Aptos" w:eastAsia="Times New Roman" w:hAnsi="Aptos" w:cs="Arial"/>
          <w:color w:val="1F1F1F"/>
          <w:kern w:val="0"/>
          <w:lang w:eastAsia="en-GB"/>
          <w14:ligatures w14:val="none"/>
        </w:rPr>
      </w:pPr>
      <w:r w:rsidRPr="007865F3">
        <w:rPr>
          <w:rFonts w:ascii="Aptos" w:eastAsia="Times New Roman" w:hAnsi="Aptos" w:cs="Arial"/>
          <w:color w:val="1F1F1F"/>
          <w:kern w:val="0"/>
          <w:bdr w:val="none" w:sz="0" w:space="0" w:color="auto" w:frame="1"/>
          <w:lang w:eastAsia="en-GB"/>
          <w14:ligatures w14:val="none"/>
        </w:rPr>
        <w:lastRenderedPageBreak/>
        <w:t>Les auteurs notent que cette baisse dans le placebo est probablement liée à des changements diététiques ou de mode de vie non rapportés, ou une perte de poids (environ 20% des patients placebo ont perdu du poids)</w:t>
      </w:r>
      <w:r w:rsidRPr="007865F3">
        <w:rPr>
          <w:rFonts w:ascii="Aptos" w:eastAsia="Times New Roman" w:hAnsi="Aptos" w:cs="Arial"/>
          <w:color w:val="444746"/>
          <w:kern w:val="0"/>
          <w:bdr w:val="none" w:sz="0" w:space="0" w:color="auto" w:frame="1"/>
          <w:vertAlign w:val="superscript"/>
          <w:lang w:eastAsia="en-GB"/>
          <w14:ligatures w14:val="none"/>
        </w:rPr>
        <w:t>7777</w:t>
      </w:r>
      <w:r w:rsidRPr="007865F3">
        <w:rPr>
          <w:rFonts w:ascii="Aptos" w:eastAsia="Times New Roman" w:hAnsi="Aptos" w:cs="Arial"/>
          <w:color w:val="1F1F1F"/>
          <w:kern w:val="0"/>
          <w:bdr w:val="none" w:sz="0" w:space="0" w:color="auto" w:frame="1"/>
          <w:lang w:eastAsia="en-GB"/>
          <w14:ligatures w14:val="none"/>
        </w:rPr>
        <w:t>.</w:t>
      </w:r>
    </w:p>
    <w:p w14:paraId="6E67D7A7" w14:textId="77777777" w:rsidR="007865F3" w:rsidRPr="007865F3" w:rsidRDefault="007865F3" w:rsidP="007865F3">
      <w:pPr>
        <w:numPr>
          <w:ilvl w:val="1"/>
          <w:numId w:val="74"/>
        </w:numPr>
        <w:spacing w:after="0" w:line="240" w:lineRule="auto"/>
        <w:rPr>
          <w:rFonts w:ascii="Aptos" w:eastAsia="Times New Roman" w:hAnsi="Aptos" w:cs="Arial"/>
          <w:color w:val="1F1F1F"/>
          <w:kern w:val="0"/>
          <w:lang w:eastAsia="en-GB"/>
          <w14:ligatures w14:val="none"/>
        </w:rPr>
      </w:pPr>
      <w:r w:rsidRPr="007865F3">
        <w:rPr>
          <w:rFonts w:ascii="Aptos" w:eastAsia="Times New Roman" w:hAnsi="Aptos" w:cs="Arial"/>
          <w:i/>
          <w:iCs/>
          <w:color w:val="1F1F1F"/>
          <w:kern w:val="0"/>
          <w:bdr w:val="none" w:sz="0" w:space="0" w:color="auto" w:frame="1"/>
          <w:lang w:eastAsia="en-GB"/>
          <w14:ligatures w14:val="none"/>
        </w:rPr>
        <w:t>Pourquoi ce n'est pas un problème majeur :</w:t>
      </w:r>
      <w:r w:rsidRPr="007865F3">
        <w:rPr>
          <w:rFonts w:ascii="Aptos" w:eastAsia="Times New Roman" w:hAnsi="Aptos" w:cs="Arial"/>
          <w:color w:val="1F1F1F"/>
          <w:kern w:val="0"/>
          <w:bdr w:val="none" w:sz="0" w:space="0" w:color="auto" w:frame="1"/>
          <w:lang w:eastAsia="en-GB"/>
          <w14:ligatures w14:val="none"/>
        </w:rPr>
        <w:t xml:space="preserve"> Car la différence avec le groupe traité reste massive. Quand on regarde le seuil de réponse "difficile" (réduction de ≥50% de la graisse), seul 3% du placebo l'atteint contre 44% dans le groupe 120mg</w:t>
      </w:r>
      <w:r w:rsidRPr="007865F3">
        <w:rPr>
          <w:rFonts w:ascii="Aptos" w:eastAsia="Times New Roman" w:hAnsi="Aptos" w:cs="Arial"/>
          <w:color w:val="444746"/>
          <w:kern w:val="0"/>
          <w:bdr w:val="none" w:sz="0" w:space="0" w:color="auto" w:frame="1"/>
          <w:vertAlign w:val="superscript"/>
          <w:lang w:eastAsia="en-GB"/>
          <w14:ligatures w14:val="none"/>
        </w:rPr>
        <w:t>8</w:t>
      </w:r>
      <w:r w:rsidRPr="007865F3">
        <w:rPr>
          <w:rFonts w:ascii="Aptos" w:eastAsia="Times New Roman" w:hAnsi="Aptos" w:cs="Arial"/>
          <w:color w:val="1F1F1F"/>
          <w:kern w:val="0"/>
          <w:bdr w:val="none" w:sz="0" w:space="0" w:color="auto" w:frame="1"/>
          <w:lang w:eastAsia="en-GB"/>
          <w14:ligatures w14:val="none"/>
        </w:rPr>
        <w:t>. L'effet du médicament dépasse largement le bruit de fond.</w:t>
      </w:r>
    </w:p>
    <w:p w14:paraId="20C9270B" w14:textId="77777777" w:rsidR="007865F3" w:rsidRPr="007865F3" w:rsidRDefault="007865F3" w:rsidP="007865F3">
      <w:pPr>
        <w:spacing w:after="0" w:line="240" w:lineRule="auto"/>
        <w:rPr>
          <w:rFonts w:ascii="Aptos" w:eastAsia="Times New Roman" w:hAnsi="Aptos" w:cs="Arial"/>
          <w:color w:val="1F1F1F"/>
          <w:kern w:val="0"/>
          <w:lang w:eastAsia="en-GB"/>
          <w14:ligatures w14:val="none"/>
        </w:rPr>
      </w:pPr>
      <w:r w:rsidRPr="007865F3">
        <w:rPr>
          <w:rFonts w:ascii="Aptos" w:eastAsia="Times New Roman" w:hAnsi="Aptos" w:cs="Arial"/>
          <w:b/>
          <w:bCs/>
          <w:color w:val="1F1F1F"/>
          <w:kern w:val="0"/>
          <w:bdr w:val="none" w:sz="0" w:space="0" w:color="auto" w:frame="1"/>
          <w:lang w:eastAsia="en-GB"/>
          <w14:ligatures w14:val="none"/>
        </w:rPr>
        <w:t>Q : Concernant la fibrose, le groupe 120 mg n'est pas significatif en ITT (p=0.073) alors qu'il l'est en Per-Protocol. Faut-il conclure à un échec sur la fibrose ?</w:t>
      </w:r>
    </w:p>
    <w:p w14:paraId="5FEB90C2" w14:textId="77777777" w:rsidR="007865F3" w:rsidRPr="007865F3" w:rsidRDefault="007865F3" w:rsidP="007865F3">
      <w:pPr>
        <w:numPr>
          <w:ilvl w:val="0"/>
          <w:numId w:val="75"/>
        </w:numPr>
        <w:spacing w:after="0" w:line="240" w:lineRule="auto"/>
        <w:rPr>
          <w:rFonts w:ascii="Aptos" w:eastAsia="Times New Roman" w:hAnsi="Aptos" w:cs="Arial"/>
          <w:color w:val="1F1F1F"/>
          <w:kern w:val="0"/>
          <w:lang w:eastAsia="en-GB"/>
          <w14:ligatures w14:val="none"/>
        </w:rPr>
      </w:pPr>
      <w:r w:rsidRPr="007865F3">
        <w:rPr>
          <w:rFonts w:ascii="Aptos" w:eastAsia="Times New Roman" w:hAnsi="Aptos" w:cs="Arial"/>
          <w:b/>
          <w:bCs/>
          <w:color w:val="1F1F1F"/>
          <w:kern w:val="0"/>
          <w:bdr w:val="none" w:sz="0" w:space="0" w:color="auto" w:frame="1"/>
          <w:lang w:eastAsia="en-GB"/>
          <w14:ligatures w14:val="none"/>
        </w:rPr>
        <w:t>Réponse :</w:t>
      </w:r>
      <w:r w:rsidRPr="007865F3">
        <w:rPr>
          <w:rFonts w:ascii="Aptos" w:eastAsia="Times New Roman" w:hAnsi="Aptos" w:cs="Arial"/>
          <w:color w:val="1F1F1F"/>
          <w:kern w:val="0"/>
          <w:lang w:eastAsia="en-GB"/>
          <w14:ligatures w14:val="none"/>
        </w:rPr>
        <w:t xml:space="preserve"> Non, il ne faut pas conclure à un échec, mais à un manque de puissance statistique.</w:t>
      </w:r>
    </w:p>
    <w:p w14:paraId="6B1D526B" w14:textId="6CD7E663" w:rsidR="007865F3" w:rsidRPr="007865F3" w:rsidRDefault="007865F3" w:rsidP="007865F3">
      <w:pPr>
        <w:numPr>
          <w:ilvl w:val="0"/>
          <w:numId w:val="75"/>
        </w:numPr>
        <w:spacing w:after="0" w:line="240" w:lineRule="auto"/>
        <w:rPr>
          <w:rFonts w:ascii="Aptos" w:eastAsia="Times New Roman" w:hAnsi="Aptos" w:cs="Arial"/>
          <w:color w:val="1F1F1F"/>
          <w:kern w:val="0"/>
          <w:lang w:eastAsia="en-GB"/>
          <w14:ligatures w14:val="none"/>
        </w:rPr>
      </w:pPr>
      <w:r w:rsidRPr="007865F3">
        <w:rPr>
          <w:rFonts w:ascii="Aptos" w:eastAsia="Times New Roman" w:hAnsi="Aptos" w:cs="Arial"/>
          <w:color w:val="1F1F1F"/>
          <w:kern w:val="0"/>
          <w:bdr w:val="none" w:sz="0" w:space="0" w:color="auto" w:frame="1"/>
          <w:lang w:eastAsia="en-GB"/>
          <w14:ligatures w14:val="none"/>
        </w:rPr>
        <w:t xml:space="preserve">L'étude a été dimensionnée (calcul de la taille de l'échantillon) pour le </w:t>
      </w:r>
      <w:r w:rsidRPr="007865F3">
        <w:rPr>
          <w:rFonts w:ascii="Aptos" w:eastAsia="Times New Roman" w:hAnsi="Aptos" w:cs="Arial"/>
          <w:i/>
          <w:iCs/>
          <w:color w:val="1F1F1F"/>
          <w:kern w:val="0"/>
          <w:bdr w:val="none" w:sz="0" w:space="0" w:color="auto" w:frame="1"/>
          <w:lang w:eastAsia="en-GB"/>
          <w14:ligatures w14:val="none"/>
        </w:rPr>
        <w:t>Per-Protocol</w:t>
      </w:r>
    </w:p>
    <w:p w14:paraId="5EEFBAF2" w14:textId="77777777" w:rsidR="007865F3" w:rsidRPr="007865F3" w:rsidRDefault="007865F3" w:rsidP="007865F3">
      <w:pPr>
        <w:numPr>
          <w:ilvl w:val="0"/>
          <w:numId w:val="75"/>
        </w:numPr>
        <w:spacing w:after="0" w:line="240" w:lineRule="auto"/>
        <w:rPr>
          <w:rFonts w:ascii="Aptos" w:eastAsia="Times New Roman" w:hAnsi="Aptos" w:cs="Arial"/>
          <w:color w:val="1F1F1F"/>
          <w:kern w:val="0"/>
          <w:lang w:eastAsia="en-GB"/>
          <w14:ligatures w14:val="none"/>
        </w:rPr>
      </w:pPr>
      <w:r w:rsidRPr="007865F3">
        <w:rPr>
          <w:rFonts w:ascii="Aptos" w:eastAsia="Times New Roman" w:hAnsi="Aptos" w:cs="Arial"/>
          <w:color w:val="1F1F1F"/>
          <w:kern w:val="0"/>
          <w:bdr w:val="none" w:sz="0" w:space="0" w:color="auto" w:frame="1"/>
          <w:lang w:eastAsia="en-GB"/>
          <w14:ligatures w14:val="none"/>
        </w:rPr>
        <w:t>En passant en ITT, on réintègre les patients ayant arrêté ou sans biopsie (considérés comme échecs), ce qui dilue les résultats. Avec un petit échantillon (n=46 par groupe), le p-value passe juste au-dessus de 0.05</w:t>
      </w:r>
      <w:r w:rsidRPr="007865F3">
        <w:rPr>
          <w:rFonts w:ascii="Aptos" w:eastAsia="Times New Roman" w:hAnsi="Aptos" w:cs="Arial"/>
          <w:color w:val="444746"/>
          <w:kern w:val="0"/>
          <w:bdr w:val="none" w:sz="0" w:space="0" w:color="auto" w:frame="1"/>
          <w:vertAlign w:val="superscript"/>
          <w:lang w:eastAsia="en-GB"/>
          <w14:ligatures w14:val="none"/>
        </w:rPr>
        <w:t>10</w:t>
      </w:r>
      <w:r w:rsidRPr="007865F3">
        <w:rPr>
          <w:rFonts w:ascii="Aptos" w:eastAsia="Times New Roman" w:hAnsi="Aptos" w:cs="Arial"/>
          <w:color w:val="1F1F1F"/>
          <w:kern w:val="0"/>
          <w:bdr w:val="none" w:sz="0" w:space="0" w:color="auto" w:frame="1"/>
          <w:lang w:eastAsia="en-GB"/>
          <w14:ligatures w14:val="none"/>
        </w:rPr>
        <w:t>.</w:t>
      </w:r>
    </w:p>
    <w:p w14:paraId="2DE3BB4B" w14:textId="0EE1B21D" w:rsidR="007865F3" w:rsidRPr="007865F3" w:rsidRDefault="007865F3" w:rsidP="007865F3">
      <w:pPr>
        <w:numPr>
          <w:ilvl w:val="0"/>
          <w:numId w:val="75"/>
        </w:numPr>
        <w:spacing w:after="0" w:line="240" w:lineRule="auto"/>
        <w:rPr>
          <w:rFonts w:ascii="Aptos" w:eastAsia="Times New Roman" w:hAnsi="Aptos" w:cs="Arial"/>
          <w:color w:val="1F1F1F"/>
          <w:kern w:val="0"/>
          <w:lang w:eastAsia="en-GB"/>
          <w14:ligatures w14:val="none"/>
        </w:rPr>
      </w:pPr>
      <w:r w:rsidRPr="007865F3">
        <w:rPr>
          <w:rFonts w:ascii="Aptos" w:eastAsia="Times New Roman" w:hAnsi="Aptos" w:cs="Arial"/>
          <w:color w:val="1F1F1F"/>
          <w:kern w:val="0"/>
          <w:bdr w:val="none" w:sz="0" w:space="0" w:color="auto" w:frame="1"/>
          <w:lang w:eastAsia="en-GB"/>
          <w14:ligatures w14:val="none"/>
        </w:rPr>
        <w:t>Cependant, le signal est cohérent avec la dose 90 mg et avec les marqueurs non invasifs (FibroScan, score ELF) qui s'améliorent aussi</w:t>
      </w:r>
      <w:r>
        <w:rPr>
          <w:rFonts w:ascii="Aptos" w:eastAsia="Times New Roman" w:hAnsi="Aptos" w:cs="Arial"/>
          <w:color w:val="444746"/>
          <w:kern w:val="0"/>
          <w:bdr w:val="none" w:sz="0" w:space="0" w:color="auto" w:frame="1"/>
          <w:vertAlign w:val="superscript"/>
          <w:lang w:eastAsia="en-GB"/>
          <w14:ligatures w14:val="none"/>
        </w:rPr>
        <w:t xml:space="preserve">. </w:t>
      </w:r>
      <w:r w:rsidRPr="007865F3">
        <w:rPr>
          <w:rFonts w:ascii="Aptos" w:eastAsia="Times New Roman" w:hAnsi="Aptos" w:cs="Arial"/>
          <w:color w:val="1F1F1F"/>
          <w:kern w:val="0"/>
          <w:bdr w:val="none" w:sz="0" w:space="0" w:color="auto" w:frame="1"/>
          <w:lang w:eastAsia="en-GB"/>
          <w14:ligatures w14:val="none"/>
        </w:rPr>
        <w:t>C'est un signal positif fort pour une phase 3.</w:t>
      </w:r>
    </w:p>
    <w:p w14:paraId="5381698B" w14:textId="77777777" w:rsidR="007865F3" w:rsidRPr="007865F3" w:rsidRDefault="007865F3" w:rsidP="007865F3">
      <w:pPr>
        <w:spacing w:after="0" w:line="240" w:lineRule="auto"/>
        <w:rPr>
          <w:rFonts w:ascii="Aptos" w:eastAsia="Times New Roman" w:hAnsi="Aptos" w:cs="Arial"/>
          <w:color w:val="1F1F1F"/>
          <w:kern w:val="0"/>
          <w:lang w:eastAsia="en-GB"/>
          <w14:ligatures w14:val="none"/>
        </w:rPr>
      </w:pPr>
      <w:r w:rsidRPr="007865F3">
        <w:rPr>
          <w:rFonts w:ascii="Aptos" w:eastAsia="Times New Roman" w:hAnsi="Aptos" w:cs="Arial"/>
          <w:b/>
          <w:bCs/>
          <w:color w:val="1F1F1F"/>
          <w:kern w:val="0"/>
          <w:bdr w:val="none" w:sz="0" w:space="0" w:color="auto" w:frame="1"/>
          <w:lang w:eastAsia="en-GB"/>
          <w14:ligatures w14:val="none"/>
        </w:rPr>
        <w:t>Q : L'étude ne dure que 51 semaines. Est-ce suffisant pour juger de l'effet sur la fibrose ?</w:t>
      </w:r>
    </w:p>
    <w:p w14:paraId="26BADFED" w14:textId="77777777" w:rsidR="007865F3" w:rsidRPr="007865F3" w:rsidRDefault="007865F3" w:rsidP="007865F3">
      <w:pPr>
        <w:numPr>
          <w:ilvl w:val="0"/>
          <w:numId w:val="77"/>
        </w:numPr>
        <w:spacing w:after="0" w:line="240" w:lineRule="auto"/>
        <w:rPr>
          <w:rFonts w:ascii="Aptos" w:eastAsia="Times New Roman" w:hAnsi="Aptos" w:cs="Arial"/>
          <w:color w:val="1F1F1F"/>
          <w:kern w:val="0"/>
          <w:lang w:eastAsia="en-GB"/>
          <w14:ligatures w14:val="none"/>
        </w:rPr>
      </w:pPr>
      <w:r w:rsidRPr="007865F3">
        <w:rPr>
          <w:rFonts w:ascii="Aptos" w:eastAsia="Times New Roman" w:hAnsi="Aptos" w:cs="Arial"/>
          <w:b/>
          <w:bCs/>
          <w:color w:val="1F1F1F"/>
          <w:kern w:val="0"/>
          <w:bdr w:val="none" w:sz="0" w:space="0" w:color="auto" w:frame="1"/>
          <w:lang w:eastAsia="en-GB"/>
          <w14:ligatures w14:val="none"/>
        </w:rPr>
        <w:t>Réponse :</w:t>
      </w:r>
      <w:r w:rsidRPr="007865F3">
        <w:rPr>
          <w:rFonts w:ascii="Aptos" w:eastAsia="Times New Roman" w:hAnsi="Aptos" w:cs="Arial"/>
          <w:color w:val="1F1F1F"/>
          <w:kern w:val="0"/>
          <w:lang w:eastAsia="en-GB"/>
          <w14:ligatures w14:val="none"/>
        </w:rPr>
        <w:t xml:space="preserve"> C'est une limite, mais les résultats sont encourageants.</w:t>
      </w:r>
    </w:p>
    <w:p w14:paraId="6A2D462F" w14:textId="77777777" w:rsidR="007865F3" w:rsidRPr="007865F3" w:rsidRDefault="007865F3" w:rsidP="007865F3">
      <w:pPr>
        <w:numPr>
          <w:ilvl w:val="1"/>
          <w:numId w:val="77"/>
        </w:numPr>
        <w:spacing w:after="0" w:line="240" w:lineRule="auto"/>
        <w:rPr>
          <w:rFonts w:ascii="Aptos" w:eastAsia="Times New Roman" w:hAnsi="Aptos" w:cs="Arial"/>
          <w:color w:val="1F1F1F"/>
          <w:kern w:val="0"/>
          <w:lang w:eastAsia="en-GB"/>
          <w14:ligatures w14:val="none"/>
        </w:rPr>
      </w:pPr>
      <w:r w:rsidRPr="007865F3">
        <w:rPr>
          <w:rFonts w:ascii="Aptos" w:eastAsia="Times New Roman" w:hAnsi="Aptos" w:cs="Arial"/>
          <w:color w:val="1F1F1F"/>
          <w:kern w:val="0"/>
          <w:bdr w:val="none" w:sz="0" w:space="0" w:color="auto" w:frame="1"/>
          <w:lang w:eastAsia="en-GB"/>
          <w14:ligatures w14:val="none"/>
        </w:rPr>
        <w:t>La régression de la fibrose est un processus lent. Voir une différence significative dès 1 an est en réalité un signe de puissance très prometteur</w:t>
      </w:r>
      <w:r w:rsidRPr="007865F3">
        <w:rPr>
          <w:rFonts w:ascii="Aptos" w:eastAsia="Times New Roman" w:hAnsi="Aptos" w:cs="Arial"/>
          <w:color w:val="444746"/>
          <w:kern w:val="0"/>
          <w:bdr w:val="none" w:sz="0" w:space="0" w:color="auto" w:frame="1"/>
          <w:vertAlign w:val="superscript"/>
          <w:lang w:eastAsia="en-GB"/>
          <w14:ligatures w14:val="none"/>
        </w:rPr>
        <w:t>14141414</w:t>
      </w:r>
      <w:r w:rsidRPr="007865F3">
        <w:rPr>
          <w:rFonts w:ascii="Aptos" w:eastAsia="Times New Roman" w:hAnsi="Aptos" w:cs="Arial"/>
          <w:color w:val="1F1F1F"/>
          <w:kern w:val="0"/>
          <w:bdr w:val="none" w:sz="0" w:space="0" w:color="auto" w:frame="1"/>
          <w:lang w:eastAsia="en-GB"/>
          <w14:ligatures w14:val="none"/>
        </w:rPr>
        <w:t>.</w:t>
      </w:r>
    </w:p>
    <w:p w14:paraId="65EA7707" w14:textId="77777777" w:rsidR="007865F3" w:rsidRPr="007865F3" w:rsidRDefault="007865F3" w:rsidP="007865F3">
      <w:pPr>
        <w:numPr>
          <w:ilvl w:val="1"/>
          <w:numId w:val="77"/>
        </w:numPr>
        <w:spacing w:after="0" w:line="240" w:lineRule="auto"/>
        <w:rPr>
          <w:rFonts w:ascii="Aptos" w:eastAsia="Times New Roman" w:hAnsi="Aptos" w:cs="Arial"/>
          <w:color w:val="1F1F1F"/>
          <w:kern w:val="0"/>
          <w:lang w:eastAsia="en-GB"/>
          <w14:ligatures w14:val="none"/>
        </w:rPr>
      </w:pPr>
      <w:r w:rsidRPr="007865F3">
        <w:rPr>
          <w:rFonts w:ascii="Aptos" w:eastAsia="Times New Roman" w:hAnsi="Aptos" w:cs="Arial"/>
          <w:color w:val="1F1F1F"/>
          <w:kern w:val="0"/>
          <w:bdr w:val="none" w:sz="0" w:space="0" w:color="auto" w:frame="1"/>
          <w:lang w:eastAsia="en-GB"/>
          <w14:ligatures w14:val="none"/>
        </w:rPr>
        <w:t>Toutefois, pour démontrer un bénéfice clinique (réduction des cirrhoses, décès), il faudra des études de phase 3 beaucoup plus longues (plusieurs années) et plus larges, comme le soulignent les auteurs dans les limites</w:t>
      </w:r>
      <w:r w:rsidRPr="007865F3">
        <w:rPr>
          <w:rFonts w:ascii="Aptos" w:eastAsia="Times New Roman" w:hAnsi="Aptos" w:cs="Arial"/>
          <w:color w:val="444746"/>
          <w:kern w:val="0"/>
          <w:bdr w:val="none" w:sz="0" w:space="0" w:color="auto" w:frame="1"/>
          <w:vertAlign w:val="superscript"/>
          <w:lang w:eastAsia="en-GB"/>
          <w14:ligatures w14:val="none"/>
        </w:rPr>
        <w:t>15151515</w:t>
      </w:r>
      <w:r w:rsidRPr="007865F3">
        <w:rPr>
          <w:rFonts w:ascii="Aptos" w:eastAsia="Times New Roman" w:hAnsi="Aptos" w:cs="Arial"/>
          <w:color w:val="1F1F1F"/>
          <w:kern w:val="0"/>
          <w:bdr w:val="none" w:sz="0" w:space="0" w:color="auto" w:frame="1"/>
          <w:lang w:eastAsia="en-GB"/>
          <w14:ligatures w14:val="none"/>
        </w:rPr>
        <w:t>.</w:t>
      </w:r>
    </w:p>
    <w:p w14:paraId="6EE52E58" w14:textId="77777777" w:rsidR="007865F3" w:rsidRPr="007865F3" w:rsidRDefault="007865F3" w:rsidP="007865F3">
      <w:pPr>
        <w:spacing w:after="0" w:line="240" w:lineRule="auto"/>
        <w:rPr>
          <w:rFonts w:ascii="Aptos" w:eastAsia="Times New Roman" w:hAnsi="Aptos" w:cs="Arial"/>
          <w:color w:val="1F1F1F"/>
          <w:kern w:val="0"/>
          <w:lang w:eastAsia="en-GB"/>
          <w14:ligatures w14:val="none"/>
        </w:rPr>
      </w:pPr>
      <w:r w:rsidRPr="007865F3">
        <w:rPr>
          <w:rFonts w:ascii="Aptos" w:eastAsia="Times New Roman" w:hAnsi="Aptos" w:cs="Arial"/>
          <w:b/>
          <w:bCs/>
          <w:color w:val="1F1F1F"/>
          <w:kern w:val="0"/>
          <w:bdr w:val="none" w:sz="0" w:space="0" w:color="auto" w:frame="1"/>
          <w:lang w:eastAsia="en-GB"/>
          <w14:ligatures w14:val="none"/>
        </w:rPr>
        <w:t>Q : La population de l'étude est-elle représentative ?</w:t>
      </w:r>
    </w:p>
    <w:p w14:paraId="692FC7E6" w14:textId="77777777" w:rsidR="007865F3" w:rsidRPr="007865F3" w:rsidRDefault="007865F3" w:rsidP="007865F3">
      <w:pPr>
        <w:numPr>
          <w:ilvl w:val="0"/>
          <w:numId w:val="78"/>
        </w:numPr>
        <w:spacing w:after="0" w:line="240" w:lineRule="auto"/>
        <w:rPr>
          <w:rFonts w:ascii="Aptos" w:eastAsia="Times New Roman" w:hAnsi="Aptos" w:cs="Arial"/>
          <w:color w:val="1F1F1F"/>
          <w:kern w:val="0"/>
          <w:lang w:eastAsia="en-GB"/>
          <w14:ligatures w14:val="none"/>
        </w:rPr>
      </w:pPr>
      <w:r w:rsidRPr="007865F3">
        <w:rPr>
          <w:rFonts w:ascii="Aptos" w:eastAsia="Times New Roman" w:hAnsi="Aptos" w:cs="Arial"/>
          <w:b/>
          <w:bCs/>
          <w:color w:val="1F1F1F"/>
          <w:kern w:val="0"/>
          <w:bdr w:val="none" w:sz="0" w:space="0" w:color="auto" w:frame="1"/>
          <w:lang w:eastAsia="en-GB"/>
          <w14:ligatures w14:val="none"/>
        </w:rPr>
        <w:t>Réponse :</w:t>
      </w:r>
      <w:r w:rsidRPr="007865F3">
        <w:rPr>
          <w:rFonts w:ascii="Aptos" w:eastAsia="Times New Roman" w:hAnsi="Aptos" w:cs="Arial"/>
          <w:color w:val="1F1F1F"/>
          <w:kern w:val="0"/>
          <w:lang w:eastAsia="en-GB"/>
          <w14:ligatures w14:val="none"/>
        </w:rPr>
        <w:t xml:space="preserve"> Pas totalement, et c'est une limite de validité externe.</w:t>
      </w:r>
    </w:p>
    <w:p w14:paraId="6914ABFA" w14:textId="77777777" w:rsidR="007865F3" w:rsidRPr="007865F3" w:rsidRDefault="007865F3" w:rsidP="007865F3">
      <w:pPr>
        <w:numPr>
          <w:ilvl w:val="0"/>
          <w:numId w:val="78"/>
        </w:numPr>
        <w:spacing w:after="0" w:line="240" w:lineRule="auto"/>
        <w:rPr>
          <w:rFonts w:ascii="Aptos" w:eastAsia="Times New Roman" w:hAnsi="Aptos" w:cs="Arial"/>
          <w:color w:val="1F1F1F"/>
          <w:kern w:val="0"/>
          <w:lang w:eastAsia="en-GB"/>
          <w14:ligatures w14:val="none"/>
        </w:rPr>
      </w:pPr>
      <w:r w:rsidRPr="007865F3">
        <w:rPr>
          <w:rFonts w:ascii="Aptos" w:eastAsia="Times New Roman" w:hAnsi="Aptos" w:cs="Arial"/>
          <w:color w:val="1F1F1F"/>
          <w:kern w:val="0"/>
          <w:bdr w:val="none" w:sz="0" w:space="0" w:color="auto" w:frame="1"/>
          <w:lang w:eastAsia="en-GB"/>
          <w14:ligatures w14:val="none"/>
        </w:rPr>
        <w:t>La population est majoritairement Blanche (91%) et Hispanique (44%), avec très peu de patients Noirs ou Asiatiques</w:t>
      </w:r>
      <w:r w:rsidRPr="007865F3">
        <w:rPr>
          <w:rFonts w:ascii="Aptos" w:eastAsia="Times New Roman" w:hAnsi="Aptos" w:cs="Arial"/>
          <w:color w:val="444746"/>
          <w:kern w:val="0"/>
          <w:bdr w:val="none" w:sz="0" w:space="0" w:color="auto" w:frame="1"/>
          <w:vertAlign w:val="superscript"/>
          <w:lang w:eastAsia="en-GB"/>
          <w14:ligatures w14:val="none"/>
        </w:rPr>
        <w:t>16161616</w:t>
      </w:r>
      <w:r w:rsidRPr="007865F3">
        <w:rPr>
          <w:rFonts w:ascii="Aptos" w:eastAsia="Times New Roman" w:hAnsi="Aptos" w:cs="Arial"/>
          <w:color w:val="1F1F1F"/>
          <w:kern w:val="0"/>
          <w:bdr w:val="none" w:sz="0" w:space="0" w:color="auto" w:frame="1"/>
          <w:lang w:eastAsia="en-GB"/>
          <w14:ligatures w14:val="none"/>
        </w:rPr>
        <w:t>.</w:t>
      </w:r>
    </w:p>
    <w:p w14:paraId="59168576" w14:textId="77777777" w:rsidR="007865F3" w:rsidRPr="007865F3" w:rsidRDefault="007865F3" w:rsidP="007865F3">
      <w:pPr>
        <w:numPr>
          <w:ilvl w:val="0"/>
          <w:numId w:val="78"/>
        </w:numPr>
        <w:spacing w:after="0" w:line="240" w:lineRule="auto"/>
        <w:rPr>
          <w:rFonts w:ascii="Aptos" w:eastAsia="Times New Roman" w:hAnsi="Aptos" w:cs="Arial"/>
          <w:color w:val="1F1F1F"/>
          <w:kern w:val="0"/>
          <w:lang w:eastAsia="en-GB"/>
          <w14:ligatures w14:val="none"/>
        </w:rPr>
      </w:pPr>
      <w:r w:rsidRPr="007865F3">
        <w:rPr>
          <w:rFonts w:ascii="Aptos" w:eastAsia="Times New Roman" w:hAnsi="Aptos" w:cs="Arial"/>
          <w:color w:val="1F1F1F"/>
          <w:kern w:val="0"/>
          <w:bdr w:val="none" w:sz="0" w:space="0" w:color="auto" w:frame="1"/>
          <w:lang w:eastAsia="en-GB"/>
          <w14:ligatures w14:val="none"/>
        </w:rPr>
        <w:t>De plus, les patients cirrhotiques (F4) étaient exclus</w:t>
      </w:r>
      <w:r w:rsidRPr="007865F3">
        <w:rPr>
          <w:rFonts w:ascii="Aptos" w:eastAsia="Times New Roman" w:hAnsi="Aptos" w:cs="Arial"/>
          <w:color w:val="444746"/>
          <w:kern w:val="0"/>
          <w:bdr w:val="none" w:sz="0" w:space="0" w:color="auto" w:frame="1"/>
          <w:vertAlign w:val="superscript"/>
          <w:lang w:eastAsia="en-GB"/>
          <w14:ligatures w14:val="none"/>
        </w:rPr>
        <w:t>17</w:t>
      </w:r>
      <w:r w:rsidRPr="007865F3">
        <w:rPr>
          <w:rFonts w:ascii="Aptos" w:eastAsia="Times New Roman" w:hAnsi="Aptos" w:cs="Arial"/>
          <w:color w:val="1F1F1F"/>
          <w:kern w:val="0"/>
          <w:bdr w:val="none" w:sz="0" w:space="0" w:color="auto" w:frame="1"/>
          <w:lang w:eastAsia="en-GB"/>
          <w14:ligatures w14:val="none"/>
        </w:rPr>
        <w:t>. On ne peut donc pas extrapoler les résultats aux populations non-caucasiennes ou aux stades les plus graves de la maladie pour l'instant.</w:t>
      </w:r>
    </w:p>
    <w:p w14:paraId="046609BB" w14:textId="53BBFFDD" w:rsidR="007865F3" w:rsidRDefault="007865F3">
      <w:r>
        <w:br w:type="page"/>
      </w:r>
    </w:p>
    <w:p w14:paraId="6B0F7031" w14:textId="77777777" w:rsidR="007865F3" w:rsidRPr="007865F3" w:rsidRDefault="007865F3" w:rsidP="007865F3">
      <w:pPr>
        <w:spacing w:after="120" w:line="240" w:lineRule="auto"/>
        <w:outlineLvl w:val="2"/>
        <w:rPr>
          <w:rFonts w:ascii="Calibri" w:eastAsia="Times New Roman" w:hAnsi="Calibri" w:cs="Calibri"/>
          <w:b/>
          <w:bCs/>
          <w:color w:val="1F1F1F"/>
          <w:kern w:val="0"/>
          <w:sz w:val="27"/>
          <w:szCs w:val="27"/>
          <w:lang w:eastAsia="en-GB"/>
          <w14:ligatures w14:val="none"/>
        </w:rPr>
      </w:pPr>
      <w:r w:rsidRPr="007865F3">
        <w:rPr>
          <w:rFonts w:ascii="Calibri" w:eastAsia="Times New Roman" w:hAnsi="Calibri" w:cs="Calibri"/>
          <w:b/>
          <w:bCs/>
          <w:color w:val="1F1F1F"/>
          <w:kern w:val="0"/>
          <w:sz w:val="27"/>
          <w:szCs w:val="27"/>
          <w:lang w:eastAsia="en-GB"/>
          <w14:ligatures w14:val="none"/>
        </w:rPr>
        <w:lastRenderedPageBreak/>
        <w:t>1. Le design adaptatif et le groupe Placebo "Poolé"</w:t>
      </w:r>
    </w:p>
    <w:p w14:paraId="4A4FF7E5" w14:textId="77777777" w:rsidR="007865F3" w:rsidRPr="007865F3" w:rsidRDefault="007865F3" w:rsidP="007865F3">
      <w:pPr>
        <w:spacing w:after="0" w:line="240" w:lineRule="auto"/>
        <w:rPr>
          <w:rFonts w:ascii="Calibri" w:eastAsia="Times New Roman" w:hAnsi="Calibri" w:cs="Calibri"/>
          <w:color w:val="1F1F1F"/>
          <w:kern w:val="0"/>
          <w:lang w:eastAsia="en-GB"/>
          <w14:ligatures w14:val="none"/>
        </w:rPr>
      </w:pPr>
      <w:r w:rsidRPr="007865F3">
        <w:rPr>
          <w:rFonts w:ascii="Calibri" w:eastAsia="Times New Roman" w:hAnsi="Calibri" w:cs="Calibri"/>
          <w:b/>
          <w:bCs/>
          <w:color w:val="1F1F1F"/>
          <w:kern w:val="0"/>
          <w:bdr w:val="none" w:sz="0" w:space="0" w:color="auto" w:frame="1"/>
          <w:lang w:eastAsia="en-GB"/>
          <w14:ligatures w14:val="none"/>
        </w:rPr>
        <w:t>Q : L'étude se divise en deux parties avec des critères d'inclusion différents (F1-F3 pour la partie 1, F2-F3 pour la partie 2). Pourtant, ils comparent les groupes traités à un groupe placebo "poolé" (regroupant partie 1 et 2). N'est-ce pas un biais méthodologique majeur ?</w:t>
      </w:r>
    </w:p>
    <w:p w14:paraId="78E5DBD6" w14:textId="77777777" w:rsidR="007865F3" w:rsidRPr="007865F3" w:rsidRDefault="007865F3" w:rsidP="007865F3">
      <w:pPr>
        <w:numPr>
          <w:ilvl w:val="0"/>
          <w:numId w:val="79"/>
        </w:numPr>
        <w:spacing w:after="0" w:line="240" w:lineRule="auto"/>
        <w:rPr>
          <w:rFonts w:ascii="Calibri" w:eastAsia="Times New Roman" w:hAnsi="Calibri" w:cs="Calibri"/>
          <w:color w:val="1F1F1F"/>
          <w:kern w:val="0"/>
          <w:lang w:eastAsia="en-GB"/>
          <w14:ligatures w14:val="none"/>
        </w:rPr>
      </w:pPr>
      <w:r w:rsidRPr="007865F3">
        <w:rPr>
          <w:rFonts w:ascii="Calibri" w:eastAsia="Times New Roman" w:hAnsi="Calibri" w:cs="Calibri"/>
          <w:b/>
          <w:bCs/>
          <w:color w:val="1F1F1F"/>
          <w:kern w:val="0"/>
          <w:bdr w:val="none" w:sz="0" w:space="0" w:color="auto" w:frame="1"/>
          <w:lang w:eastAsia="en-GB"/>
          <w14:ligatures w14:val="none"/>
        </w:rPr>
        <w:t>Réponse :</w:t>
      </w:r>
      <w:r w:rsidRPr="007865F3">
        <w:rPr>
          <w:rFonts w:ascii="Calibri" w:eastAsia="Times New Roman" w:hAnsi="Calibri" w:cs="Calibri"/>
          <w:color w:val="1F1F1F"/>
          <w:kern w:val="0"/>
          <w:lang w:eastAsia="en-GB"/>
          <w14:ligatures w14:val="none"/>
        </w:rPr>
        <w:t xml:space="preserve"> C'est une critique très pertinente.</w:t>
      </w:r>
    </w:p>
    <w:p w14:paraId="252FA42B" w14:textId="77777777" w:rsidR="007865F3" w:rsidRPr="007865F3" w:rsidRDefault="007865F3" w:rsidP="007865F3">
      <w:pPr>
        <w:numPr>
          <w:ilvl w:val="0"/>
          <w:numId w:val="79"/>
        </w:numPr>
        <w:spacing w:after="0" w:line="240" w:lineRule="auto"/>
        <w:rPr>
          <w:rFonts w:ascii="Calibri" w:eastAsia="Times New Roman" w:hAnsi="Calibri" w:cs="Calibri"/>
          <w:color w:val="1F1F1F"/>
          <w:kern w:val="0"/>
          <w:lang w:eastAsia="en-GB"/>
          <w14:ligatures w14:val="none"/>
        </w:rPr>
      </w:pPr>
      <w:r w:rsidRPr="007865F3">
        <w:rPr>
          <w:rFonts w:ascii="Calibri" w:eastAsia="Times New Roman" w:hAnsi="Calibri" w:cs="Calibri"/>
          <w:b/>
          <w:bCs/>
          <w:color w:val="1F1F1F"/>
          <w:kern w:val="0"/>
          <w:bdr w:val="none" w:sz="0" w:space="0" w:color="auto" w:frame="1"/>
          <w:lang w:eastAsia="en-GB"/>
          <w14:ligatures w14:val="none"/>
        </w:rPr>
        <w:t>Le problème :</w:t>
      </w:r>
      <w:r w:rsidRPr="007865F3">
        <w:rPr>
          <w:rFonts w:ascii="Calibri" w:eastAsia="Times New Roman" w:hAnsi="Calibri" w:cs="Calibri"/>
          <w:color w:val="1F1F1F"/>
          <w:kern w:val="0"/>
          <w:bdr w:val="none" w:sz="0" w:space="0" w:color="auto" w:frame="1"/>
          <w:lang w:eastAsia="en-GB"/>
          <w14:ligatures w14:val="none"/>
        </w:rPr>
        <w:t xml:space="preserve"> En effet, la Partie 1 incluait des fibroses légères (F1)</w:t>
      </w:r>
      <w:r w:rsidRPr="007865F3">
        <w:rPr>
          <w:rFonts w:ascii="Calibri" w:eastAsia="Times New Roman" w:hAnsi="Calibri" w:cs="Calibri"/>
          <w:color w:val="444746"/>
          <w:kern w:val="0"/>
          <w:bdr w:val="none" w:sz="0" w:space="0" w:color="auto" w:frame="1"/>
          <w:vertAlign w:val="superscript"/>
          <w:lang w:eastAsia="en-GB"/>
          <w14:ligatures w14:val="none"/>
        </w:rPr>
        <w:t>1</w:t>
      </w:r>
      <w:r w:rsidRPr="007865F3">
        <w:rPr>
          <w:rFonts w:ascii="Calibri" w:eastAsia="Times New Roman" w:hAnsi="Calibri" w:cs="Calibri"/>
          <w:color w:val="1F1F1F"/>
          <w:kern w:val="0"/>
          <w:bdr w:val="none" w:sz="0" w:space="0" w:color="auto" w:frame="1"/>
          <w:lang w:eastAsia="en-GB"/>
          <w14:ligatures w14:val="none"/>
        </w:rPr>
        <w:t>, alors que la Partie 2 ne retenait que des fibroses significatives (F2-F3). En regroupant les placebos, le groupe de contrôle contient potentiellement des patients "moins graves" (F1) issus de la Partie 1, alors que les groupes traités à forte dose (majoritairement recrutés en Partie 2) ont des patients plus sévères.</w:t>
      </w:r>
    </w:p>
    <w:p w14:paraId="2FB9D007" w14:textId="77777777" w:rsidR="007865F3" w:rsidRPr="007865F3" w:rsidRDefault="007865F3" w:rsidP="007865F3">
      <w:pPr>
        <w:numPr>
          <w:ilvl w:val="0"/>
          <w:numId w:val="79"/>
        </w:numPr>
        <w:spacing w:after="0" w:line="240" w:lineRule="auto"/>
        <w:rPr>
          <w:rFonts w:ascii="Calibri" w:eastAsia="Times New Roman" w:hAnsi="Calibri" w:cs="Calibri"/>
          <w:color w:val="1F1F1F"/>
          <w:kern w:val="0"/>
          <w:lang w:eastAsia="en-GB"/>
          <w14:ligatures w14:val="none"/>
        </w:rPr>
      </w:pPr>
      <w:r w:rsidRPr="007865F3">
        <w:rPr>
          <w:rFonts w:ascii="Calibri" w:eastAsia="Times New Roman" w:hAnsi="Calibri" w:cs="Calibri"/>
          <w:b/>
          <w:bCs/>
          <w:color w:val="1F1F1F"/>
          <w:kern w:val="0"/>
          <w:bdr w:val="none" w:sz="0" w:space="0" w:color="auto" w:frame="1"/>
          <w:lang w:eastAsia="en-GB"/>
          <w14:ligatures w14:val="none"/>
        </w:rPr>
        <w:t>L'impact :</w:t>
      </w:r>
      <w:r w:rsidRPr="007865F3">
        <w:rPr>
          <w:rFonts w:ascii="Calibri" w:eastAsia="Times New Roman" w:hAnsi="Calibri" w:cs="Calibri"/>
          <w:color w:val="1F1F1F"/>
          <w:kern w:val="0"/>
          <w:lang w:eastAsia="en-GB"/>
          <w14:ligatures w14:val="none"/>
        </w:rPr>
        <w:t xml:space="preserve"> Théoriquement, il est plus facile de régresser une maladie légère. Si le placebo contient plus de cas légers, il devrait avoir un taux de réponse artificiellement haut, ce qui </w:t>
      </w:r>
      <w:r w:rsidRPr="007865F3">
        <w:rPr>
          <w:rFonts w:ascii="Calibri" w:eastAsia="Times New Roman" w:hAnsi="Calibri" w:cs="Calibri"/>
          <w:i/>
          <w:iCs/>
          <w:color w:val="1F1F1F"/>
          <w:kern w:val="0"/>
          <w:bdr w:val="none" w:sz="0" w:space="0" w:color="auto" w:frame="1"/>
          <w:lang w:eastAsia="en-GB"/>
          <w14:ligatures w14:val="none"/>
        </w:rPr>
        <w:t>rendrait plus difficile</w:t>
      </w:r>
      <w:r w:rsidRPr="007865F3">
        <w:rPr>
          <w:rFonts w:ascii="Calibri" w:eastAsia="Times New Roman" w:hAnsi="Calibri" w:cs="Calibri"/>
          <w:color w:val="1F1F1F"/>
          <w:kern w:val="0"/>
          <w:lang w:eastAsia="en-GB"/>
          <w14:ligatures w14:val="none"/>
        </w:rPr>
        <w:t xml:space="preserve"> pour le médicament de prouver sa supériorité.</w:t>
      </w:r>
    </w:p>
    <w:p w14:paraId="066E5E2F" w14:textId="77777777" w:rsidR="007865F3" w:rsidRPr="007865F3" w:rsidRDefault="007865F3" w:rsidP="007865F3">
      <w:pPr>
        <w:numPr>
          <w:ilvl w:val="0"/>
          <w:numId w:val="79"/>
        </w:numPr>
        <w:spacing w:after="0" w:line="240" w:lineRule="auto"/>
        <w:rPr>
          <w:rFonts w:ascii="Calibri" w:eastAsia="Times New Roman" w:hAnsi="Calibri" w:cs="Calibri"/>
          <w:color w:val="1F1F1F"/>
          <w:kern w:val="0"/>
          <w:lang w:eastAsia="en-GB"/>
          <w14:ligatures w14:val="none"/>
        </w:rPr>
      </w:pPr>
      <w:r w:rsidRPr="007865F3">
        <w:rPr>
          <w:rFonts w:ascii="Calibri" w:eastAsia="Times New Roman" w:hAnsi="Calibri" w:cs="Calibri"/>
          <w:b/>
          <w:bCs/>
          <w:color w:val="1F1F1F"/>
          <w:kern w:val="0"/>
          <w:bdr w:val="none" w:sz="0" w:space="0" w:color="auto" w:frame="1"/>
          <w:lang w:eastAsia="en-GB"/>
          <w14:ligatures w14:val="none"/>
        </w:rPr>
        <w:t>La défense :</w:t>
      </w:r>
      <w:r w:rsidRPr="007865F3">
        <w:rPr>
          <w:rFonts w:ascii="Calibri" w:eastAsia="Times New Roman" w:hAnsi="Calibri" w:cs="Calibri"/>
          <w:color w:val="1F1F1F"/>
          <w:kern w:val="0"/>
          <w:bdr w:val="none" w:sz="0" w:space="0" w:color="auto" w:frame="1"/>
          <w:lang w:eastAsia="en-GB"/>
          <w14:ligatures w14:val="none"/>
        </w:rPr>
        <w:t xml:space="preserve"> Le fait que le traitement (ION224) montre une supériorité </w:t>
      </w:r>
      <w:r w:rsidRPr="007865F3">
        <w:rPr>
          <w:rFonts w:ascii="Calibri" w:eastAsia="Times New Roman" w:hAnsi="Calibri" w:cs="Calibri"/>
          <w:i/>
          <w:iCs/>
          <w:color w:val="1F1F1F"/>
          <w:kern w:val="0"/>
          <w:bdr w:val="none" w:sz="0" w:space="0" w:color="auto" w:frame="1"/>
          <w:lang w:eastAsia="en-GB"/>
          <w14:ligatures w14:val="none"/>
        </w:rPr>
        <w:t>malgré</w:t>
      </w:r>
      <w:r w:rsidRPr="007865F3">
        <w:rPr>
          <w:rFonts w:ascii="Calibri" w:eastAsia="Times New Roman" w:hAnsi="Calibri" w:cs="Calibri"/>
          <w:color w:val="1F1F1F"/>
          <w:kern w:val="0"/>
          <w:bdr w:val="none" w:sz="0" w:space="0" w:color="auto" w:frame="1"/>
          <w:lang w:eastAsia="en-GB"/>
          <w14:ligatures w14:val="none"/>
        </w:rPr>
        <w:t xml:space="preserve"> ce biais potentiel (qui défavorise le traitement) renforce la robustesse du résultat. De plus, les auteurs précisent que l'analyse d'efficacité a été menée indépendamment de la partie de randomisation</w:t>
      </w:r>
      <w:r w:rsidRPr="007865F3">
        <w:rPr>
          <w:rFonts w:ascii="Calibri" w:eastAsia="Times New Roman" w:hAnsi="Calibri" w:cs="Calibri"/>
          <w:color w:val="444746"/>
          <w:kern w:val="0"/>
          <w:bdr w:val="none" w:sz="0" w:space="0" w:color="auto" w:frame="1"/>
          <w:vertAlign w:val="superscript"/>
          <w:lang w:eastAsia="en-GB"/>
          <w14:ligatures w14:val="none"/>
        </w:rPr>
        <w:t>2</w:t>
      </w:r>
      <w:r w:rsidRPr="007865F3">
        <w:rPr>
          <w:rFonts w:ascii="Calibri" w:eastAsia="Times New Roman" w:hAnsi="Calibri" w:cs="Calibri"/>
          <w:color w:val="1F1F1F"/>
          <w:kern w:val="0"/>
          <w:bdr w:val="none" w:sz="0" w:space="0" w:color="auto" w:frame="1"/>
          <w:lang w:eastAsia="en-GB"/>
          <w14:ligatures w14:val="none"/>
        </w:rPr>
        <w:t>.</w:t>
      </w:r>
    </w:p>
    <w:p w14:paraId="531FE90B" w14:textId="77777777" w:rsidR="007865F3" w:rsidRPr="007865F3" w:rsidRDefault="007865F3" w:rsidP="007865F3">
      <w:pPr>
        <w:spacing w:after="120" w:line="240" w:lineRule="auto"/>
        <w:outlineLvl w:val="2"/>
        <w:rPr>
          <w:rFonts w:ascii="Calibri" w:eastAsia="Times New Roman" w:hAnsi="Calibri" w:cs="Calibri"/>
          <w:b/>
          <w:bCs/>
          <w:color w:val="1F1F1F"/>
          <w:kern w:val="0"/>
          <w:sz w:val="27"/>
          <w:szCs w:val="27"/>
          <w:lang w:eastAsia="en-GB"/>
          <w14:ligatures w14:val="none"/>
        </w:rPr>
      </w:pPr>
      <w:r w:rsidRPr="007865F3">
        <w:rPr>
          <w:rFonts w:ascii="Calibri" w:eastAsia="Times New Roman" w:hAnsi="Calibri" w:cs="Calibri"/>
          <w:b/>
          <w:bCs/>
          <w:color w:val="1F1F1F"/>
          <w:kern w:val="0"/>
          <w:sz w:val="27"/>
          <w:szCs w:val="27"/>
          <w:lang w:eastAsia="en-GB"/>
          <w14:ligatures w14:val="none"/>
        </w:rPr>
        <w:t>2. Gestion de la multiplicité des tests statistiques</w:t>
      </w:r>
    </w:p>
    <w:p w14:paraId="0A3C3F23" w14:textId="77777777" w:rsidR="007865F3" w:rsidRPr="007865F3" w:rsidRDefault="007865F3" w:rsidP="007865F3">
      <w:pPr>
        <w:spacing w:after="0" w:line="240" w:lineRule="auto"/>
        <w:rPr>
          <w:rFonts w:ascii="Calibri" w:eastAsia="Times New Roman" w:hAnsi="Calibri" w:cs="Calibri"/>
          <w:color w:val="1F1F1F"/>
          <w:kern w:val="0"/>
          <w:lang w:eastAsia="en-GB"/>
          <w14:ligatures w14:val="none"/>
        </w:rPr>
      </w:pPr>
      <w:r w:rsidRPr="007865F3">
        <w:rPr>
          <w:rFonts w:ascii="Calibri" w:eastAsia="Times New Roman" w:hAnsi="Calibri" w:cs="Calibri"/>
          <w:b/>
          <w:bCs/>
          <w:color w:val="1F1F1F"/>
          <w:kern w:val="0"/>
          <w:bdr w:val="none" w:sz="0" w:space="0" w:color="auto" w:frame="1"/>
          <w:lang w:eastAsia="en-GB"/>
          <w14:ligatures w14:val="none"/>
        </w:rPr>
        <w:t>Q : Les auteurs testent plusieurs doses (60, 90, 120 mg) et plusieurs critères de jugement. Ont-ils appliqué une correction pour la multiplicité (comme Bonferroni) pour éviter l'inflation du risque alpha ?</w:t>
      </w:r>
    </w:p>
    <w:p w14:paraId="444EEA05" w14:textId="77777777" w:rsidR="007865F3" w:rsidRPr="007865F3" w:rsidRDefault="007865F3" w:rsidP="007865F3">
      <w:pPr>
        <w:numPr>
          <w:ilvl w:val="0"/>
          <w:numId w:val="80"/>
        </w:numPr>
        <w:spacing w:after="0" w:line="240" w:lineRule="auto"/>
        <w:rPr>
          <w:rFonts w:ascii="Calibri" w:eastAsia="Times New Roman" w:hAnsi="Calibri" w:cs="Calibri"/>
          <w:color w:val="1F1F1F"/>
          <w:kern w:val="0"/>
          <w:lang w:eastAsia="en-GB"/>
          <w14:ligatures w14:val="none"/>
        </w:rPr>
      </w:pPr>
      <w:r w:rsidRPr="007865F3">
        <w:rPr>
          <w:rFonts w:ascii="Calibri" w:eastAsia="Times New Roman" w:hAnsi="Calibri" w:cs="Calibri"/>
          <w:b/>
          <w:bCs/>
          <w:color w:val="1F1F1F"/>
          <w:kern w:val="0"/>
          <w:bdr w:val="none" w:sz="0" w:space="0" w:color="auto" w:frame="1"/>
          <w:lang w:eastAsia="en-GB"/>
          <w14:ligatures w14:val="none"/>
        </w:rPr>
        <w:t>Réponse :</w:t>
      </w:r>
      <w:r w:rsidRPr="007865F3">
        <w:rPr>
          <w:rFonts w:ascii="Calibri" w:eastAsia="Times New Roman" w:hAnsi="Calibri" w:cs="Calibri"/>
          <w:color w:val="1F1F1F"/>
          <w:kern w:val="0"/>
          <w:lang w:eastAsia="en-GB"/>
          <w14:ligatures w14:val="none"/>
        </w:rPr>
        <w:t xml:space="preserve"> Non, et c'est une limite explicite de l'étude.</w:t>
      </w:r>
    </w:p>
    <w:p w14:paraId="2274A686" w14:textId="77777777" w:rsidR="007865F3" w:rsidRPr="007865F3" w:rsidRDefault="007865F3" w:rsidP="007865F3">
      <w:pPr>
        <w:numPr>
          <w:ilvl w:val="0"/>
          <w:numId w:val="80"/>
        </w:numPr>
        <w:spacing w:after="0" w:line="240" w:lineRule="auto"/>
        <w:rPr>
          <w:rFonts w:ascii="Calibri" w:eastAsia="Times New Roman" w:hAnsi="Calibri" w:cs="Calibri"/>
          <w:color w:val="1F1F1F"/>
          <w:kern w:val="0"/>
          <w:lang w:eastAsia="en-GB"/>
          <w14:ligatures w14:val="none"/>
        </w:rPr>
      </w:pPr>
      <w:r w:rsidRPr="007865F3">
        <w:rPr>
          <w:rFonts w:ascii="Calibri" w:eastAsia="Times New Roman" w:hAnsi="Calibri" w:cs="Calibri"/>
          <w:b/>
          <w:bCs/>
          <w:color w:val="1F1F1F"/>
          <w:kern w:val="0"/>
          <w:bdr w:val="none" w:sz="0" w:space="0" w:color="auto" w:frame="1"/>
          <w:lang w:eastAsia="en-GB"/>
          <w14:ligatures w14:val="none"/>
        </w:rPr>
        <w:t>Le constat :</w:t>
      </w:r>
      <w:r w:rsidRPr="007865F3">
        <w:rPr>
          <w:rFonts w:ascii="Calibri" w:eastAsia="Times New Roman" w:hAnsi="Calibri" w:cs="Calibri"/>
          <w:color w:val="1F1F1F"/>
          <w:kern w:val="0"/>
          <w:bdr w:val="none" w:sz="0" w:space="0" w:color="auto" w:frame="1"/>
          <w:lang w:eastAsia="en-GB"/>
          <w14:ligatures w14:val="none"/>
        </w:rPr>
        <w:t xml:space="preserve"> L'article déclare : </w:t>
      </w:r>
      <w:r w:rsidRPr="007865F3">
        <w:rPr>
          <w:rFonts w:ascii="Calibri" w:eastAsia="Times New Roman" w:hAnsi="Calibri" w:cs="Calibri"/>
          <w:i/>
          <w:iCs/>
          <w:color w:val="1F1F1F"/>
          <w:kern w:val="0"/>
          <w:bdr w:val="none" w:sz="0" w:space="0" w:color="auto" w:frame="1"/>
          <w:lang w:eastAsia="en-GB"/>
          <w14:ligatures w14:val="none"/>
        </w:rPr>
        <w:t>"Multiplicity adjustment was not planned in this phase 2 trial"</w:t>
      </w:r>
      <w:r w:rsidRPr="007865F3">
        <w:rPr>
          <w:rFonts w:ascii="Calibri" w:eastAsia="Times New Roman" w:hAnsi="Calibri" w:cs="Calibri"/>
          <w:color w:val="444746"/>
          <w:kern w:val="0"/>
          <w:bdr w:val="none" w:sz="0" w:space="0" w:color="auto" w:frame="1"/>
          <w:vertAlign w:val="superscript"/>
          <w:lang w:eastAsia="en-GB"/>
          <w14:ligatures w14:val="none"/>
        </w:rPr>
        <w:t>3</w:t>
      </w:r>
      <w:r w:rsidRPr="007865F3">
        <w:rPr>
          <w:rFonts w:ascii="Calibri" w:eastAsia="Times New Roman" w:hAnsi="Calibri" w:cs="Calibri"/>
          <w:color w:val="1F1F1F"/>
          <w:kern w:val="0"/>
          <w:bdr w:val="none" w:sz="0" w:space="0" w:color="auto" w:frame="1"/>
          <w:lang w:eastAsia="en-GB"/>
          <w14:ligatures w14:val="none"/>
        </w:rPr>
        <w:t>.</w:t>
      </w:r>
    </w:p>
    <w:p w14:paraId="70251AF3" w14:textId="77777777" w:rsidR="007865F3" w:rsidRPr="007865F3" w:rsidRDefault="007865F3" w:rsidP="007865F3">
      <w:pPr>
        <w:numPr>
          <w:ilvl w:val="0"/>
          <w:numId w:val="80"/>
        </w:numPr>
        <w:spacing w:after="0" w:line="240" w:lineRule="auto"/>
        <w:rPr>
          <w:rFonts w:ascii="Calibri" w:eastAsia="Times New Roman" w:hAnsi="Calibri" w:cs="Calibri"/>
          <w:color w:val="1F1F1F"/>
          <w:kern w:val="0"/>
          <w:lang w:eastAsia="en-GB"/>
          <w14:ligatures w14:val="none"/>
        </w:rPr>
      </w:pPr>
      <w:r w:rsidRPr="007865F3">
        <w:rPr>
          <w:rFonts w:ascii="Calibri" w:eastAsia="Times New Roman" w:hAnsi="Calibri" w:cs="Calibri"/>
          <w:b/>
          <w:bCs/>
          <w:color w:val="1F1F1F"/>
          <w:kern w:val="0"/>
          <w:bdr w:val="none" w:sz="0" w:space="0" w:color="auto" w:frame="1"/>
          <w:lang w:eastAsia="en-GB"/>
          <w14:ligatures w14:val="none"/>
        </w:rPr>
        <w:t>L'explication :</w:t>
      </w:r>
      <w:r w:rsidRPr="007865F3">
        <w:rPr>
          <w:rFonts w:ascii="Calibri" w:eastAsia="Times New Roman" w:hAnsi="Calibri" w:cs="Calibri"/>
          <w:color w:val="1F1F1F"/>
          <w:kern w:val="0"/>
          <w:lang w:eastAsia="en-GB"/>
          <w14:ligatures w14:val="none"/>
        </w:rPr>
        <w:t xml:space="preserve"> En phase 2, l'objectif est d'identifier un signal ("signal seeking"). On accepte un risque d'erreur de type 1 (faux positif) plus élevé pour ne pas rater une molécule efficace.</w:t>
      </w:r>
    </w:p>
    <w:p w14:paraId="5A87C5ED" w14:textId="77777777" w:rsidR="007865F3" w:rsidRPr="007865F3" w:rsidRDefault="007865F3" w:rsidP="007865F3">
      <w:pPr>
        <w:numPr>
          <w:ilvl w:val="0"/>
          <w:numId w:val="80"/>
        </w:numPr>
        <w:spacing w:after="0" w:line="240" w:lineRule="auto"/>
        <w:rPr>
          <w:rFonts w:ascii="Calibri" w:eastAsia="Times New Roman" w:hAnsi="Calibri" w:cs="Calibri"/>
          <w:color w:val="1F1F1F"/>
          <w:kern w:val="0"/>
          <w:lang w:eastAsia="en-GB"/>
          <w14:ligatures w14:val="none"/>
        </w:rPr>
      </w:pPr>
      <w:r w:rsidRPr="007865F3">
        <w:rPr>
          <w:rFonts w:ascii="Calibri" w:eastAsia="Times New Roman" w:hAnsi="Calibri" w:cs="Calibri"/>
          <w:b/>
          <w:bCs/>
          <w:color w:val="1F1F1F"/>
          <w:kern w:val="0"/>
          <w:bdr w:val="none" w:sz="0" w:space="0" w:color="auto" w:frame="1"/>
          <w:lang w:eastAsia="en-GB"/>
          <w14:ligatures w14:val="none"/>
        </w:rPr>
        <w:t>La conséquence :</w:t>
      </w:r>
      <w:r w:rsidRPr="007865F3">
        <w:rPr>
          <w:rFonts w:ascii="Calibri" w:eastAsia="Times New Roman" w:hAnsi="Calibri" w:cs="Calibri"/>
          <w:color w:val="1F1F1F"/>
          <w:kern w:val="0"/>
          <w:lang w:eastAsia="en-GB"/>
          <w14:ligatures w14:val="none"/>
        </w:rPr>
        <w:t xml:space="preserve"> Les valeurs de </w:t>
      </w:r>
      <w:r w:rsidRPr="007865F3">
        <w:rPr>
          <w:rFonts w:ascii="Calibri" w:eastAsia="Times New Roman" w:hAnsi="Calibri" w:cs="Calibri"/>
          <w:color w:val="1F1F1F"/>
          <w:kern w:val="0"/>
          <w:bdr w:val="none" w:sz="0" w:space="0" w:color="auto" w:frame="1"/>
          <w:lang w:eastAsia="en-GB"/>
          <w14:ligatures w14:val="none"/>
        </w:rPr>
        <w:t>$p$</w:t>
      </w:r>
      <w:r w:rsidRPr="007865F3">
        <w:rPr>
          <w:rFonts w:ascii="Calibri" w:eastAsia="Times New Roman" w:hAnsi="Calibri" w:cs="Calibri"/>
          <w:color w:val="1F1F1F"/>
          <w:kern w:val="0"/>
          <w:lang w:eastAsia="en-GB"/>
          <w14:ligatures w14:val="none"/>
        </w:rPr>
        <w:t xml:space="preserve"> présentées (ex: </w:t>
      </w:r>
      <w:r w:rsidRPr="007865F3">
        <w:rPr>
          <w:rFonts w:ascii="Calibri" w:eastAsia="Times New Roman" w:hAnsi="Calibri" w:cs="Calibri"/>
          <w:color w:val="1F1F1F"/>
          <w:kern w:val="0"/>
          <w:bdr w:val="none" w:sz="0" w:space="0" w:color="auto" w:frame="1"/>
          <w:lang w:eastAsia="en-GB"/>
          <w14:ligatures w14:val="none"/>
        </w:rPr>
        <w:t>$p=0.0094$</w:t>
      </w:r>
      <w:r w:rsidRPr="007865F3">
        <w:rPr>
          <w:rFonts w:ascii="Calibri" w:eastAsia="Times New Roman" w:hAnsi="Calibri" w:cs="Calibri"/>
          <w:color w:val="1F1F1F"/>
          <w:kern w:val="0"/>
          <w:lang w:eastAsia="en-GB"/>
          <w14:ligatures w14:val="none"/>
        </w:rPr>
        <w:t>) sont dites "nominales". Elles doivent être interprétées comme une force de preuve indicative plutôt que comme une certitude absolue confirmatoire (qui sera l'objet de la phase 3).</w:t>
      </w:r>
    </w:p>
    <w:p w14:paraId="25C0F349" w14:textId="77777777" w:rsidR="007865F3" w:rsidRPr="007865F3" w:rsidRDefault="007865F3" w:rsidP="007865F3">
      <w:pPr>
        <w:spacing w:after="120" w:line="240" w:lineRule="auto"/>
        <w:outlineLvl w:val="2"/>
        <w:rPr>
          <w:rFonts w:ascii="Calibri" w:eastAsia="Times New Roman" w:hAnsi="Calibri" w:cs="Calibri"/>
          <w:b/>
          <w:bCs/>
          <w:color w:val="1F1F1F"/>
          <w:kern w:val="0"/>
          <w:sz w:val="27"/>
          <w:szCs w:val="27"/>
          <w:lang w:eastAsia="en-GB"/>
          <w14:ligatures w14:val="none"/>
        </w:rPr>
      </w:pPr>
      <w:r w:rsidRPr="007865F3">
        <w:rPr>
          <w:rFonts w:ascii="Calibri" w:eastAsia="Times New Roman" w:hAnsi="Calibri" w:cs="Calibri"/>
          <w:b/>
          <w:bCs/>
          <w:color w:val="1F1F1F"/>
          <w:kern w:val="0"/>
          <w:sz w:val="27"/>
          <w:szCs w:val="27"/>
          <w:lang w:eastAsia="en-GB"/>
          <w14:ligatures w14:val="none"/>
        </w:rPr>
        <w:t>3. Calcul de la puissance et taille d'échantillon</w:t>
      </w:r>
    </w:p>
    <w:p w14:paraId="7641F75B" w14:textId="77777777" w:rsidR="007865F3" w:rsidRPr="007865F3" w:rsidRDefault="007865F3" w:rsidP="007865F3">
      <w:pPr>
        <w:spacing w:after="0" w:line="240" w:lineRule="auto"/>
        <w:rPr>
          <w:rFonts w:ascii="Calibri" w:eastAsia="Times New Roman" w:hAnsi="Calibri" w:cs="Calibri"/>
          <w:color w:val="1F1F1F"/>
          <w:kern w:val="0"/>
          <w:lang w:eastAsia="en-GB"/>
          <w14:ligatures w14:val="none"/>
        </w:rPr>
      </w:pPr>
      <w:r w:rsidRPr="007865F3">
        <w:rPr>
          <w:rFonts w:ascii="Calibri" w:eastAsia="Times New Roman" w:hAnsi="Calibri" w:cs="Calibri"/>
          <w:b/>
          <w:bCs/>
          <w:color w:val="1F1F1F"/>
          <w:kern w:val="0"/>
          <w:bdr w:val="none" w:sz="0" w:space="0" w:color="auto" w:frame="1"/>
          <w:lang w:eastAsia="en-GB"/>
          <w14:ligatures w14:val="none"/>
        </w:rPr>
        <w:t>Q : Le calcul de la taille de l'échantillon (Sample Size) semble hétérogène entre les deux parties de l'étude. Est-il valide pour le critère principal histologique ?</w:t>
      </w:r>
    </w:p>
    <w:p w14:paraId="5BBB54F8" w14:textId="77777777" w:rsidR="007865F3" w:rsidRPr="007865F3" w:rsidRDefault="007865F3" w:rsidP="007865F3">
      <w:pPr>
        <w:numPr>
          <w:ilvl w:val="0"/>
          <w:numId w:val="81"/>
        </w:numPr>
        <w:spacing w:after="0" w:line="240" w:lineRule="auto"/>
        <w:rPr>
          <w:rFonts w:ascii="Calibri" w:eastAsia="Times New Roman" w:hAnsi="Calibri" w:cs="Calibri"/>
          <w:color w:val="1F1F1F"/>
          <w:kern w:val="0"/>
          <w:lang w:eastAsia="en-GB"/>
          <w14:ligatures w14:val="none"/>
        </w:rPr>
      </w:pPr>
      <w:r w:rsidRPr="007865F3">
        <w:rPr>
          <w:rFonts w:ascii="Calibri" w:eastAsia="Times New Roman" w:hAnsi="Calibri" w:cs="Calibri"/>
          <w:b/>
          <w:bCs/>
          <w:color w:val="1F1F1F"/>
          <w:kern w:val="0"/>
          <w:bdr w:val="none" w:sz="0" w:space="0" w:color="auto" w:frame="1"/>
          <w:lang w:eastAsia="en-GB"/>
          <w14:ligatures w14:val="none"/>
        </w:rPr>
        <w:t>Réponse :</w:t>
      </w:r>
      <w:r w:rsidRPr="007865F3">
        <w:rPr>
          <w:rFonts w:ascii="Calibri" w:eastAsia="Times New Roman" w:hAnsi="Calibri" w:cs="Calibri"/>
          <w:color w:val="1F1F1F"/>
          <w:kern w:val="0"/>
          <w:lang w:eastAsia="en-GB"/>
          <w14:ligatures w14:val="none"/>
        </w:rPr>
        <w:t xml:space="preserve"> C'est un point de faiblesse méthodologique.</w:t>
      </w:r>
    </w:p>
    <w:p w14:paraId="3CB79220" w14:textId="77777777" w:rsidR="007865F3" w:rsidRPr="007865F3" w:rsidRDefault="007865F3" w:rsidP="007865F3">
      <w:pPr>
        <w:numPr>
          <w:ilvl w:val="0"/>
          <w:numId w:val="81"/>
        </w:numPr>
        <w:spacing w:after="0" w:line="240" w:lineRule="auto"/>
        <w:rPr>
          <w:rFonts w:ascii="Calibri" w:eastAsia="Times New Roman" w:hAnsi="Calibri" w:cs="Calibri"/>
          <w:color w:val="1F1F1F"/>
          <w:kern w:val="0"/>
          <w:lang w:eastAsia="en-GB"/>
          <w14:ligatures w14:val="none"/>
        </w:rPr>
      </w:pPr>
      <w:r w:rsidRPr="007865F3">
        <w:rPr>
          <w:rFonts w:ascii="Calibri" w:eastAsia="Times New Roman" w:hAnsi="Calibri" w:cs="Calibri"/>
          <w:b/>
          <w:bCs/>
          <w:color w:val="1F1F1F"/>
          <w:kern w:val="0"/>
          <w:bdr w:val="none" w:sz="0" w:space="0" w:color="auto" w:frame="1"/>
          <w:lang w:eastAsia="en-GB"/>
          <w14:ligatures w14:val="none"/>
        </w:rPr>
        <w:t>L'incohérence :</w:t>
      </w:r>
      <w:r w:rsidRPr="007865F3">
        <w:rPr>
          <w:rFonts w:ascii="Calibri" w:eastAsia="Times New Roman" w:hAnsi="Calibri" w:cs="Calibri"/>
          <w:color w:val="1F1F1F"/>
          <w:kern w:val="0"/>
          <w:bdr w:val="none" w:sz="0" w:space="0" w:color="auto" w:frame="1"/>
          <w:lang w:eastAsia="en-GB"/>
          <w14:ligatures w14:val="none"/>
        </w:rPr>
        <w:t xml:space="preserve"> Pour la Partie 1, la puissance a été calculée sur la réduction de la graisse hépatique (IRM-PDFF) et non l'histologie</w:t>
      </w:r>
      <w:r w:rsidRPr="007865F3">
        <w:rPr>
          <w:rFonts w:ascii="Calibri" w:eastAsia="Times New Roman" w:hAnsi="Calibri" w:cs="Calibri"/>
          <w:color w:val="444746"/>
          <w:kern w:val="0"/>
          <w:bdr w:val="none" w:sz="0" w:space="0" w:color="auto" w:frame="1"/>
          <w:vertAlign w:val="superscript"/>
          <w:lang w:eastAsia="en-GB"/>
          <w14:ligatures w14:val="none"/>
        </w:rPr>
        <w:t>4</w:t>
      </w:r>
      <w:r w:rsidRPr="007865F3">
        <w:rPr>
          <w:rFonts w:ascii="Calibri" w:eastAsia="Times New Roman" w:hAnsi="Calibri" w:cs="Calibri"/>
          <w:color w:val="1F1F1F"/>
          <w:kern w:val="0"/>
          <w:bdr w:val="none" w:sz="0" w:space="0" w:color="auto" w:frame="1"/>
          <w:lang w:eastAsia="en-GB"/>
          <w14:ligatures w14:val="none"/>
        </w:rPr>
        <w:t>. Ce n'est que pour la Partie 2 que le calcul a été fait sur le critère histologique (MASH resolution)</w:t>
      </w:r>
      <w:r w:rsidRPr="007865F3">
        <w:rPr>
          <w:rFonts w:ascii="Calibri" w:eastAsia="Times New Roman" w:hAnsi="Calibri" w:cs="Calibri"/>
          <w:color w:val="444746"/>
          <w:kern w:val="0"/>
          <w:bdr w:val="none" w:sz="0" w:space="0" w:color="auto" w:frame="1"/>
          <w:vertAlign w:val="superscript"/>
          <w:lang w:eastAsia="en-GB"/>
          <w14:ligatures w14:val="none"/>
        </w:rPr>
        <w:t>5</w:t>
      </w:r>
      <w:r w:rsidRPr="007865F3">
        <w:rPr>
          <w:rFonts w:ascii="Calibri" w:eastAsia="Times New Roman" w:hAnsi="Calibri" w:cs="Calibri"/>
          <w:color w:val="1F1F1F"/>
          <w:kern w:val="0"/>
          <w:bdr w:val="none" w:sz="0" w:space="0" w:color="auto" w:frame="1"/>
          <w:lang w:eastAsia="en-GB"/>
          <w14:ligatures w14:val="none"/>
        </w:rPr>
        <w:t>.</w:t>
      </w:r>
    </w:p>
    <w:p w14:paraId="696D9BE8" w14:textId="77777777" w:rsidR="007865F3" w:rsidRPr="007865F3" w:rsidRDefault="007865F3" w:rsidP="007865F3">
      <w:pPr>
        <w:numPr>
          <w:ilvl w:val="0"/>
          <w:numId w:val="81"/>
        </w:numPr>
        <w:spacing w:after="0" w:line="240" w:lineRule="auto"/>
        <w:rPr>
          <w:rFonts w:ascii="Calibri" w:eastAsia="Times New Roman" w:hAnsi="Calibri" w:cs="Calibri"/>
          <w:color w:val="1F1F1F"/>
          <w:kern w:val="0"/>
          <w:lang w:eastAsia="en-GB"/>
          <w14:ligatures w14:val="none"/>
        </w:rPr>
      </w:pPr>
      <w:r w:rsidRPr="007865F3">
        <w:rPr>
          <w:rFonts w:ascii="Calibri" w:eastAsia="Times New Roman" w:hAnsi="Calibri" w:cs="Calibri"/>
          <w:b/>
          <w:bCs/>
          <w:color w:val="1F1F1F"/>
          <w:kern w:val="0"/>
          <w:bdr w:val="none" w:sz="0" w:space="0" w:color="auto" w:frame="1"/>
          <w:lang w:eastAsia="en-GB"/>
          <w14:ligatures w14:val="none"/>
        </w:rPr>
        <w:t>Le risque de sous-puissance :</w:t>
      </w:r>
      <w:r w:rsidRPr="007865F3">
        <w:rPr>
          <w:rFonts w:ascii="Calibri" w:eastAsia="Times New Roman" w:hAnsi="Calibri" w:cs="Calibri"/>
          <w:color w:val="1F1F1F"/>
          <w:kern w:val="0"/>
          <w:bdr w:val="none" w:sz="0" w:space="0" w:color="auto" w:frame="1"/>
          <w:lang w:eastAsia="en-GB"/>
          <w14:ligatures w14:val="none"/>
        </w:rPr>
        <w:t xml:space="preserve"> Ils ont estimé un taux de retrait (withdrawal rate) de 15% pour leur calcul</w:t>
      </w:r>
      <w:r w:rsidRPr="007865F3">
        <w:rPr>
          <w:rFonts w:ascii="Calibri" w:eastAsia="Times New Roman" w:hAnsi="Calibri" w:cs="Calibri"/>
          <w:color w:val="444746"/>
          <w:kern w:val="0"/>
          <w:bdr w:val="none" w:sz="0" w:space="0" w:color="auto" w:frame="1"/>
          <w:vertAlign w:val="superscript"/>
          <w:lang w:eastAsia="en-GB"/>
          <w14:ligatures w14:val="none"/>
        </w:rPr>
        <w:t>6</w:t>
      </w:r>
      <w:r w:rsidRPr="007865F3">
        <w:rPr>
          <w:rFonts w:ascii="Calibri" w:eastAsia="Times New Roman" w:hAnsi="Calibri" w:cs="Calibri"/>
          <w:color w:val="1F1F1F"/>
          <w:kern w:val="0"/>
          <w:bdr w:val="none" w:sz="0" w:space="0" w:color="auto" w:frame="1"/>
          <w:lang w:eastAsia="en-GB"/>
          <w14:ligatures w14:val="none"/>
        </w:rPr>
        <w:t>. Or, dans les faits, ils ont exclu 23% des patients de l'analyse Per-Protocol (37 sur 160)</w:t>
      </w:r>
      <w:r w:rsidRPr="007865F3">
        <w:rPr>
          <w:rFonts w:ascii="Calibri" w:eastAsia="Times New Roman" w:hAnsi="Calibri" w:cs="Calibri"/>
          <w:color w:val="444746"/>
          <w:kern w:val="0"/>
          <w:bdr w:val="none" w:sz="0" w:space="0" w:color="auto" w:frame="1"/>
          <w:vertAlign w:val="superscript"/>
          <w:lang w:eastAsia="en-GB"/>
          <w14:ligatures w14:val="none"/>
        </w:rPr>
        <w:t>7</w:t>
      </w:r>
      <w:r w:rsidRPr="007865F3">
        <w:rPr>
          <w:rFonts w:ascii="Calibri" w:eastAsia="Times New Roman" w:hAnsi="Calibri" w:cs="Calibri"/>
          <w:color w:val="1F1F1F"/>
          <w:kern w:val="0"/>
          <w:bdr w:val="none" w:sz="0" w:space="0" w:color="auto" w:frame="1"/>
          <w:lang w:eastAsia="en-GB"/>
          <w14:ligatures w14:val="none"/>
        </w:rPr>
        <w:t>.</w:t>
      </w:r>
    </w:p>
    <w:p w14:paraId="2D02FBA8" w14:textId="77777777" w:rsidR="007865F3" w:rsidRPr="007865F3" w:rsidRDefault="007865F3" w:rsidP="007865F3">
      <w:pPr>
        <w:numPr>
          <w:ilvl w:val="0"/>
          <w:numId w:val="81"/>
        </w:numPr>
        <w:spacing w:after="0" w:line="240" w:lineRule="auto"/>
        <w:rPr>
          <w:rFonts w:ascii="Calibri" w:eastAsia="Times New Roman" w:hAnsi="Calibri" w:cs="Calibri"/>
          <w:color w:val="1F1F1F"/>
          <w:kern w:val="0"/>
          <w:lang w:eastAsia="en-GB"/>
          <w14:ligatures w14:val="none"/>
        </w:rPr>
      </w:pPr>
      <w:r w:rsidRPr="007865F3">
        <w:rPr>
          <w:rFonts w:ascii="Calibri" w:eastAsia="Times New Roman" w:hAnsi="Calibri" w:cs="Calibri"/>
          <w:b/>
          <w:bCs/>
          <w:color w:val="1F1F1F"/>
          <w:kern w:val="0"/>
          <w:bdr w:val="none" w:sz="0" w:space="0" w:color="auto" w:frame="1"/>
          <w:lang w:eastAsia="en-GB"/>
          <w14:ligatures w14:val="none"/>
        </w:rPr>
        <w:t>Conclusion :</w:t>
      </w:r>
      <w:r w:rsidRPr="007865F3">
        <w:rPr>
          <w:rFonts w:ascii="Calibri" w:eastAsia="Times New Roman" w:hAnsi="Calibri" w:cs="Calibri"/>
          <w:color w:val="1F1F1F"/>
          <w:kern w:val="0"/>
          <w:bdr w:val="none" w:sz="0" w:space="0" w:color="auto" w:frame="1"/>
          <w:lang w:eastAsia="en-GB"/>
          <w14:ligatures w14:val="none"/>
        </w:rPr>
        <w:t xml:space="preserve"> L'étude est techniquement sous-puissancée par rapport à ses hypothèses initiales. Le fait d'avoir obtenu des résultats significatifs suggère que la taille d'effet du médicament (Effect Size) était plus importante que prévu (27-40% de différence vs placebo)</w:t>
      </w:r>
      <w:r w:rsidRPr="007865F3">
        <w:rPr>
          <w:rFonts w:ascii="Calibri" w:eastAsia="Times New Roman" w:hAnsi="Calibri" w:cs="Calibri"/>
          <w:color w:val="444746"/>
          <w:kern w:val="0"/>
          <w:bdr w:val="none" w:sz="0" w:space="0" w:color="auto" w:frame="1"/>
          <w:vertAlign w:val="superscript"/>
          <w:lang w:eastAsia="en-GB"/>
          <w14:ligatures w14:val="none"/>
        </w:rPr>
        <w:t>8</w:t>
      </w:r>
      <w:r w:rsidRPr="007865F3">
        <w:rPr>
          <w:rFonts w:ascii="Calibri" w:eastAsia="Times New Roman" w:hAnsi="Calibri" w:cs="Calibri"/>
          <w:color w:val="1F1F1F"/>
          <w:kern w:val="0"/>
          <w:bdr w:val="none" w:sz="0" w:space="0" w:color="auto" w:frame="1"/>
          <w:lang w:eastAsia="en-GB"/>
          <w14:ligatures w14:val="none"/>
        </w:rPr>
        <w:t>.</w:t>
      </w:r>
    </w:p>
    <w:p w14:paraId="667D36D8" w14:textId="77777777" w:rsidR="007865F3" w:rsidRPr="007865F3" w:rsidRDefault="007865F3" w:rsidP="007865F3">
      <w:pPr>
        <w:spacing w:after="120" w:line="240" w:lineRule="auto"/>
        <w:outlineLvl w:val="2"/>
        <w:rPr>
          <w:rFonts w:ascii="Calibri" w:eastAsia="Times New Roman" w:hAnsi="Calibri" w:cs="Calibri"/>
          <w:b/>
          <w:bCs/>
          <w:color w:val="1F1F1F"/>
          <w:kern w:val="0"/>
          <w:sz w:val="27"/>
          <w:szCs w:val="27"/>
          <w:lang w:eastAsia="en-GB"/>
          <w14:ligatures w14:val="none"/>
        </w:rPr>
      </w:pPr>
      <w:r w:rsidRPr="007865F3">
        <w:rPr>
          <w:rFonts w:ascii="Calibri" w:eastAsia="Times New Roman" w:hAnsi="Calibri" w:cs="Calibri"/>
          <w:b/>
          <w:bCs/>
          <w:color w:val="1F1F1F"/>
          <w:kern w:val="0"/>
          <w:sz w:val="27"/>
          <w:szCs w:val="27"/>
          <w:lang w:eastAsia="en-GB"/>
          <w14:ligatures w14:val="none"/>
        </w:rPr>
        <w:lastRenderedPageBreak/>
        <w:t>4. Le biais d'évaluation histologique</w:t>
      </w:r>
    </w:p>
    <w:p w14:paraId="6CADDC00" w14:textId="77777777" w:rsidR="007865F3" w:rsidRPr="007865F3" w:rsidRDefault="007865F3" w:rsidP="007865F3">
      <w:pPr>
        <w:spacing w:after="0" w:line="240" w:lineRule="auto"/>
        <w:rPr>
          <w:rFonts w:ascii="Calibri" w:eastAsia="Times New Roman" w:hAnsi="Calibri" w:cs="Calibri"/>
          <w:color w:val="1F1F1F"/>
          <w:kern w:val="0"/>
          <w:lang w:eastAsia="en-GB"/>
          <w14:ligatures w14:val="none"/>
        </w:rPr>
      </w:pPr>
      <w:r w:rsidRPr="007865F3">
        <w:rPr>
          <w:rFonts w:ascii="Calibri" w:eastAsia="Times New Roman" w:hAnsi="Calibri" w:cs="Calibri"/>
          <w:b/>
          <w:bCs/>
          <w:color w:val="1F1F1F"/>
          <w:kern w:val="0"/>
          <w:bdr w:val="none" w:sz="0" w:space="0" w:color="auto" w:frame="1"/>
          <w:lang w:eastAsia="en-GB"/>
          <w14:ligatures w14:val="none"/>
        </w:rPr>
        <w:t>Q : Le critère principal repose sur une biopsie hépatique, qui est connue pour sa variabilité d'interprétation. Comment les auteurs ont-ils limité ce biais de mesure ?</w:t>
      </w:r>
    </w:p>
    <w:p w14:paraId="64DDDC8A" w14:textId="77777777" w:rsidR="007865F3" w:rsidRPr="007865F3" w:rsidRDefault="007865F3" w:rsidP="007865F3">
      <w:pPr>
        <w:numPr>
          <w:ilvl w:val="0"/>
          <w:numId w:val="82"/>
        </w:numPr>
        <w:spacing w:after="0" w:line="240" w:lineRule="auto"/>
        <w:rPr>
          <w:rFonts w:ascii="Calibri" w:eastAsia="Times New Roman" w:hAnsi="Calibri" w:cs="Calibri"/>
          <w:color w:val="1F1F1F"/>
          <w:kern w:val="0"/>
          <w:lang w:eastAsia="en-GB"/>
          <w14:ligatures w14:val="none"/>
        </w:rPr>
      </w:pPr>
      <w:r w:rsidRPr="007865F3">
        <w:rPr>
          <w:rFonts w:ascii="Calibri" w:eastAsia="Times New Roman" w:hAnsi="Calibri" w:cs="Calibri"/>
          <w:b/>
          <w:bCs/>
          <w:color w:val="1F1F1F"/>
          <w:kern w:val="0"/>
          <w:bdr w:val="none" w:sz="0" w:space="0" w:color="auto" w:frame="1"/>
          <w:lang w:eastAsia="en-GB"/>
          <w14:ligatures w14:val="none"/>
        </w:rPr>
        <w:t>Réponse :</w:t>
      </w:r>
      <w:r w:rsidRPr="007865F3">
        <w:rPr>
          <w:rFonts w:ascii="Calibri" w:eastAsia="Times New Roman" w:hAnsi="Calibri" w:cs="Calibri"/>
          <w:color w:val="1F1F1F"/>
          <w:kern w:val="0"/>
          <w:lang w:eastAsia="en-GB"/>
          <w14:ligatures w14:val="none"/>
        </w:rPr>
        <w:t xml:space="preserve"> Ils ont utilisé le "Gold Standard" méthodologique pour cet endpoint.</w:t>
      </w:r>
    </w:p>
    <w:p w14:paraId="2E629398" w14:textId="77777777" w:rsidR="007865F3" w:rsidRPr="007865F3" w:rsidRDefault="007865F3" w:rsidP="007865F3">
      <w:pPr>
        <w:numPr>
          <w:ilvl w:val="1"/>
          <w:numId w:val="82"/>
        </w:numPr>
        <w:spacing w:after="0" w:line="240" w:lineRule="auto"/>
        <w:rPr>
          <w:rFonts w:ascii="Calibri" w:eastAsia="Times New Roman" w:hAnsi="Calibri" w:cs="Calibri"/>
          <w:color w:val="1F1F1F"/>
          <w:kern w:val="0"/>
          <w:lang w:eastAsia="en-GB"/>
          <w14:ligatures w14:val="none"/>
        </w:rPr>
      </w:pPr>
      <w:r w:rsidRPr="007865F3">
        <w:rPr>
          <w:rFonts w:ascii="Calibri" w:eastAsia="Times New Roman" w:hAnsi="Calibri" w:cs="Calibri"/>
          <w:b/>
          <w:bCs/>
          <w:color w:val="1F1F1F"/>
          <w:kern w:val="0"/>
          <w:bdr w:val="none" w:sz="0" w:space="0" w:color="auto" w:frame="1"/>
          <w:lang w:eastAsia="en-GB"/>
          <w14:ligatures w14:val="none"/>
        </w:rPr>
        <w:t>Lecture centralisée :</w:t>
      </w:r>
      <w:r w:rsidRPr="007865F3">
        <w:rPr>
          <w:rFonts w:ascii="Calibri" w:eastAsia="Times New Roman" w:hAnsi="Calibri" w:cs="Calibri"/>
          <w:color w:val="1F1F1F"/>
          <w:kern w:val="0"/>
          <w:bdr w:val="none" w:sz="0" w:space="0" w:color="auto" w:frame="1"/>
          <w:lang w:eastAsia="en-GB"/>
          <w14:ligatures w14:val="none"/>
        </w:rPr>
        <w:t xml:space="preserve"> Les biopsies n'ont pas été lues par les pathologistes locaux, mais par deux pathologistes centraux indépendants</w:t>
      </w:r>
      <w:r w:rsidRPr="007865F3">
        <w:rPr>
          <w:rFonts w:ascii="Calibri" w:eastAsia="Times New Roman" w:hAnsi="Calibri" w:cs="Calibri"/>
          <w:color w:val="444746"/>
          <w:kern w:val="0"/>
          <w:bdr w:val="none" w:sz="0" w:space="0" w:color="auto" w:frame="1"/>
          <w:vertAlign w:val="superscript"/>
          <w:lang w:eastAsia="en-GB"/>
          <w14:ligatures w14:val="none"/>
        </w:rPr>
        <w:t>9</w:t>
      </w:r>
      <w:r w:rsidRPr="007865F3">
        <w:rPr>
          <w:rFonts w:ascii="Calibri" w:eastAsia="Times New Roman" w:hAnsi="Calibri" w:cs="Calibri"/>
          <w:color w:val="1F1F1F"/>
          <w:kern w:val="0"/>
          <w:bdr w:val="none" w:sz="0" w:space="0" w:color="auto" w:frame="1"/>
          <w:lang w:eastAsia="en-GB"/>
          <w14:ligatures w14:val="none"/>
        </w:rPr>
        <w:t>.</w:t>
      </w:r>
    </w:p>
    <w:p w14:paraId="16C4F28E" w14:textId="77777777" w:rsidR="007865F3" w:rsidRPr="007865F3" w:rsidRDefault="007865F3" w:rsidP="007865F3">
      <w:pPr>
        <w:numPr>
          <w:ilvl w:val="1"/>
          <w:numId w:val="82"/>
        </w:numPr>
        <w:spacing w:after="0" w:line="240" w:lineRule="auto"/>
        <w:rPr>
          <w:rFonts w:ascii="Calibri" w:eastAsia="Times New Roman" w:hAnsi="Calibri" w:cs="Calibri"/>
          <w:color w:val="1F1F1F"/>
          <w:kern w:val="0"/>
          <w:lang w:eastAsia="en-GB"/>
          <w14:ligatures w14:val="none"/>
        </w:rPr>
      </w:pPr>
      <w:r w:rsidRPr="007865F3">
        <w:rPr>
          <w:rFonts w:ascii="Calibri" w:eastAsia="Times New Roman" w:hAnsi="Calibri" w:cs="Calibri"/>
          <w:b/>
          <w:bCs/>
          <w:color w:val="1F1F1F"/>
          <w:kern w:val="0"/>
          <w:bdr w:val="none" w:sz="0" w:space="0" w:color="auto" w:frame="1"/>
          <w:lang w:eastAsia="en-GB"/>
          <w14:ligatures w14:val="none"/>
        </w:rPr>
        <w:t>Processus de consensus :</w:t>
      </w:r>
      <w:r w:rsidRPr="007865F3">
        <w:rPr>
          <w:rFonts w:ascii="Calibri" w:eastAsia="Times New Roman" w:hAnsi="Calibri" w:cs="Calibri"/>
          <w:color w:val="1F1F1F"/>
          <w:kern w:val="0"/>
          <w:bdr w:val="none" w:sz="0" w:space="0" w:color="auto" w:frame="1"/>
          <w:lang w:eastAsia="en-GB"/>
          <w14:ligatures w14:val="none"/>
        </w:rPr>
        <w:t xml:space="preserve"> En cas de désaccord entre les deux lecteurs, ils se réunissaient pour atteindre un consensus</w:t>
      </w:r>
      <w:r w:rsidRPr="007865F3">
        <w:rPr>
          <w:rFonts w:ascii="Calibri" w:eastAsia="Times New Roman" w:hAnsi="Calibri" w:cs="Calibri"/>
          <w:color w:val="444746"/>
          <w:kern w:val="0"/>
          <w:bdr w:val="none" w:sz="0" w:space="0" w:color="auto" w:frame="1"/>
          <w:vertAlign w:val="superscript"/>
          <w:lang w:eastAsia="en-GB"/>
          <w14:ligatures w14:val="none"/>
        </w:rPr>
        <w:t>10101010</w:t>
      </w:r>
      <w:r w:rsidRPr="007865F3">
        <w:rPr>
          <w:rFonts w:ascii="Calibri" w:eastAsia="Times New Roman" w:hAnsi="Calibri" w:cs="Calibri"/>
          <w:color w:val="1F1F1F"/>
          <w:kern w:val="0"/>
          <w:bdr w:val="none" w:sz="0" w:space="0" w:color="auto" w:frame="1"/>
          <w:lang w:eastAsia="en-GB"/>
          <w14:ligatures w14:val="none"/>
        </w:rPr>
        <w:t>.</w:t>
      </w:r>
    </w:p>
    <w:p w14:paraId="1C99FE3D" w14:textId="77777777" w:rsidR="007865F3" w:rsidRPr="007865F3" w:rsidRDefault="007865F3" w:rsidP="007865F3">
      <w:pPr>
        <w:numPr>
          <w:ilvl w:val="1"/>
          <w:numId w:val="82"/>
        </w:numPr>
        <w:spacing w:after="0" w:line="240" w:lineRule="auto"/>
        <w:rPr>
          <w:rFonts w:ascii="Calibri" w:eastAsia="Times New Roman" w:hAnsi="Calibri" w:cs="Calibri"/>
          <w:color w:val="1F1F1F"/>
          <w:kern w:val="0"/>
          <w:lang w:eastAsia="en-GB"/>
          <w14:ligatures w14:val="none"/>
        </w:rPr>
      </w:pPr>
      <w:r w:rsidRPr="007865F3">
        <w:rPr>
          <w:rFonts w:ascii="Calibri" w:eastAsia="Times New Roman" w:hAnsi="Calibri" w:cs="Calibri"/>
          <w:b/>
          <w:bCs/>
          <w:color w:val="1F1F1F"/>
          <w:kern w:val="0"/>
          <w:bdr w:val="none" w:sz="0" w:space="0" w:color="auto" w:frame="1"/>
          <w:lang w:eastAsia="en-GB"/>
          <w14:ligatures w14:val="none"/>
        </w:rPr>
        <w:t>Aveuglement :</w:t>
      </w:r>
      <w:r w:rsidRPr="007865F3">
        <w:rPr>
          <w:rFonts w:ascii="Calibri" w:eastAsia="Times New Roman" w:hAnsi="Calibri" w:cs="Calibri"/>
          <w:color w:val="1F1F1F"/>
          <w:kern w:val="0"/>
          <w:bdr w:val="none" w:sz="0" w:space="0" w:color="auto" w:frame="1"/>
          <w:lang w:eastAsia="en-GB"/>
          <w14:ligatures w14:val="none"/>
        </w:rPr>
        <w:t xml:space="preserve"> Les pathologistes ne connaissaient ni le traitement reçu, ni le moment de la biopsie (baseline vs fin de traitement)</w:t>
      </w:r>
      <w:r w:rsidRPr="007865F3">
        <w:rPr>
          <w:rFonts w:ascii="Calibri" w:eastAsia="Times New Roman" w:hAnsi="Calibri" w:cs="Calibri"/>
          <w:color w:val="444746"/>
          <w:kern w:val="0"/>
          <w:bdr w:val="none" w:sz="0" w:space="0" w:color="auto" w:frame="1"/>
          <w:vertAlign w:val="superscript"/>
          <w:lang w:eastAsia="en-GB"/>
          <w14:ligatures w14:val="none"/>
        </w:rPr>
        <w:t>11</w:t>
      </w:r>
      <w:r w:rsidRPr="007865F3">
        <w:rPr>
          <w:rFonts w:ascii="Calibri" w:eastAsia="Times New Roman" w:hAnsi="Calibri" w:cs="Calibri"/>
          <w:color w:val="1F1F1F"/>
          <w:kern w:val="0"/>
          <w:bdr w:val="none" w:sz="0" w:space="0" w:color="auto" w:frame="1"/>
          <w:lang w:eastAsia="en-GB"/>
          <w14:ligatures w14:val="none"/>
        </w:rPr>
        <w:t>. Cela évite le biais d'attente ("expectation bias") où le pathologiste a tendance à voir une amélioration simplement parce qu'il sait que c'est la biopsie de fin.</w:t>
      </w:r>
    </w:p>
    <w:p w14:paraId="5ABB3D08" w14:textId="77777777" w:rsidR="007865F3" w:rsidRPr="007865F3" w:rsidRDefault="007865F3" w:rsidP="007865F3">
      <w:pPr>
        <w:spacing w:after="120" w:line="240" w:lineRule="auto"/>
        <w:outlineLvl w:val="2"/>
        <w:rPr>
          <w:rFonts w:ascii="Calibri" w:eastAsia="Times New Roman" w:hAnsi="Calibri" w:cs="Calibri"/>
          <w:b/>
          <w:bCs/>
          <w:color w:val="1F1F1F"/>
          <w:kern w:val="0"/>
          <w:sz w:val="27"/>
          <w:szCs w:val="27"/>
          <w:lang w:eastAsia="en-GB"/>
          <w14:ligatures w14:val="none"/>
        </w:rPr>
      </w:pPr>
      <w:r w:rsidRPr="007865F3">
        <w:rPr>
          <w:rFonts w:ascii="Calibri" w:eastAsia="Times New Roman" w:hAnsi="Calibri" w:cs="Calibri"/>
          <w:b/>
          <w:bCs/>
          <w:color w:val="1F1F1F"/>
          <w:kern w:val="0"/>
          <w:sz w:val="27"/>
          <w:szCs w:val="27"/>
          <w:lang w:eastAsia="en-GB"/>
          <w14:ligatures w14:val="none"/>
        </w:rPr>
        <w:t>5. L'analyse intermédiaire (Interim Analysis)</w:t>
      </w:r>
    </w:p>
    <w:p w14:paraId="5C2131B3" w14:textId="77777777" w:rsidR="007865F3" w:rsidRPr="007865F3" w:rsidRDefault="007865F3" w:rsidP="007865F3">
      <w:pPr>
        <w:spacing w:after="0" w:line="240" w:lineRule="auto"/>
        <w:rPr>
          <w:rFonts w:ascii="Calibri" w:eastAsia="Times New Roman" w:hAnsi="Calibri" w:cs="Calibri"/>
          <w:color w:val="1F1F1F"/>
          <w:kern w:val="0"/>
          <w:lang w:eastAsia="en-GB"/>
          <w14:ligatures w14:val="none"/>
        </w:rPr>
      </w:pPr>
      <w:r w:rsidRPr="007865F3">
        <w:rPr>
          <w:rFonts w:ascii="Calibri" w:eastAsia="Times New Roman" w:hAnsi="Calibri" w:cs="Calibri"/>
          <w:b/>
          <w:bCs/>
          <w:color w:val="1F1F1F"/>
          <w:kern w:val="0"/>
          <w:bdr w:val="none" w:sz="0" w:space="0" w:color="auto" w:frame="1"/>
          <w:lang w:eastAsia="en-GB"/>
          <w14:ligatures w14:val="none"/>
        </w:rPr>
        <w:t>Q : Une analyse intermédiaire a été réalisée pour choisir les doses. Cela a-t-il pu lever l'aveugle (break the blind) ?</w:t>
      </w:r>
    </w:p>
    <w:p w14:paraId="007C790C" w14:textId="77777777" w:rsidR="007865F3" w:rsidRPr="007865F3" w:rsidRDefault="007865F3" w:rsidP="007865F3">
      <w:pPr>
        <w:numPr>
          <w:ilvl w:val="0"/>
          <w:numId w:val="83"/>
        </w:numPr>
        <w:spacing w:after="0" w:line="240" w:lineRule="auto"/>
        <w:rPr>
          <w:rFonts w:ascii="Calibri" w:eastAsia="Times New Roman" w:hAnsi="Calibri" w:cs="Calibri"/>
          <w:color w:val="1F1F1F"/>
          <w:kern w:val="0"/>
          <w:lang w:eastAsia="en-GB"/>
          <w14:ligatures w14:val="none"/>
        </w:rPr>
      </w:pPr>
      <w:r w:rsidRPr="007865F3">
        <w:rPr>
          <w:rFonts w:ascii="Calibri" w:eastAsia="Times New Roman" w:hAnsi="Calibri" w:cs="Calibri"/>
          <w:b/>
          <w:bCs/>
          <w:color w:val="1F1F1F"/>
          <w:kern w:val="0"/>
          <w:bdr w:val="none" w:sz="0" w:space="0" w:color="auto" w:frame="1"/>
          <w:lang w:eastAsia="en-GB"/>
          <w14:ligatures w14:val="none"/>
        </w:rPr>
        <w:t>Réponse :</w:t>
      </w:r>
      <w:r w:rsidRPr="007865F3">
        <w:rPr>
          <w:rFonts w:ascii="Calibri" w:eastAsia="Times New Roman" w:hAnsi="Calibri" w:cs="Calibri"/>
          <w:color w:val="1F1F1F"/>
          <w:kern w:val="0"/>
          <w:lang w:eastAsia="en-GB"/>
          <w14:ligatures w14:val="none"/>
        </w:rPr>
        <w:t xml:space="preserve"> Le protocole a mis en place des pare-feux ("firewalls") stricts.</w:t>
      </w:r>
    </w:p>
    <w:p w14:paraId="423C6CBE" w14:textId="77777777" w:rsidR="007865F3" w:rsidRPr="007865F3" w:rsidRDefault="007865F3" w:rsidP="007865F3">
      <w:pPr>
        <w:numPr>
          <w:ilvl w:val="0"/>
          <w:numId w:val="83"/>
        </w:numPr>
        <w:spacing w:after="0" w:line="240" w:lineRule="auto"/>
        <w:rPr>
          <w:rFonts w:ascii="Calibri" w:eastAsia="Times New Roman" w:hAnsi="Calibri" w:cs="Calibri"/>
          <w:color w:val="1F1F1F"/>
          <w:kern w:val="0"/>
          <w:lang w:eastAsia="en-GB"/>
          <w14:ligatures w14:val="none"/>
        </w:rPr>
      </w:pPr>
      <w:r w:rsidRPr="007865F3">
        <w:rPr>
          <w:rFonts w:ascii="Calibri" w:eastAsia="Times New Roman" w:hAnsi="Calibri" w:cs="Calibri"/>
          <w:color w:val="1F1F1F"/>
          <w:kern w:val="0"/>
          <w:bdr w:val="none" w:sz="0" w:space="0" w:color="auto" w:frame="1"/>
          <w:lang w:eastAsia="en-GB"/>
          <w14:ligatures w14:val="none"/>
        </w:rPr>
        <w:t>L'analyse était prévue au protocole après que les 50 premiers patients aient atteint la semaine 13</w:t>
      </w:r>
      <w:r w:rsidRPr="007865F3">
        <w:rPr>
          <w:rFonts w:ascii="Calibri" w:eastAsia="Times New Roman" w:hAnsi="Calibri" w:cs="Calibri"/>
          <w:color w:val="444746"/>
          <w:kern w:val="0"/>
          <w:bdr w:val="none" w:sz="0" w:space="0" w:color="auto" w:frame="1"/>
          <w:vertAlign w:val="superscript"/>
          <w:lang w:eastAsia="en-GB"/>
          <w14:ligatures w14:val="none"/>
        </w:rPr>
        <w:t>12</w:t>
      </w:r>
      <w:r w:rsidRPr="007865F3">
        <w:rPr>
          <w:rFonts w:ascii="Calibri" w:eastAsia="Times New Roman" w:hAnsi="Calibri" w:cs="Calibri"/>
          <w:color w:val="1F1F1F"/>
          <w:kern w:val="0"/>
          <w:bdr w:val="none" w:sz="0" w:space="0" w:color="auto" w:frame="1"/>
          <w:lang w:eastAsia="en-GB"/>
          <w14:ligatures w14:val="none"/>
        </w:rPr>
        <w:t>.</w:t>
      </w:r>
    </w:p>
    <w:p w14:paraId="23249562" w14:textId="77777777" w:rsidR="007865F3" w:rsidRPr="007865F3" w:rsidRDefault="007865F3" w:rsidP="007865F3">
      <w:pPr>
        <w:numPr>
          <w:ilvl w:val="0"/>
          <w:numId w:val="83"/>
        </w:numPr>
        <w:spacing w:after="0" w:line="240" w:lineRule="auto"/>
        <w:rPr>
          <w:rFonts w:ascii="Calibri" w:eastAsia="Times New Roman" w:hAnsi="Calibri" w:cs="Calibri"/>
          <w:color w:val="1F1F1F"/>
          <w:kern w:val="0"/>
          <w:lang w:eastAsia="en-GB"/>
          <w14:ligatures w14:val="none"/>
        </w:rPr>
      </w:pPr>
      <w:r w:rsidRPr="007865F3">
        <w:rPr>
          <w:rFonts w:ascii="Calibri" w:eastAsia="Times New Roman" w:hAnsi="Calibri" w:cs="Calibri"/>
          <w:color w:val="1F1F1F"/>
          <w:kern w:val="0"/>
          <w:bdr w:val="none" w:sz="0" w:space="0" w:color="auto" w:frame="1"/>
          <w:lang w:eastAsia="en-GB"/>
          <w14:ligatures w14:val="none"/>
        </w:rPr>
        <w:t>Seul un comité indépendant (Data Safety and Monitoring Board - DSMB) a eu accès aux données non masquées</w:t>
      </w:r>
      <w:r w:rsidRPr="007865F3">
        <w:rPr>
          <w:rFonts w:ascii="Calibri" w:eastAsia="Times New Roman" w:hAnsi="Calibri" w:cs="Calibri"/>
          <w:color w:val="444746"/>
          <w:kern w:val="0"/>
          <w:bdr w:val="none" w:sz="0" w:space="0" w:color="auto" w:frame="1"/>
          <w:vertAlign w:val="superscript"/>
          <w:lang w:eastAsia="en-GB"/>
          <w14:ligatures w14:val="none"/>
        </w:rPr>
        <w:t>13</w:t>
      </w:r>
      <w:r w:rsidRPr="007865F3">
        <w:rPr>
          <w:rFonts w:ascii="Calibri" w:eastAsia="Times New Roman" w:hAnsi="Calibri" w:cs="Calibri"/>
          <w:color w:val="1F1F1F"/>
          <w:kern w:val="0"/>
          <w:bdr w:val="none" w:sz="0" w:space="0" w:color="auto" w:frame="1"/>
          <w:lang w:eastAsia="en-GB"/>
          <w14:ligatures w14:val="none"/>
        </w:rPr>
        <w:t>.</w:t>
      </w:r>
    </w:p>
    <w:p w14:paraId="4D83A62B" w14:textId="77777777" w:rsidR="007865F3" w:rsidRPr="007865F3" w:rsidRDefault="007865F3" w:rsidP="007865F3">
      <w:pPr>
        <w:numPr>
          <w:ilvl w:val="0"/>
          <w:numId w:val="83"/>
        </w:numPr>
        <w:spacing w:after="0" w:line="240" w:lineRule="auto"/>
        <w:rPr>
          <w:rFonts w:ascii="Calibri" w:eastAsia="Times New Roman" w:hAnsi="Calibri" w:cs="Calibri"/>
          <w:color w:val="1F1F1F"/>
          <w:kern w:val="0"/>
          <w:lang w:eastAsia="en-GB"/>
          <w14:ligatures w14:val="none"/>
        </w:rPr>
      </w:pPr>
      <w:r w:rsidRPr="007865F3">
        <w:rPr>
          <w:rFonts w:ascii="Calibri" w:eastAsia="Times New Roman" w:hAnsi="Calibri" w:cs="Calibri"/>
          <w:color w:val="1F1F1F"/>
          <w:kern w:val="0"/>
          <w:bdr w:val="none" w:sz="0" w:space="0" w:color="auto" w:frame="1"/>
          <w:lang w:eastAsia="en-GB"/>
          <w14:ligatures w14:val="none"/>
        </w:rPr>
        <w:t>Le sponsor (Ionis), les investigateurs et les patients sont restés aveugles</w:t>
      </w:r>
      <w:r w:rsidRPr="007865F3">
        <w:rPr>
          <w:rFonts w:ascii="Calibri" w:eastAsia="Times New Roman" w:hAnsi="Calibri" w:cs="Calibri"/>
          <w:color w:val="444746"/>
          <w:kern w:val="0"/>
          <w:bdr w:val="none" w:sz="0" w:space="0" w:color="auto" w:frame="1"/>
          <w:vertAlign w:val="superscript"/>
          <w:lang w:eastAsia="en-GB"/>
          <w14:ligatures w14:val="none"/>
        </w:rPr>
        <w:t>14</w:t>
      </w:r>
      <w:r w:rsidRPr="007865F3">
        <w:rPr>
          <w:rFonts w:ascii="Calibri" w:eastAsia="Times New Roman" w:hAnsi="Calibri" w:cs="Calibri"/>
          <w:color w:val="1F1F1F"/>
          <w:kern w:val="0"/>
          <w:bdr w:val="none" w:sz="0" w:space="0" w:color="auto" w:frame="1"/>
          <w:lang w:eastAsia="en-GB"/>
          <w14:ligatures w14:val="none"/>
        </w:rPr>
        <w:t>.</w:t>
      </w:r>
    </w:p>
    <w:p w14:paraId="4E8AAA18" w14:textId="77777777" w:rsidR="007865F3" w:rsidRPr="007865F3" w:rsidRDefault="007865F3" w:rsidP="007865F3">
      <w:pPr>
        <w:numPr>
          <w:ilvl w:val="0"/>
          <w:numId w:val="83"/>
        </w:numPr>
        <w:spacing w:after="0" w:line="240" w:lineRule="auto"/>
        <w:rPr>
          <w:rFonts w:ascii="Calibri" w:eastAsia="Times New Roman" w:hAnsi="Calibri" w:cs="Calibri"/>
          <w:color w:val="1F1F1F"/>
          <w:kern w:val="0"/>
          <w:lang w:eastAsia="en-GB"/>
          <w14:ligatures w14:val="none"/>
        </w:rPr>
      </w:pPr>
      <w:r w:rsidRPr="007865F3">
        <w:rPr>
          <w:rFonts w:ascii="Calibri" w:eastAsia="Times New Roman" w:hAnsi="Calibri" w:cs="Calibri"/>
          <w:color w:val="1F1F1F"/>
          <w:kern w:val="0"/>
          <w:bdr w:val="none" w:sz="0" w:space="0" w:color="auto" w:frame="1"/>
          <w:lang w:eastAsia="en-GB"/>
          <w14:ligatures w14:val="none"/>
        </w:rPr>
        <w:t xml:space="preserve">Cependant, le simple fait de savoir que les cohortes B et C (90 et 120 mg) ont été sélectionnées pour l'expansion </w:t>
      </w:r>
      <w:r w:rsidRPr="007865F3">
        <w:rPr>
          <w:rFonts w:ascii="Calibri" w:eastAsia="Times New Roman" w:hAnsi="Calibri" w:cs="Calibri"/>
          <w:color w:val="444746"/>
          <w:kern w:val="0"/>
          <w:bdr w:val="none" w:sz="0" w:space="0" w:color="auto" w:frame="1"/>
          <w:vertAlign w:val="superscript"/>
          <w:lang w:eastAsia="en-GB"/>
          <w14:ligatures w14:val="none"/>
        </w:rPr>
        <w:t>15</w:t>
      </w:r>
      <w:r w:rsidRPr="007865F3">
        <w:rPr>
          <w:rFonts w:ascii="Calibri" w:eastAsia="Times New Roman" w:hAnsi="Calibri" w:cs="Calibri"/>
          <w:color w:val="1F1F1F"/>
          <w:kern w:val="0"/>
          <w:bdr w:val="none" w:sz="0" w:space="0" w:color="auto" w:frame="1"/>
          <w:lang w:eastAsia="en-GB"/>
          <w14:ligatures w14:val="none"/>
        </w:rPr>
        <w:t xml:space="preserve"> donne une indication implicite au sponsor que ces doses sont probablement efficaces ou sûres, ce qui est inévitable dans un design adaptatif.</w:t>
      </w:r>
    </w:p>
    <w:p w14:paraId="6E53A889" w14:textId="77777777" w:rsidR="00487479" w:rsidRPr="007865F3" w:rsidRDefault="00487479">
      <w:pPr>
        <w:rPr>
          <w:rFonts w:ascii="Calibri" w:hAnsi="Calibri" w:cs="Calibri"/>
        </w:rPr>
      </w:pPr>
    </w:p>
    <w:sectPr w:rsidR="00487479" w:rsidRPr="007865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E540A" w14:textId="77777777" w:rsidR="0042288E" w:rsidRDefault="0042288E" w:rsidP="00ED678D">
      <w:pPr>
        <w:spacing w:after="0" w:line="240" w:lineRule="auto"/>
      </w:pPr>
      <w:r>
        <w:separator/>
      </w:r>
    </w:p>
  </w:endnote>
  <w:endnote w:type="continuationSeparator" w:id="0">
    <w:p w14:paraId="4D7AC243" w14:textId="77777777" w:rsidR="0042288E" w:rsidRDefault="0042288E" w:rsidP="00ED6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0EBE8" w14:textId="77777777" w:rsidR="0042288E" w:rsidRDefault="0042288E" w:rsidP="00ED678D">
      <w:pPr>
        <w:spacing w:after="0" w:line="240" w:lineRule="auto"/>
      </w:pPr>
      <w:r>
        <w:separator/>
      </w:r>
    </w:p>
  </w:footnote>
  <w:footnote w:type="continuationSeparator" w:id="0">
    <w:p w14:paraId="763AB409" w14:textId="77777777" w:rsidR="0042288E" w:rsidRDefault="0042288E" w:rsidP="00ED6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DF4"/>
    <w:multiLevelType w:val="multilevel"/>
    <w:tmpl w:val="EF66B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B3C40"/>
    <w:multiLevelType w:val="multilevel"/>
    <w:tmpl w:val="37DC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E5549"/>
    <w:multiLevelType w:val="multilevel"/>
    <w:tmpl w:val="586A2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F4CDD"/>
    <w:multiLevelType w:val="multilevel"/>
    <w:tmpl w:val="01D21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C5F65"/>
    <w:multiLevelType w:val="hybridMultilevel"/>
    <w:tmpl w:val="004CC53C"/>
    <w:lvl w:ilvl="0" w:tplc="69F2D11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DA2678"/>
    <w:multiLevelType w:val="multilevel"/>
    <w:tmpl w:val="F6222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7E18B4"/>
    <w:multiLevelType w:val="multilevel"/>
    <w:tmpl w:val="B45A7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D5CEF"/>
    <w:multiLevelType w:val="multilevel"/>
    <w:tmpl w:val="3048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46F50"/>
    <w:multiLevelType w:val="multilevel"/>
    <w:tmpl w:val="53CE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D673F"/>
    <w:multiLevelType w:val="multilevel"/>
    <w:tmpl w:val="5BCA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A0DCD"/>
    <w:multiLevelType w:val="multilevel"/>
    <w:tmpl w:val="2C9A6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E4529"/>
    <w:multiLevelType w:val="multilevel"/>
    <w:tmpl w:val="12CC5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33586"/>
    <w:multiLevelType w:val="multilevel"/>
    <w:tmpl w:val="13B43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126A52"/>
    <w:multiLevelType w:val="multilevel"/>
    <w:tmpl w:val="3BA8F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4559A"/>
    <w:multiLevelType w:val="multilevel"/>
    <w:tmpl w:val="6CDE2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A421F5"/>
    <w:multiLevelType w:val="multilevel"/>
    <w:tmpl w:val="F4006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1600A7"/>
    <w:multiLevelType w:val="multilevel"/>
    <w:tmpl w:val="5D747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2A2D0F"/>
    <w:multiLevelType w:val="multilevel"/>
    <w:tmpl w:val="AAA02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5D116E"/>
    <w:multiLevelType w:val="multilevel"/>
    <w:tmpl w:val="CC184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A85168"/>
    <w:multiLevelType w:val="multilevel"/>
    <w:tmpl w:val="963C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B16A46"/>
    <w:multiLevelType w:val="multilevel"/>
    <w:tmpl w:val="7D1C3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215195"/>
    <w:multiLevelType w:val="multilevel"/>
    <w:tmpl w:val="33D29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09797E"/>
    <w:multiLevelType w:val="hybridMultilevel"/>
    <w:tmpl w:val="4EA23636"/>
    <w:lvl w:ilvl="0" w:tplc="787CB0D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7B66406"/>
    <w:multiLevelType w:val="multilevel"/>
    <w:tmpl w:val="32F44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7201AC"/>
    <w:multiLevelType w:val="multilevel"/>
    <w:tmpl w:val="A89E5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E23827"/>
    <w:multiLevelType w:val="multilevel"/>
    <w:tmpl w:val="D85AA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583291"/>
    <w:multiLevelType w:val="multilevel"/>
    <w:tmpl w:val="5EC87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F93058"/>
    <w:multiLevelType w:val="multilevel"/>
    <w:tmpl w:val="A2725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70776C"/>
    <w:multiLevelType w:val="multilevel"/>
    <w:tmpl w:val="7420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475F64"/>
    <w:multiLevelType w:val="multilevel"/>
    <w:tmpl w:val="9828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B757F5"/>
    <w:multiLevelType w:val="multilevel"/>
    <w:tmpl w:val="1F46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A90DF8"/>
    <w:multiLevelType w:val="multilevel"/>
    <w:tmpl w:val="0F7A1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AD6E01"/>
    <w:multiLevelType w:val="multilevel"/>
    <w:tmpl w:val="DC880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BD1C7B"/>
    <w:multiLevelType w:val="multilevel"/>
    <w:tmpl w:val="6C64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CD6F97"/>
    <w:multiLevelType w:val="multilevel"/>
    <w:tmpl w:val="71AEB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5D5112"/>
    <w:multiLevelType w:val="multilevel"/>
    <w:tmpl w:val="B2AE4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CE33EB"/>
    <w:multiLevelType w:val="multilevel"/>
    <w:tmpl w:val="0F8C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220645">
    <w:abstractNumId w:val="33"/>
  </w:num>
  <w:num w:numId="2" w16cid:durableId="207644183">
    <w:abstractNumId w:val="19"/>
  </w:num>
  <w:num w:numId="3" w16cid:durableId="1188249889">
    <w:abstractNumId w:val="30"/>
  </w:num>
  <w:num w:numId="4" w16cid:durableId="1912502792">
    <w:abstractNumId w:val="29"/>
  </w:num>
  <w:num w:numId="5" w16cid:durableId="795559792">
    <w:abstractNumId w:val="24"/>
  </w:num>
  <w:num w:numId="6" w16cid:durableId="892161716">
    <w:abstractNumId w:val="24"/>
    <w:lvlOverride w:ilvl="1">
      <w:lvl w:ilvl="1">
        <w:numFmt w:val="bullet"/>
        <w:lvlText w:val=""/>
        <w:lvlJc w:val="left"/>
        <w:pPr>
          <w:tabs>
            <w:tab w:val="num" w:pos="1440"/>
          </w:tabs>
          <w:ind w:left="1440" w:hanging="360"/>
        </w:pPr>
        <w:rPr>
          <w:rFonts w:ascii="Symbol" w:hAnsi="Symbol" w:hint="default"/>
          <w:sz w:val="20"/>
        </w:rPr>
      </w:lvl>
    </w:lvlOverride>
  </w:num>
  <w:num w:numId="7" w16cid:durableId="1161118499">
    <w:abstractNumId w:val="24"/>
    <w:lvlOverride w:ilvl="1">
      <w:lvl w:ilvl="1">
        <w:numFmt w:val="bullet"/>
        <w:lvlText w:val=""/>
        <w:lvlJc w:val="left"/>
        <w:pPr>
          <w:tabs>
            <w:tab w:val="num" w:pos="1440"/>
          </w:tabs>
          <w:ind w:left="1440" w:hanging="360"/>
        </w:pPr>
        <w:rPr>
          <w:rFonts w:ascii="Symbol" w:hAnsi="Symbol" w:hint="default"/>
          <w:sz w:val="20"/>
        </w:rPr>
      </w:lvl>
    </w:lvlOverride>
  </w:num>
  <w:num w:numId="8" w16cid:durableId="1811096803">
    <w:abstractNumId w:val="24"/>
    <w:lvlOverride w:ilvl="1">
      <w:lvl w:ilvl="1">
        <w:numFmt w:val="bullet"/>
        <w:lvlText w:val=""/>
        <w:lvlJc w:val="left"/>
        <w:pPr>
          <w:tabs>
            <w:tab w:val="num" w:pos="1440"/>
          </w:tabs>
          <w:ind w:left="1440" w:hanging="360"/>
        </w:pPr>
        <w:rPr>
          <w:rFonts w:ascii="Symbol" w:hAnsi="Symbol" w:hint="default"/>
          <w:sz w:val="20"/>
        </w:rPr>
      </w:lvl>
    </w:lvlOverride>
  </w:num>
  <w:num w:numId="9" w16cid:durableId="1673026060">
    <w:abstractNumId w:val="24"/>
    <w:lvlOverride w:ilvl="1">
      <w:lvl w:ilvl="1">
        <w:numFmt w:val="bullet"/>
        <w:lvlText w:val=""/>
        <w:lvlJc w:val="left"/>
        <w:pPr>
          <w:tabs>
            <w:tab w:val="num" w:pos="1440"/>
          </w:tabs>
          <w:ind w:left="1440" w:hanging="360"/>
        </w:pPr>
        <w:rPr>
          <w:rFonts w:ascii="Symbol" w:hAnsi="Symbol" w:hint="default"/>
          <w:sz w:val="20"/>
        </w:rPr>
      </w:lvl>
    </w:lvlOverride>
  </w:num>
  <w:num w:numId="10" w16cid:durableId="896665526">
    <w:abstractNumId w:val="24"/>
    <w:lvlOverride w:ilvl="1">
      <w:lvl w:ilvl="1">
        <w:numFmt w:val="bullet"/>
        <w:lvlText w:val=""/>
        <w:lvlJc w:val="left"/>
        <w:pPr>
          <w:tabs>
            <w:tab w:val="num" w:pos="1440"/>
          </w:tabs>
          <w:ind w:left="1440" w:hanging="360"/>
        </w:pPr>
        <w:rPr>
          <w:rFonts w:ascii="Symbol" w:hAnsi="Symbol" w:hint="default"/>
          <w:sz w:val="20"/>
        </w:rPr>
      </w:lvl>
    </w:lvlOverride>
  </w:num>
  <w:num w:numId="11" w16cid:durableId="1470631377">
    <w:abstractNumId w:val="9"/>
  </w:num>
  <w:num w:numId="12" w16cid:durableId="174076880">
    <w:abstractNumId w:val="23"/>
  </w:num>
  <w:num w:numId="13" w16cid:durableId="151527973">
    <w:abstractNumId w:val="0"/>
  </w:num>
  <w:num w:numId="14" w16cid:durableId="580220620">
    <w:abstractNumId w:val="0"/>
    <w:lvlOverride w:ilvl="1">
      <w:lvl w:ilvl="1">
        <w:numFmt w:val="bullet"/>
        <w:lvlText w:val=""/>
        <w:lvlJc w:val="left"/>
        <w:pPr>
          <w:tabs>
            <w:tab w:val="num" w:pos="1440"/>
          </w:tabs>
          <w:ind w:left="1440" w:hanging="360"/>
        </w:pPr>
        <w:rPr>
          <w:rFonts w:ascii="Symbol" w:hAnsi="Symbol" w:hint="default"/>
          <w:sz w:val="20"/>
        </w:rPr>
      </w:lvl>
    </w:lvlOverride>
  </w:num>
  <w:num w:numId="15" w16cid:durableId="1052536998">
    <w:abstractNumId w:val="0"/>
    <w:lvlOverride w:ilvl="1">
      <w:lvl w:ilvl="1">
        <w:numFmt w:val="bullet"/>
        <w:lvlText w:val=""/>
        <w:lvlJc w:val="left"/>
        <w:pPr>
          <w:tabs>
            <w:tab w:val="num" w:pos="1440"/>
          </w:tabs>
          <w:ind w:left="1440" w:hanging="360"/>
        </w:pPr>
        <w:rPr>
          <w:rFonts w:ascii="Symbol" w:hAnsi="Symbol" w:hint="default"/>
          <w:sz w:val="20"/>
        </w:rPr>
      </w:lvl>
    </w:lvlOverride>
  </w:num>
  <w:num w:numId="16" w16cid:durableId="1094401505">
    <w:abstractNumId w:val="0"/>
    <w:lvlOverride w:ilvl="1">
      <w:lvl w:ilvl="1">
        <w:numFmt w:val="bullet"/>
        <w:lvlText w:val=""/>
        <w:lvlJc w:val="left"/>
        <w:pPr>
          <w:tabs>
            <w:tab w:val="num" w:pos="1440"/>
          </w:tabs>
          <w:ind w:left="1440" w:hanging="360"/>
        </w:pPr>
        <w:rPr>
          <w:rFonts w:ascii="Symbol" w:hAnsi="Symbol" w:hint="default"/>
          <w:sz w:val="20"/>
        </w:rPr>
      </w:lvl>
    </w:lvlOverride>
  </w:num>
  <w:num w:numId="17" w16cid:durableId="228227475">
    <w:abstractNumId w:val="0"/>
    <w:lvlOverride w:ilvl="1">
      <w:lvl w:ilvl="1">
        <w:numFmt w:val="bullet"/>
        <w:lvlText w:val=""/>
        <w:lvlJc w:val="left"/>
        <w:pPr>
          <w:tabs>
            <w:tab w:val="num" w:pos="1440"/>
          </w:tabs>
          <w:ind w:left="1440" w:hanging="360"/>
        </w:pPr>
        <w:rPr>
          <w:rFonts w:ascii="Symbol" w:hAnsi="Symbol" w:hint="default"/>
          <w:sz w:val="20"/>
        </w:rPr>
      </w:lvl>
    </w:lvlOverride>
  </w:num>
  <w:num w:numId="18" w16cid:durableId="1315059913">
    <w:abstractNumId w:val="0"/>
    <w:lvlOverride w:ilvl="1">
      <w:lvl w:ilvl="1">
        <w:numFmt w:val="bullet"/>
        <w:lvlText w:val=""/>
        <w:lvlJc w:val="left"/>
        <w:pPr>
          <w:tabs>
            <w:tab w:val="num" w:pos="1440"/>
          </w:tabs>
          <w:ind w:left="1440" w:hanging="360"/>
        </w:pPr>
        <w:rPr>
          <w:rFonts w:ascii="Symbol" w:hAnsi="Symbol" w:hint="default"/>
          <w:sz w:val="20"/>
        </w:rPr>
      </w:lvl>
    </w:lvlOverride>
  </w:num>
  <w:num w:numId="19" w16cid:durableId="438063358">
    <w:abstractNumId w:val="0"/>
    <w:lvlOverride w:ilvl="1">
      <w:lvl w:ilvl="1">
        <w:numFmt w:val="bullet"/>
        <w:lvlText w:val=""/>
        <w:lvlJc w:val="left"/>
        <w:pPr>
          <w:tabs>
            <w:tab w:val="num" w:pos="1440"/>
          </w:tabs>
          <w:ind w:left="1440" w:hanging="360"/>
        </w:pPr>
        <w:rPr>
          <w:rFonts w:ascii="Symbol" w:hAnsi="Symbol" w:hint="default"/>
          <w:sz w:val="20"/>
        </w:rPr>
      </w:lvl>
    </w:lvlOverride>
  </w:num>
  <w:num w:numId="20" w16cid:durableId="866676253">
    <w:abstractNumId w:val="0"/>
    <w:lvlOverride w:ilvl="1">
      <w:lvl w:ilvl="1">
        <w:numFmt w:val="bullet"/>
        <w:lvlText w:val=""/>
        <w:lvlJc w:val="left"/>
        <w:pPr>
          <w:tabs>
            <w:tab w:val="num" w:pos="1440"/>
          </w:tabs>
          <w:ind w:left="1440" w:hanging="360"/>
        </w:pPr>
        <w:rPr>
          <w:rFonts w:ascii="Symbol" w:hAnsi="Symbol" w:hint="default"/>
          <w:sz w:val="20"/>
        </w:rPr>
      </w:lvl>
    </w:lvlOverride>
  </w:num>
  <w:num w:numId="21" w16cid:durableId="586038120">
    <w:abstractNumId w:val="0"/>
    <w:lvlOverride w:ilvl="1">
      <w:lvl w:ilvl="1">
        <w:numFmt w:val="bullet"/>
        <w:lvlText w:val=""/>
        <w:lvlJc w:val="left"/>
        <w:pPr>
          <w:tabs>
            <w:tab w:val="num" w:pos="1440"/>
          </w:tabs>
          <w:ind w:left="1440" w:hanging="360"/>
        </w:pPr>
        <w:rPr>
          <w:rFonts w:ascii="Symbol" w:hAnsi="Symbol" w:hint="default"/>
          <w:sz w:val="20"/>
        </w:rPr>
      </w:lvl>
    </w:lvlOverride>
  </w:num>
  <w:num w:numId="22" w16cid:durableId="1055465539">
    <w:abstractNumId w:val="0"/>
    <w:lvlOverride w:ilvl="1">
      <w:lvl w:ilvl="1">
        <w:numFmt w:val="bullet"/>
        <w:lvlText w:val=""/>
        <w:lvlJc w:val="left"/>
        <w:pPr>
          <w:tabs>
            <w:tab w:val="num" w:pos="1440"/>
          </w:tabs>
          <w:ind w:left="1440" w:hanging="360"/>
        </w:pPr>
        <w:rPr>
          <w:rFonts w:ascii="Symbol" w:hAnsi="Symbol" w:hint="default"/>
          <w:sz w:val="20"/>
        </w:rPr>
      </w:lvl>
    </w:lvlOverride>
  </w:num>
  <w:num w:numId="23" w16cid:durableId="756244853">
    <w:abstractNumId w:val="0"/>
    <w:lvlOverride w:ilvl="1">
      <w:lvl w:ilvl="1">
        <w:numFmt w:val="bullet"/>
        <w:lvlText w:val=""/>
        <w:lvlJc w:val="left"/>
        <w:pPr>
          <w:tabs>
            <w:tab w:val="num" w:pos="1440"/>
          </w:tabs>
          <w:ind w:left="1440" w:hanging="360"/>
        </w:pPr>
        <w:rPr>
          <w:rFonts w:ascii="Symbol" w:hAnsi="Symbol" w:hint="default"/>
          <w:sz w:val="20"/>
        </w:rPr>
      </w:lvl>
    </w:lvlOverride>
  </w:num>
  <w:num w:numId="24" w16cid:durableId="398211944">
    <w:abstractNumId w:val="0"/>
    <w:lvlOverride w:ilvl="1">
      <w:lvl w:ilvl="1">
        <w:numFmt w:val="bullet"/>
        <w:lvlText w:val=""/>
        <w:lvlJc w:val="left"/>
        <w:pPr>
          <w:tabs>
            <w:tab w:val="num" w:pos="1440"/>
          </w:tabs>
          <w:ind w:left="1440" w:hanging="360"/>
        </w:pPr>
        <w:rPr>
          <w:rFonts w:ascii="Symbol" w:hAnsi="Symbol" w:hint="default"/>
          <w:sz w:val="20"/>
        </w:rPr>
      </w:lvl>
    </w:lvlOverride>
  </w:num>
  <w:num w:numId="25" w16cid:durableId="1028530471">
    <w:abstractNumId w:val="0"/>
    <w:lvlOverride w:ilvl="1">
      <w:lvl w:ilvl="1">
        <w:numFmt w:val="bullet"/>
        <w:lvlText w:val=""/>
        <w:lvlJc w:val="left"/>
        <w:pPr>
          <w:tabs>
            <w:tab w:val="num" w:pos="1440"/>
          </w:tabs>
          <w:ind w:left="1440" w:hanging="360"/>
        </w:pPr>
        <w:rPr>
          <w:rFonts w:ascii="Symbol" w:hAnsi="Symbol" w:hint="default"/>
          <w:sz w:val="20"/>
        </w:rPr>
      </w:lvl>
    </w:lvlOverride>
  </w:num>
  <w:num w:numId="26" w16cid:durableId="1525365476">
    <w:abstractNumId w:val="7"/>
  </w:num>
  <w:num w:numId="27" w16cid:durableId="671954084">
    <w:abstractNumId w:val="1"/>
  </w:num>
  <w:num w:numId="28" w16cid:durableId="1908226218">
    <w:abstractNumId w:val="20"/>
  </w:num>
  <w:num w:numId="29" w16cid:durableId="1024019114">
    <w:abstractNumId w:val="20"/>
    <w:lvlOverride w:ilvl="1">
      <w:lvl w:ilvl="1">
        <w:numFmt w:val="bullet"/>
        <w:lvlText w:val=""/>
        <w:lvlJc w:val="left"/>
        <w:pPr>
          <w:tabs>
            <w:tab w:val="num" w:pos="1440"/>
          </w:tabs>
          <w:ind w:left="1440" w:hanging="360"/>
        </w:pPr>
        <w:rPr>
          <w:rFonts w:ascii="Symbol" w:hAnsi="Symbol" w:hint="default"/>
          <w:sz w:val="20"/>
        </w:rPr>
      </w:lvl>
    </w:lvlOverride>
  </w:num>
  <w:num w:numId="30" w16cid:durableId="589856318">
    <w:abstractNumId w:val="20"/>
    <w:lvlOverride w:ilvl="1">
      <w:lvl w:ilvl="1">
        <w:numFmt w:val="bullet"/>
        <w:lvlText w:val=""/>
        <w:lvlJc w:val="left"/>
        <w:pPr>
          <w:tabs>
            <w:tab w:val="num" w:pos="1440"/>
          </w:tabs>
          <w:ind w:left="1440" w:hanging="360"/>
        </w:pPr>
        <w:rPr>
          <w:rFonts w:ascii="Symbol" w:hAnsi="Symbol" w:hint="default"/>
          <w:sz w:val="20"/>
        </w:rPr>
      </w:lvl>
    </w:lvlOverride>
  </w:num>
  <w:num w:numId="31" w16cid:durableId="939029710">
    <w:abstractNumId w:val="20"/>
    <w:lvlOverride w:ilvl="2">
      <w:lvl w:ilvl="2">
        <w:numFmt w:val="bullet"/>
        <w:lvlText w:val=""/>
        <w:lvlJc w:val="left"/>
        <w:pPr>
          <w:tabs>
            <w:tab w:val="num" w:pos="2160"/>
          </w:tabs>
          <w:ind w:left="2160" w:hanging="360"/>
        </w:pPr>
        <w:rPr>
          <w:rFonts w:ascii="Symbol" w:hAnsi="Symbol" w:hint="default"/>
          <w:sz w:val="20"/>
        </w:rPr>
      </w:lvl>
    </w:lvlOverride>
  </w:num>
  <w:num w:numId="32" w16cid:durableId="57747014">
    <w:abstractNumId w:val="20"/>
    <w:lvlOverride w:ilvl="2">
      <w:lvl w:ilvl="2">
        <w:numFmt w:val="bullet"/>
        <w:lvlText w:val=""/>
        <w:lvlJc w:val="left"/>
        <w:pPr>
          <w:tabs>
            <w:tab w:val="num" w:pos="2160"/>
          </w:tabs>
          <w:ind w:left="2160" w:hanging="360"/>
        </w:pPr>
        <w:rPr>
          <w:rFonts w:ascii="Symbol" w:hAnsi="Symbol" w:hint="default"/>
          <w:sz w:val="20"/>
        </w:rPr>
      </w:lvl>
    </w:lvlOverride>
  </w:num>
  <w:num w:numId="33" w16cid:durableId="1820339332">
    <w:abstractNumId w:val="20"/>
    <w:lvlOverride w:ilvl="1">
      <w:lvl w:ilvl="1">
        <w:numFmt w:val="bullet"/>
        <w:lvlText w:val=""/>
        <w:lvlJc w:val="left"/>
        <w:pPr>
          <w:tabs>
            <w:tab w:val="num" w:pos="1440"/>
          </w:tabs>
          <w:ind w:left="1440" w:hanging="360"/>
        </w:pPr>
        <w:rPr>
          <w:rFonts w:ascii="Symbol" w:hAnsi="Symbol" w:hint="default"/>
          <w:sz w:val="20"/>
        </w:rPr>
      </w:lvl>
    </w:lvlOverride>
  </w:num>
  <w:num w:numId="34" w16cid:durableId="610403915">
    <w:abstractNumId w:val="18"/>
  </w:num>
  <w:num w:numId="35" w16cid:durableId="1980183781">
    <w:abstractNumId w:val="18"/>
    <w:lvlOverride w:ilvl="1">
      <w:lvl w:ilvl="1">
        <w:numFmt w:val="bullet"/>
        <w:lvlText w:val=""/>
        <w:lvlJc w:val="left"/>
        <w:pPr>
          <w:tabs>
            <w:tab w:val="num" w:pos="1440"/>
          </w:tabs>
          <w:ind w:left="1440" w:hanging="360"/>
        </w:pPr>
        <w:rPr>
          <w:rFonts w:ascii="Symbol" w:hAnsi="Symbol" w:hint="default"/>
          <w:sz w:val="20"/>
        </w:rPr>
      </w:lvl>
    </w:lvlOverride>
  </w:num>
  <w:num w:numId="36" w16cid:durableId="895362037">
    <w:abstractNumId w:val="18"/>
    <w:lvlOverride w:ilvl="1">
      <w:lvl w:ilvl="1">
        <w:numFmt w:val="bullet"/>
        <w:lvlText w:val=""/>
        <w:lvlJc w:val="left"/>
        <w:pPr>
          <w:tabs>
            <w:tab w:val="num" w:pos="1440"/>
          </w:tabs>
          <w:ind w:left="1440" w:hanging="360"/>
        </w:pPr>
        <w:rPr>
          <w:rFonts w:ascii="Symbol" w:hAnsi="Symbol" w:hint="default"/>
          <w:sz w:val="20"/>
        </w:rPr>
      </w:lvl>
    </w:lvlOverride>
  </w:num>
  <w:num w:numId="37" w16cid:durableId="1427076644">
    <w:abstractNumId w:val="18"/>
    <w:lvlOverride w:ilvl="1">
      <w:lvl w:ilvl="1">
        <w:numFmt w:val="bullet"/>
        <w:lvlText w:val=""/>
        <w:lvlJc w:val="left"/>
        <w:pPr>
          <w:tabs>
            <w:tab w:val="num" w:pos="1440"/>
          </w:tabs>
          <w:ind w:left="1440" w:hanging="360"/>
        </w:pPr>
        <w:rPr>
          <w:rFonts w:ascii="Symbol" w:hAnsi="Symbol" w:hint="default"/>
          <w:sz w:val="20"/>
        </w:rPr>
      </w:lvl>
    </w:lvlOverride>
  </w:num>
  <w:num w:numId="38" w16cid:durableId="1065564755">
    <w:abstractNumId w:val="36"/>
  </w:num>
  <w:num w:numId="39" w16cid:durableId="418527123">
    <w:abstractNumId w:val="27"/>
  </w:num>
  <w:num w:numId="40" w16cid:durableId="116267910">
    <w:abstractNumId w:val="21"/>
  </w:num>
  <w:num w:numId="41" w16cid:durableId="529075911">
    <w:abstractNumId w:val="21"/>
    <w:lvlOverride w:ilvl="1">
      <w:lvl w:ilvl="1">
        <w:numFmt w:val="bullet"/>
        <w:lvlText w:val=""/>
        <w:lvlJc w:val="left"/>
        <w:pPr>
          <w:tabs>
            <w:tab w:val="num" w:pos="1440"/>
          </w:tabs>
          <w:ind w:left="1440" w:hanging="360"/>
        </w:pPr>
        <w:rPr>
          <w:rFonts w:ascii="Symbol" w:hAnsi="Symbol" w:hint="default"/>
          <w:sz w:val="20"/>
        </w:rPr>
      </w:lvl>
    </w:lvlOverride>
  </w:num>
  <w:num w:numId="42" w16cid:durableId="1576088984">
    <w:abstractNumId w:val="21"/>
    <w:lvlOverride w:ilvl="1">
      <w:lvl w:ilvl="1">
        <w:numFmt w:val="bullet"/>
        <w:lvlText w:val=""/>
        <w:lvlJc w:val="left"/>
        <w:pPr>
          <w:tabs>
            <w:tab w:val="num" w:pos="1440"/>
          </w:tabs>
          <w:ind w:left="1440" w:hanging="360"/>
        </w:pPr>
        <w:rPr>
          <w:rFonts w:ascii="Symbol" w:hAnsi="Symbol" w:hint="default"/>
          <w:sz w:val="20"/>
        </w:rPr>
      </w:lvl>
    </w:lvlOverride>
  </w:num>
  <w:num w:numId="43" w16cid:durableId="1255477559">
    <w:abstractNumId w:val="21"/>
    <w:lvlOverride w:ilvl="1">
      <w:lvl w:ilvl="1">
        <w:numFmt w:val="bullet"/>
        <w:lvlText w:val=""/>
        <w:lvlJc w:val="left"/>
        <w:pPr>
          <w:tabs>
            <w:tab w:val="num" w:pos="1440"/>
          </w:tabs>
          <w:ind w:left="1440" w:hanging="360"/>
        </w:pPr>
        <w:rPr>
          <w:rFonts w:ascii="Symbol" w:hAnsi="Symbol" w:hint="default"/>
          <w:sz w:val="20"/>
        </w:rPr>
      </w:lvl>
    </w:lvlOverride>
  </w:num>
  <w:num w:numId="44" w16cid:durableId="883176461">
    <w:abstractNumId w:val="21"/>
    <w:lvlOverride w:ilvl="1">
      <w:lvl w:ilvl="1">
        <w:numFmt w:val="bullet"/>
        <w:lvlText w:val=""/>
        <w:lvlJc w:val="left"/>
        <w:pPr>
          <w:tabs>
            <w:tab w:val="num" w:pos="1440"/>
          </w:tabs>
          <w:ind w:left="1440" w:hanging="360"/>
        </w:pPr>
        <w:rPr>
          <w:rFonts w:ascii="Symbol" w:hAnsi="Symbol" w:hint="default"/>
          <w:sz w:val="20"/>
        </w:rPr>
      </w:lvl>
    </w:lvlOverride>
  </w:num>
  <w:num w:numId="45" w16cid:durableId="1376657472">
    <w:abstractNumId w:val="2"/>
  </w:num>
  <w:num w:numId="46" w16cid:durableId="30737549">
    <w:abstractNumId w:val="2"/>
    <w:lvlOverride w:ilvl="1">
      <w:lvl w:ilvl="1">
        <w:numFmt w:val="bullet"/>
        <w:lvlText w:val=""/>
        <w:lvlJc w:val="left"/>
        <w:pPr>
          <w:tabs>
            <w:tab w:val="num" w:pos="1440"/>
          </w:tabs>
          <w:ind w:left="1440" w:hanging="360"/>
        </w:pPr>
        <w:rPr>
          <w:rFonts w:ascii="Symbol" w:hAnsi="Symbol" w:hint="default"/>
          <w:sz w:val="20"/>
        </w:rPr>
      </w:lvl>
    </w:lvlOverride>
  </w:num>
  <w:num w:numId="47" w16cid:durableId="437260488">
    <w:abstractNumId w:val="2"/>
    <w:lvlOverride w:ilvl="1">
      <w:lvl w:ilvl="1">
        <w:numFmt w:val="bullet"/>
        <w:lvlText w:val=""/>
        <w:lvlJc w:val="left"/>
        <w:pPr>
          <w:tabs>
            <w:tab w:val="num" w:pos="1440"/>
          </w:tabs>
          <w:ind w:left="1440" w:hanging="360"/>
        </w:pPr>
        <w:rPr>
          <w:rFonts w:ascii="Symbol" w:hAnsi="Symbol" w:hint="default"/>
          <w:sz w:val="20"/>
        </w:rPr>
      </w:lvl>
    </w:lvlOverride>
  </w:num>
  <w:num w:numId="48" w16cid:durableId="17588604">
    <w:abstractNumId w:val="2"/>
    <w:lvlOverride w:ilvl="1">
      <w:lvl w:ilvl="1">
        <w:numFmt w:val="bullet"/>
        <w:lvlText w:val=""/>
        <w:lvlJc w:val="left"/>
        <w:pPr>
          <w:tabs>
            <w:tab w:val="num" w:pos="1440"/>
          </w:tabs>
          <w:ind w:left="1440" w:hanging="360"/>
        </w:pPr>
        <w:rPr>
          <w:rFonts w:ascii="Symbol" w:hAnsi="Symbol" w:hint="default"/>
          <w:sz w:val="20"/>
        </w:rPr>
      </w:lvl>
    </w:lvlOverride>
  </w:num>
  <w:num w:numId="49" w16cid:durableId="507330438">
    <w:abstractNumId w:val="2"/>
    <w:lvlOverride w:ilvl="1">
      <w:lvl w:ilvl="1">
        <w:numFmt w:val="bullet"/>
        <w:lvlText w:val=""/>
        <w:lvlJc w:val="left"/>
        <w:pPr>
          <w:tabs>
            <w:tab w:val="num" w:pos="1440"/>
          </w:tabs>
          <w:ind w:left="1440" w:hanging="360"/>
        </w:pPr>
        <w:rPr>
          <w:rFonts w:ascii="Symbol" w:hAnsi="Symbol" w:hint="default"/>
          <w:sz w:val="20"/>
        </w:rPr>
      </w:lvl>
    </w:lvlOverride>
  </w:num>
  <w:num w:numId="50" w16cid:durableId="1169249871">
    <w:abstractNumId w:val="2"/>
    <w:lvlOverride w:ilvl="1">
      <w:lvl w:ilvl="1">
        <w:numFmt w:val="bullet"/>
        <w:lvlText w:val=""/>
        <w:lvlJc w:val="left"/>
        <w:pPr>
          <w:tabs>
            <w:tab w:val="num" w:pos="1440"/>
          </w:tabs>
          <w:ind w:left="1440" w:hanging="360"/>
        </w:pPr>
        <w:rPr>
          <w:rFonts w:ascii="Symbol" w:hAnsi="Symbol" w:hint="default"/>
          <w:sz w:val="20"/>
        </w:rPr>
      </w:lvl>
    </w:lvlOverride>
  </w:num>
  <w:num w:numId="51" w16cid:durableId="434207013">
    <w:abstractNumId w:val="2"/>
    <w:lvlOverride w:ilvl="1">
      <w:lvl w:ilvl="1">
        <w:numFmt w:val="bullet"/>
        <w:lvlText w:val=""/>
        <w:lvlJc w:val="left"/>
        <w:pPr>
          <w:tabs>
            <w:tab w:val="num" w:pos="1440"/>
          </w:tabs>
          <w:ind w:left="1440" w:hanging="360"/>
        </w:pPr>
        <w:rPr>
          <w:rFonts w:ascii="Symbol" w:hAnsi="Symbol" w:hint="default"/>
          <w:sz w:val="20"/>
        </w:rPr>
      </w:lvl>
    </w:lvlOverride>
  </w:num>
  <w:num w:numId="52" w16cid:durableId="525405902">
    <w:abstractNumId w:val="2"/>
    <w:lvlOverride w:ilvl="1">
      <w:lvl w:ilvl="1">
        <w:numFmt w:val="bullet"/>
        <w:lvlText w:val=""/>
        <w:lvlJc w:val="left"/>
        <w:pPr>
          <w:tabs>
            <w:tab w:val="num" w:pos="1440"/>
          </w:tabs>
          <w:ind w:left="1440" w:hanging="360"/>
        </w:pPr>
        <w:rPr>
          <w:rFonts w:ascii="Symbol" w:hAnsi="Symbol" w:hint="default"/>
          <w:sz w:val="20"/>
        </w:rPr>
      </w:lvl>
    </w:lvlOverride>
  </w:num>
  <w:num w:numId="53" w16cid:durableId="67385166">
    <w:abstractNumId w:val="2"/>
    <w:lvlOverride w:ilvl="1">
      <w:lvl w:ilvl="1">
        <w:numFmt w:val="bullet"/>
        <w:lvlText w:val=""/>
        <w:lvlJc w:val="left"/>
        <w:pPr>
          <w:tabs>
            <w:tab w:val="num" w:pos="1440"/>
          </w:tabs>
          <w:ind w:left="1440" w:hanging="360"/>
        </w:pPr>
        <w:rPr>
          <w:rFonts w:ascii="Symbol" w:hAnsi="Symbol" w:hint="default"/>
          <w:sz w:val="20"/>
        </w:rPr>
      </w:lvl>
    </w:lvlOverride>
  </w:num>
  <w:num w:numId="54" w16cid:durableId="1714428451">
    <w:abstractNumId w:val="2"/>
    <w:lvlOverride w:ilvl="1">
      <w:lvl w:ilvl="1">
        <w:numFmt w:val="bullet"/>
        <w:lvlText w:val=""/>
        <w:lvlJc w:val="left"/>
        <w:pPr>
          <w:tabs>
            <w:tab w:val="num" w:pos="1440"/>
          </w:tabs>
          <w:ind w:left="1440" w:hanging="360"/>
        </w:pPr>
        <w:rPr>
          <w:rFonts w:ascii="Symbol" w:hAnsi="Symbol" w:hint="default"/>
          <w:sz w:val="20"/>
        </w:rPr>
      </w:lvl>
    </w:lvlOverride>
  </w:num>
  <w:num w:numId="55" w16cid:durableId="1049767054">
    <w:abstractNumId w:val="2"/>
    <w:lvlOverride w:ilvl="1">
      <w:lvl w:ilvl="1">
        <w:numFmt w:val="bullet"/>
        <w:lvlText w:val=""/>
        <w:lvlJc w:val="left"/>
        <w:pPr>
          <w:tabs>
            <w:tab w:val="num" w:pos="1440"/>
          </w:tabs>
          <w:ind w:left="1440" w:hanging="360"/>
        </w:pPr>
        <w:rPr>
          <w:rFonts w:ascii="Symbol" w:hAnsi="Symbol" w:hint="default"/>
          <w:sz w:val="20"/>
        </w:rPr>
      </w:lvl>
    </w:lvlOverride>
  </w:num>
  <w:num w:numId="56" w16cid:durableId="947201843">
    <w:abstractNumId w:val="25"/>
  </w:num>
  <w:num w:numId="57" w16cid:durableId="608859911">
    <w:abstractNumId w:val="25"/>
    <w:lvlOverride w:ilvl="1">
      <w:lvl w:ilvl="1">
        <w:numFmt w:val="bullet"/>
        <w:lvlText w:val=""/>
        <w:lvlJc w:val="left"/>
        <w:pPr>
          <w:tabs>
            <w:tab w:val="num" w:pos="1440"/>
          </w:tabs>
          <w:ind w:left="1440" w:hanging="360"/>
        </w:pPr>
        <w:rPr>
          <w:rFonts w:ascii="Symbol" w:hAnsi="Symbol" w:hint="default"/>
          <w:sz w:val="20"/>
        </w:rPr>
      </w:lvl>
    </w:lvlOverride>
  </w:num>
  <w:num w:numId="58" w16cid:durableId="1363745582">
    <w:abstractNumId w:val="25"/>
    <w:lvlOverride w:ilvl="1">
      <w:lvl w:ilvl="1">
        <w:numFmt w:val="bullet"/>
        <w:lvlText w:val=""/>
        <w:lvlJc w:val="left"/>
        <w:pPr>
          <w:tabs>
            <w:tab w:val="num" w:pos="1440"/>
          </w:tabs>
          <w:ind w:left="1440" w:hanging="360"/>
        </w:pPr>
        <w:rPr>
          <w:rFonts w:ascii="Symbol" w:hAnsi="Symbol" w:hint="default"/>
          <w:sz w:val="20"/>
        </w:rPr>
      </w:lvl>
    </w:lvlOverride>
  </w:num>
  <w:num w:numId="59" w16cid:durableId="216286012">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60" w16cid:durableId="180167987">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61" w16cid:durableId="1989280637">
    <w:abstractNumId w:val="26"/>
  </w:num>
  <w:num w:numId="62" w16cid:durableId="813638800">
    <w:abstractNumId w:val="26"/>
    <w:lvlOverride w:ilvl="1">
      <w:lvl w:ilvl="1">
        <w:numFmt w:val="bullet"/>
        <w:lvlText w:val=""/>
        <w:lvlJc w:val="left"/>
        <w:pPr>
          <w:tabs>
            <w:tab w:val="num" w:pos="1440"/>
          </w:tabs>
          <w:ind w:left="1440" w:hanging="360"/>
        </w:pPr>
        <w:rPr>
          <w:rFonts w:ascii="Symbol" w:hAnsi="Symbol" w:hint="default"/>
          <w:sz w:val="20"/>
        </w:rPr>
      </w:lvl>
    </w:lvlOverride>
  </w:num>
  <w:num w:numId="63" w16cid:durableId="1948804919">
    <w:abstractNumId w:val="26"/>
    <w:lvlOverride w:ilvl="1">
      <w:lvl w:ilvl="1">
        <w:numFmt w:val="bullet"/>
        <w:lvlText w:val=""/>
        <w:lvlJc w:val="left"/>
        <w:pPr>
          <w:tabs>
            <w:tab w:val="num" w:pos="1440"/>
          </w:tabs>
          <w:ind w:left="1440" w:hanging="360"/>
        </w:pPr>
        <w:rPr>
          <w:rFonts w:ascii="Symbol" w:hAnsi="Symbol" w:hint="default"/>
          <w:sz w:val="20"/>
        </w:rPr>
      </w:lvl>
    </w:lvlOverride>
  </w:num>
  <w:num w:numId="64" w16cid:durableId="669332512">
    <w:abstractNumId w:val="15"/>
  </w:num>
  <w:num w:numId="65" w16cid:durableId="1398671347">
    <w:abstractNumId w:val="15"/>
    <w:lvlOverride w:ilvl="1">
      <w:lvl w:ilvl="1">
        <w:numFmt w:val="bullet"/>
        <w:lvlText w:val=""/>
        <w:lvlJc w:val="left"/>
        <w:pPr>
          <w:tabs>
            <w:tab w:val="num" w:pos="1440"/>
          </w:tabs>
          <w:ind w:left="1440" w:hanging="360"/>
        </w:pPr>
        <w:rPr>
          <w:rFonts w:ascii="Symbol" w:hAnsi="Symbol" w:hint="default"/>
          <w:sz w:val="20"/>
        </w:rPr>
      </w:lvl>
    </w:lvlOverride>
  </w:num>
  <w:num w:numId="66" w16cid:durableId="1571650114">
    <w:abstractNumId w:val="15"/>
    <w:lvlOverride w:ilvl="1">
      <w:lvl w:ilvl="1">
        <w:numFmt w:val="bullet"/>
        <w:lvlText w:val=""/>
        <w:lvlJc w:val="left"/>
        <w:pPr>
          <w:tabs>
            <w:tab w:val="num" w:pos="1440"/>
          </w:tabs>
          <w:ind w:left="1440" w:hanging="360"/>
        </w:pPr>
        <w:rPr>
          <w:rFonts w:ascii="Symbol" w:hAnsi="Symbol" w:hint="default"/>
          <w:sz w:val="20"/>
        </w:rPr>
      </w:lvl>
    </w:lvlOverride>
  </w:num>
  <w:num w:numId="67" w16cid:durableId="1358848834">
    <w:abstractNumId w:val="5"/>
  </w:num>
  <w:num w:numId="68" w16cid:durableId="811826826">
    <w:abstractNumId w:val="22"/>
  </w:num>
  <w:num w:numId="69" w16cid:durableId="1878548167">
    <w:abstractNumId w:val="4"/>
  </w:num>
  <w:num w:numId="70" w16cid:durableId="182519732">
    <w:abstractNumId w:val="8"/>
  </w:num>
  <w:num w:numId="71" w16cid:durableId="2041279065">
    <w:abstractNumId w:val="34"/>
  </w:num>
  <w:num w:numId="72" w16cid:durableId="979580347">
    <w:abstractNumId w:val="11"/>
  </w:num>
  <w:num w:numId="73" w16cid:durableId="1465733473">
    <w:abstractNumId w:val="3"/>
  </w:num>
  <w:num w:numId="74" w16cid:durableId="1408110078">
    <w:abstractNumId w:val="16"/>
  </w:num>
  <w:num w:numId="75" w16cid:durableId="559098943">
    <w:abstractNumId w:val="35"/>
  </w:num>
  <w:num w:numId="76" w16cid:durableId="746265275">
    <w:abstractNumId w:val="13"/>
  </w:num>
  <w:num w:numId="77" w16cid:durableId="1438670072">
    <w:abstractNumId w:val="17"/>
  </w:num>
  <w:num w:numId="78" w16cid:durableId="718825116">
    <w:abstractNumId w:val="31"/>
  </w:num>
  <w:num w:numId="79" w16cid:durableId="936132055">
    <w:abstractNumId w:val="10"/>
  </w:num>
  <w:num w:numId="80" w16cid:durableId="1977368652">
    <w:abstractNumId w:val="6"/>
  </w:num>
  <w:num w:numId="81" w16cid:durableId="2003660407">
    <w:abstractNumId w:val="32"/>
  </w:num>
  <w:num w:numId="82" w16cid:durableId="1023751288">
    <w:abstractNumId w:val="12"/>
  </w:num>
  <w:num w:numId="83" w16cid:durableId="11072378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26"/>
    <w:rsid w:val="001C4226"/>
    <w:rsid w:val="002105E4"/>
    <w:rsid w:val="002A75A5"/>
    <w:rsid w:val="00420C02"/>
    <w:rsid w:val="0042288E"/>
    <w:rsid w:val="00487479"/>
    <w:rsid w:val="005C27BA"/>
    <w:rsid w:val="006A426A"/>
    <w:rsid w:val="007865F3"/>
    <w:rsid w:val="008D5226"/>
    <w:rsid w:val="00A17DAF"/>
    <w:rsid w:val="00AF73A5"/>
    <w:rsid w:val="00CD10D4"/>
    <w:rsid w:val="00DE1664"/>
    <w:rsid w:val="00EC76C3"/>
    <w:rsid w:val="00ED678D"/>
    <w:rsid w:val="00F04DC2"/>
    <w:rsid w:val="00F71AB0"/>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84904"/>
  <w15:chartTrackingRefBased/>
  <w15:docId w15:val="{BD8396A5-D6E3-5749-9AA6-4F28ED8B1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5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52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2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2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sETC">
    <w:name w:val="Articles ETC"/>
    <w:basedOn w:val="Normal"/>
    <w:autoRedefine/>
    <w:qFormat/>
    <w:rsid w:val="001C4226"/>
    <w:pPr>
      <w:pBdr>
        <w:top w:val="nil"/>
        <w:left w:val="nil"/>
        <w:bottom w:val="nil"/>
        <w:right w:val="nil"/>
        <w:between w:val="nil"/>
      </w:pBdr>
      <w:spacing w:after="0" w:line="480" w:lineRule="auto"/>
      <w:ind w:right="419"/>
    </w:pPr>
    <w:rPr>
      <w:rFonts w:ascii="Times New Roman" w:eastAsia="Times New Roman" w:hAnsi="Times New Roman" w:cs="Times New Roman"/>
      <w:color w:val="000000"/>
      <w:kern w:val="0"/>
      <w:lang w:val="fr-FR" w:eastAsia="fr-FR"/>
      <w14:ligatures w14:val="none"/>
    </w:rPr>
  </w:style>
  <w:style w:type="character" w:customStyle="1" w:styleId="Heading1Char">
    <w:name w:val="Heading 1 Char"/>
    <w:basedOn w:val="DefaultParagraphFont"/>
    <w:link w:val="Heading1"/>
    <w:uiPriority w:val="9"/>
    <w:rsid w:val="008D52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52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52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2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2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226"/>
    <w:rPr>
      <w:rFonts w:eastAsiaTheme="majorEastAsia" w:cstheme="majorBidi"/>
      <w:color w:val="272727" w:themeColor="text1" w:themeTint="D8"/>
    </w:rPr>
  </w:style>
  <w:style w:type="paragraph" w:styleId="Title">
    <w:name w:val="Title"/>
    <w:basedOn w:val="Normal"/>
    <w:next w:val="Normal"/>
    <w:link w:val="TitleChar"/>
    <w:uiPriority w:val="10"/>
    <w:qFormat/>
    <w:rsid w:val="008D5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2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226"/>
    <w:pPr>
      <w:spacing w:before="160"/>
      <w:jc w:val="center"/>
    </w:pPr>
    <w:rPr>
      <w:i/>
      <w:iCs/>
      <w:color w:val="404040" w:themeColor="text1" w:themeTint="BF"/>
    </w:rPr>
  </w:style>
  <w:style w:type="character" w:customStyle="1" w:styleId="QuoteChar">
    <w:name w:val="Quote Char"/>
    <w:basedOn w:val="DefaultParagraphFont"/>
    <w:link w:val="Quote"/>
    <w:uiPriority w:val="29"/>
    <w:rsid w:val="008D5226"/>
    <w:rPr>
      <w:i/>
      <w:iCs/>
      <w:color w:val="404040" w:themeColor="text1" w:themeTint="BF"/>
    </w:rPr>
  </w:style>
  <w:style w:type="paragraph" w:styleId="ListParagraph">
    <w:name w:val="List Paragraph"/>
    <w:basedOn w:val="Normal"/>
    <w:uiPriority w:val="34"/>
    <w:qFormat/>
    <w:rsid w:val="008D5226"/>
    <w:pPr>
      <w:ind w:left="720"/>
      <w:contextualSpacing/>
    </w:pPr>
  </w:style>
  <w:style w:type="character" w:styleId="IntenseEmphasis">
    <w:name w:val="Intense Emphasis"/>
    <w:basedOn w:val="DefaultParagraphFont"/>
    <w:uiPriority w:val="21"/>
    <w:qFormat/>
    <w:rsid w:val="008D5226"/>
    <w:rPr>
      <w:i/>
      <w:iCs/>
      <w:color w:val="0F4761" w:themeColor="accent1" w:themeShade="BF"/>
    </w:rPr>
  </w:style>
  <w:style w:type="paragraph" w:styleId="IntenseQuote">
    <w:name w:val="Intense Quote"/>
    <w:basedOn w:val="Normal"/>
    <w:next w:val="Normal"/>
    <w:link w:val="IntenseQuoteChar"/>
    <w:uiPriority w:val="30"/>
    <w:qFormat/>
    <w:rsid w:val="008D5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226"/>
    <w:rPr>
      <w:i/>
      <w:iCs/>
      <w:color w:val="0F4761" w:themeColor="accent1" w:themeShade="BF"/>
    </w:rPr>
  </w:style>
  <w:style w:type="character" w:styleId="IntenseReference">
    <w:name w:val="Intense Reference"/>
    <w:basedOn w:val="DefaultParagraphFont"/>
    <w:uiPriority w:val="32"/>
    <w:qFormat/>
    <w:rsid w:val="008D5226"/>
    <w:rPr>
      <w:b/>
      <w:bCs/>
      <w:smallCaps/>
      <w:color w:val="0F4761" w:themeColor="accent1" w:themeShade="BF"/>
      <w:spacing w:val="5"/>
    </w:rPr>
  </w:style>
  <w:style w:type="paragraph" w:styleId="NormalWeb">
    <w:name w:val="Normal (Web)"/>
    <w:basedOn w:val="Normal"/>
    <w:uiPriority w:val="99"/>
    <w:semiHidden/>
    <w:unhideWhenUsed/>
    <w:rsid w:val="008D522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ED67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678D"/>
  </w:style>
  <w:style w:type="paragraph" w:styleId="Footer">
    <w:name w:val="footer"/>
    <w:basedOn w:val="Normal"/>
    <w:link w:val="FooterChar"/>
    <w:uiPriority w:val="99"/>
    <w:unhideWhenUsed/>
    <w:rsid w:val="00ED67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678D"/>
  </w:style>
  <w:style w:type="character" w:customStyle="1" w:styleId="citation-188">
    <w:name w:val="citation-188"/>
    <w:basedOn w:val="DefaultParagraphFont"/>
    <w:rsid w:val="007865F3"/>
  </w:style>
  <w:style w:type="character" w:customStyle="1" w:styleId="citation-187">
    <w:name w:val="citation-187"/>
    <w:basedOn w:val="DefaultParagraphFont"/>
    <w:rsid w:val="007865F3"/>
  </w:style>
  <w:style w:type="character" w:customStyle="1" w:styleId="citation-186">
    <w:name w:val="citation-186"/>
    <w:basedOn w:val="DefaultParagraphFont"/>
    <w:rsid w:val="007865F3"/>
  </w:style>
  <w:style w:type="character" w:customStyle="1" w:styleId="citation-185">
    <w:name w:val="citation-185"/>
    <w:basedOn w:val="DefaultParagraphFont"/>
    <w:rsid w:val="007865F3"/>
  </w:style>
  <w:style w:type="character" w:customStyle="1" w:styleId="citation-184">
    <w:name w:val="citation-184"/>
    <w:basedOn w:val="DefaultParagraphFont"/>
    <w:rsid w:val="007865F3"/>
  </w:style>
  <w:style w:type="character" w:customStyle="1" w:styleId="citation-183">
    <w:name w:val="citation-183"/>
    <w:basedOn w:val="DefaultParagraphFont"/>
    <w:rsid w:val="007865F3"/>
  </w:style>
  <w:style w:type="character" w:customStyle="1" w:styleId="citation-182">
    <w:name w:val="citation-182"/>
    <w:basedOn w:val="DefaultParagraphFont"/>
    <w:rsid w:val="007865F3"/>
  </w:style>
  <w:style w:type="character" w:customStyle="1" w:styleId="citation-181">
    <w:name w:val="citation-181"/>
    <w:basedOn w:val="DefaultParagraphFont"/>
    <w:rsid w:val="007865F3"/>
  </w:style>
  <w:style w:type="character" w:customStyle="1" w:styleId="citation-180">
    <w:name w:val="citation-180"/>
    <w:basedOn w:val="DefaultParagraphFont"/>
    <w:rsid w:val="007865F3"/>
  </w:style>
  <w:style w:type="character" w:customStyle="1" w:styleId="citation-179">
    <w:name w:val="citation-179"/>
    <w:basedOn w:val="DefaultParagraphFont"/>
    <w:rsid w:val="007865F3"/>
  </w:style>
  <w:style w:type="character" w:customStyle="1" w:styleId="citation-178">
    <w:name w:val="citation-178"/>
    <w:basedOn w:val="DefaultParagraphFont"/>
    <w:rsid w:val="007865F3"/>
  </w:style>
  <w:style w:type="character" w:customStyle="1" w:styleId="citation-177">
    <w:name w:val="citation-177"/>
    <w:basedOn w:val="DefaultParagraphFont"/>
    <w:rsid w:val="007865F3"/>
  </w:style>
  <w:style w:type="character" w:customStyle="1" w:styleId="citation-176">
    <w:name w:val="citation-176"/>
    <w:basedOn w:val="DefaultParagraphFont"/>
    <w:rsid w:val="007865F3"/>
  </w:style>
  <w:style w:type="character" w:customStyle="1" w:styleId="citation-175">
    <w:name w:val="citation-175"/>
    <w:basedOn w:val="DefaultParagraphFont"/>
    <w:rsid w:val="007865F3"/>
  </w:style>
  <w:style w:type="character" w:customStyle="1" w:styleId="citation-174">
    <w:name w:val="citation-174"/>
    <w:basedOn w:val="DefaultParagraphFont"/>
    <w:rsid w:val="007865F3"/>
  </w:style>
  <w:style w:type="character" w:customStyle="1" w:styleId="citation-173">
    <w:name w:val="citation-173"/>
    <w:basedOn w:val="DefaultParagraphFont"/>
    <w:rsid w:val="007865F3"/>
  </w:style>
  <w:style w:type="character" w:customStyle="1" w:styleId="citation-172">
    <w:name w:val="citation-172"/>
    <w:basedOn w:val="DefaultParagraphFont"/>
    <w:rsid w:val="007865F3"/>
  </w:style>
  <w:style w:type="character" w:customStyle="1" w:styleId="citation-262">
    <w:name w:val="citation-262"/>
    <w:basedOn w:val="DefaultParagraphFont"/>
    <w:rsid w:val="007865F3"/>
  </w:style>
  <w:style w:type="character" w:customStyle="1" w:styleId="citation-261">
    <w:name w:val="citation-261"/>
    <w:basedOn w:val="DefaultParagraphFont"/>
    <w:rsid w:val="007865F3"/>
  </w:style>
  <w:style w:type="character" w:customStyle="1" w:styleId="citation-260">
    <w:name w:val="citation-260"/>
    <w:basedOn w:val="DefaultParagraphFont"/>
    <w:rsid w:val="007865F3"/>
  </w:style>
  <w:style w:type="character" w:customStyle="1" w:styleId="math-inline">
    <w:name w:val="math-inline"/>
    <w:basedOn w:val="DefaultParagraphFont"/>
    <w:rsid w:val="007865F3"/>
  </w:style>
  <w:style w:type="character" w:customStyle="1" w:styleId="citation-259">
    <w:name w:val="citation-259"/>
    <w:basedOn w:val="DefaultParagraphFont"/>
    <w:rsid w:val="007865F3"/>
  </w:style>
  <w:style w:type="character" w:customStyle="1" w:styleId="citation-258">
    <w:name w:val="citation-258"/>
    <w:basedOn w:val="DefaultParagraphFont"/>
    <w:rsid w:val="007865F3"/>
  </w:style>
  <w:style w:type="character" w:customStyle="1" w:styleId="citation-257">
    <w:name w:val="citation-257"/>
    <w:basedOn w:val="DefaultParagraphFont"/>
    <w:rsid w:val="007865F3"/>
  </w:style>
  <w:style w:type="character" w:customStyle="1" w:styleId="citation-256">
    <w:name w:val="citation-256"/>
    <w:basedOn w:val="DefaultParagraphFont"/>
    <w:rsid w:val="007865F3"/>
  </w:style>
  <w:style w:type="character" w:customStyle="1" w:styleId="citation-255">
    <w:name w:val="citation-255"/>
    <w:basedOn w:val="DefaultParagraphFont"/>
    <w:rsid w:val="007865F3"/>
  </w:style>
  <w:style w:type="character" w:customStyle="1" w:styleId="citation-254">
    <w:name w:val="citation-254"/>
    <w:basedOn w:val="DefaultParagraphFont"/>
    <w:rsid w:val="007865F3"/>
  </w:style>
  <w:style w:type="character" w:customStyle="1" w:styleId="citation-253">
    <w:name w:val="citation-253"/>
    <w:basedOn w:val="DefaultParagraphFont"/>
    <w:rsid w:val="007865F3"/>
  </w:style>
  <w:style w:type="character" w:customStyle="1" w:styleId="citation-252">
    <w:name w:val="citation-252"/>
    <w:basedOn w:val="DefaultParagraphFont"/>
    <w:rsid w:val="007865F3"/>
  </w:style>
  <w:style w:type="character" w:customStyle="1" w:styleId="citation-251">
    <w:name w:val="citation-251"/>
    <w:basedOn w:val="DefaultParagraphFont"/>
    <w:rsid w:val="007865F3"/>
  </w:style>
  <w:style w:type="character" w:customStyle="1" w:styleId="citation-250">
    <w:name w:val="citation-250"/>
    <w:basedOn w:val="DefaultParagraphFont"/>
    <w:rsid w:val="007865F3"/>
  </w:style>
  <w:style w:type="character" w:customStyle="1" w:styleId="citation-249">
    <w:name w:val="citation-249"/>
    <w:basedOn w:val="DefaultParagraphFont"/>
    <w:rsid w:val="007865F3"/>
  </w:style>
  <w:style w:type="character" w:customStyle="1" w:styleId="citation-248">
    <w:name w:val="citation-248"/>
    <w:basedOn w:val="DefaultParagraphFont"/>
    <w:rsid w:val="007865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9</Pages>
  <Words>2958</Words>
  <Characters>16863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Husson</dc:creator>
  <cp:keywords/>
  <dc:description/>
  <cp:lastModifiedBy>Thomas Husson</cp:lastModifiedBy>
  <cp:revision>2</cp:revision>
  <dcterms:created xsi:type="dcterms:W3CDTF">2025-12-09T17:20:00Z</dcterms:created>
  <dcterms:modified xsi:type="dcterms:W3CDTF">2025-12-12T10:04:00Z</dcterms:modified>
</cp:coreProperties>
</file>