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Devoir RC</w:t>
      </w:r>
    </w:p>
    <w:p>
      <w:pPr>
        <w:pStyle w:val="Author"/>
      </w:pPr>
      <w:r>
        <w:t xml:space="preserve">Thomas Husson, Groupe 52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bookmarkStart w:id="20" w:name="sujet-rc"/>
    <w:p>
      <w:pPr>
        <w:pStyle w:val="Heading1"/>
      </w:pPr>
      <w:r>
        <w:t xml:space="preserve">Sujet RC</w:t>
      </w:r>
    </w:p>
    <w:p>
      <w:pPr>
        <w:pStyle w:val="FirstParagraph"/>
      </w:pPr>
      <w:r>
        <w:t xml:space="preserve">Sujet : Ecrire le plan d’analyse statistique de l’essai thérapeutique suivant après avoir précisé les critères principaux et secondaires d’efficacité. Calculez un nombre de sujets à inclure. (Un plan d’analyse statistique décrit de façon claire, cohérente, précise et détaillée l’ensemble des analyses qui seront réalisées pour interpréter au mieux les données récoltées lors de l’essai).</w:t>
      </w:r>
    </w:p>
    <w:p>
      <w:pPr>
        <w:pStyle w:val="BodyText"/>
      </w:pPr>
      <w:r>
        <w:t xml:space="preserve">Title: Modafinil In the Treatment of Fatigue in Post-Polio Syndrome</w:t>
      </w:r>
    </w:p>
    <w:p>
      <w:pPr>
        <w:pStyle w:val="BodyText"/>
      </w:pPr>
      <w:r>
        <w:t xml:space="preserve">Summary: This study, conducted at the Walter Reed Army Medical Center, the National Rehabilitation Hospital, and the National Institutes of Health, will examine whether the drug Modafinil can decrease fatigue in patients with postpolio syndrome. Many people who have had polio develop weakness and severe fatigue several years after their recovery from the acute disease. Modafinil is approved by the Food and Drug Administration to improve wakefulness in patients with narcolepsy (disease in which patients have excessive daytime sleepiness) and has been used to treat patients with fatigue related to other medical conditions, such as multiple sclerosis. This study will compare the effects of one dose of Modafinil and of a placebo (a pill with no active ingredient) on fatigue in patients with post-polio syndrome. Patients who develop fatigue, weakness, muscle pain or atrophy, and functional loss at least 15 years after recovering from polio and whose symptoms cannot be attributed to another cause may be eligible for this study. Candidates will be screened with a medical history, physical and neurological examinations, fatigue rating scales, electrocardiogram, blood and urine tests, drowsiness and depression evaluations, and an electroymogram (EMG) to diagnose nerve or muscle problems. For the EMG, electrodes (small metal discs) are taped to the skin and a needle is inserted into a muscle to record the electrical activity. Candidates will also undergo a sleep study to exclude abnormal sleep patterns as the cause of the fatigue. For this study, patients stay overnight at the NIH hospital. Electrodes are placed on the throat, on a finger, and on the chest (for an electrocardiogram), and a respiratory belt is placed around the chest-abdomen area. During sleep (from 10:30 p.m. to 6 a.m.), brain waves, eye and leg movements, muscle tone, respiration, and heart rate are recorded. Beginning at 8 a.m. the following morning, the patient takes 20-minute naps to measure the level of daytime sleepiness, using a recording technique similar to that of the all-night study. When five naps are completed, the sleep study ends. Candidates may also undergo a lumbar puncture (spinal tap) to check for certain chemicals in the spinal fluid that might be related to fatigue and to look for possible causes of post-polio syndrome. This procedure is optional. For the lumbar puncture, a local anesthetic is given and a needle is inserted in the space between the bones in the lower back where the cerebrospinal fluid circulates below the spinal cord. A small amount of fluid is collected through the needle. Patients enrolled in the study will complete a sleep diary during the entire study period. They will be randomly assigned to Modafinil or placebo for 6 weeks, followed by a 2-week washout period with no medication, and then a crossover phase, in which patients who took Modafinil for the first 6 weeks now take placebo, and those who took placebo now take Modafinil. At the first study visit, patients will be given a supply of study medication and have blood drawn. They will take one pill twice a day during both study phases. In both study phases, evaluations will be done 3 and 6 weeks after starting the medication. The evaluations include filling out the same forms completed at the screening visit, a review of drug side effects, and a review of medical problems since the last study visit. At the 6-week visit, blood is also drawn.</w:t>
      </w:r>
    </w:p>
    <w:p>
      <w:pPr>
        <w:pStyle w:val="BodyText"/>
      </w:pPr>
      <w:r>
        <w:t xml:space="preserve">Eligibility Criteria:</w:t>
      </w:r>
    </w:p>
    <w:p>
      <w:pPr>
        <w:pStyle w:val="BodyText"/>
      </w:pPr>
      <w:r>
        <w:t xml:space="preserve">INCLUSION CRITERIA: Patients will have to meet the clinical criteria for the diagnosis of PPS, have fatigue as a major complaint, and be 18 years or older, of either sex.</w:t>
      </w:r>
    </w:p>
    <w:p>
      <w:pPr>
        <w:pStyle w:val="BodyText"/>
      </w:pPr>
      <w:r>
        <w:t xml:space="preserve">EXCLUSION CRITERIA: Sensitivity to modafinil. A score below the 75 on the FIS. Another general medical condition that might produce fatigue to a sufficient degree to compound and confuse the assessment of fatigue due to PPS. Use of a drug known to cause a clinically significant interaction. Presence of sleep disorder or depression severe enough to compound the fatigue evaluation. Pregnancy. Breastfeeding. Use of stimulants, such as Ritalin and herbal preparations, such as ephedra. Presence of known cardiac disease.</w:t>
      </w:r>
    </w:p>
    <w:p>
      <w:r>
        <w:pict>
          <v:rect style="width:0;height:1.5pt" o:hralign="center" o:hrstd="t" o:hr="t"/>
        </w:pict>
      </w:r>
    </w:p>
    <w:p>
      <w:pPr>
        <w:pStyle w:val="FirstParagraph"/>
      </w:pPr>
      <w:r>
        <w:t xml:space="preserve">Sujet</w:t>
      </w:r>
      <w:r>
        <w:t xml:space="preserve"> </w:t>
      </w:r>
      <w:r>
        <w:t xml:space="preserve">Rédiger le plan d’analyse statistique de l’essai thérapeutique suivant après avoir précisé les critères principaux et secondaires d’efficacité. Calculer un nombre de sujets à inclure.</w:t>
      </w:r>
      <w:r>
        <w:t xml:space="preserve"> </w:t>
      </w:r>
      <w:r>
        <w:t xml:space="preserve">(Un plan d’analyse statistique décrit de façon claire, cohérente, précise et détaillée l’ensemble des analyses qui seront réalisées pour interpréter au mieux les données recueillies lors de l’essai.)</w:t>
      </w:r>
    </w:p>
    <w:p>
      <w:pPr>
        <w:pStyle w:val="BodyText"/>
      </w:pPr>
      <w:r>
        <w:t xml:space="preserve">Titre</w:t>
      </w:r>
      <w:r>
        <w:t xml:space="preserve"> </w:t>
      </w:r>
      <w:r>
        <w:t xml:space="preserve">Modafinil dans le traitement de la fatigue du syndrome post-polio</w:t>
      </w:r>
    </w:p>
    <w:p>
      <w:pPr>
        <w:pStyle w:val="BodyText"/>
      </w:pPr>
      <w:r>
        <w:t xml:space="preserve">Résumé</w:t>
      </w:r>
      <w:r>
        <w:t xml:space="preserve"> </w:t>
      </w:r>
      <w:r>
        <w:t xml:space="preserve">Cette étude, menée au Walter Reed Army Medical Center, au National Rehabilitation Hospital et aux National Institutes of Health, examinera si le médicament Modafinil peut diminuer la fatigue chez les patients atteints de syndrome post-polio.</w:t>
      </w:r>
      <w:r>
        <w:t xml:space="preserve"> </w:t>
      </w:r>
      <w:r>
        <w:t xml:space="preserve">De nombreuses personnes ayant eu une poliomyélite développent, plusieurs années après la guérison de la maladie aiguë, une faiblesse et une fatigue sévère. Le Modafinil est approuvé par la Food and Drug Administration pour améliorer l’éveil chez les patients atteints de narcolepsie (maladie caractérisée par une somnolence diurne excessive) et a été utilisé pour traiter des patients présentant une fatigue liée à d’autres pathologies, telles que la sclérose en plaques.</w:t>
      </w:r>
      <w:r>
        <w:t xml:space="preserve"> </w:t>
      </w:r>
      <w:r>
        <w:t xml:space="preserve">Cette étude comparera les effets d’une dose de Modafinil à ceux d’un placebo (comprimé sans principe actif) sur la fatigue chez des patients atteints de syndrome post-polio.</w:t>
      </w:r>
    </w:p>
    <w:p>
      <w:pPr>
        <w:pStyle w:val="BodyText"/>
      </w:pPr>
      <w:r>
        <w:t xml:space="preserve">Population étudiée et critères d’éligibilité</w:t>
      </w:r>
      <w:r>
        <w:t xml:space="preserve"> </w:t>
      </w:r>
      <w:r>
        <w:t xml:space="preserve">Critères d’inclusion</w:t>
      </w:r>
      <w:r>
        <w:t xml:space="preserve"> </w:t>
      </w:r>
      <w:r>
        <w:t xml:space="preserve">Les patients devront :</w:t>
      </w:r>
      <w:r>
        <w:t xml:space="preserve"> </w:t>
      </w:r>
      <w:r>
        <w:t xml:space="preserve">• répondre aux critères cliniques du diagnostic de syndrome post-polio</w:t>
      </w:r>
      <w:r>
        <w:t xml:space="preserve"> </w:t>
      </w:r>
      <w:r>
        <w:t xml:space="preserve">• présenter la fatigue comme plainte principale</w:t>
      </w:r>
      <w:r>
        <w:t xml:space="preserve"> </w:t>
      </w:r>
      <w:r>
        <w:t xml:space="preserve">• être âgés de 18 ans ou plus</w:t>
      </w:r>
      <w:r>
        <w:t xml:space="preserve"> </w:t>
      </w:r>
      <w:r>
        <w:t xml:space="preserve">• être de sexe masculin ou féminin</w:t>
      </w:r>
      <w:r>
        <w:t xml:space="preserve"> </w:t>
      </w:r>
      <w:r>
        <w:t xml:space="preserve">Critères d’exclusion</w:t>
      </w:r>
      <w:r>
        <w:t xml:space="preserve"> </w:t>
      </w:r>
      <w:r>
        <w:t xml:space="preserve">• hypersensibilité au modafinil</w:t>
      </w:r>
      <w:r>
        <w:t xml:space="preserve"> </w:t>
      </w:r>
      <w:r>
        <w:t xml:space="preserve">• score inférieur à 75 au Fatigue Impact Scale (FIS)</w:t>
      </w:r>
      <w:r>
        <w:t xml:space="preserve"> </w:t>
      </w:r>
      <w:r>
        <w:t xml:space="preserve">• autre affection médicale générale pouvant induire une fatigue suffisante pour interférer avec l’évaluation de la fatigue liée au syndrome post-polio</w:t>
      </w:r>
      <w:r>
        <w:t xml:space="preserve"> </w:t>
      </w:r>
      <w:r>
        <w:t xml:space="preserve">• utilisation d’un médicament susceptible d’interagir de manière cliniquement significative</w:t>
      </w:r>
      <w:r>
        <w:t xml:space="preserve"> </w:t>
      </w:r>
      <w:r>
        <w:t xml:space="preserve">• présence d’un trouble du sommeil ou d’une dépression suffisamment sévère pour interférer avec l’évaluation de la fatigue</w:t>
      </w:r>
      <w:r>
        <w:t xml:space="preserve"> </w:t>
      </w:r>
      <w:r>
        <w:t xml:space="preserve">• grossesse</w:t>
      </w:r>
      <w:r>
        <w:t xml:space="preserve"> </w:t>
      </w:r>
      <w:r>
        <w:t xml:space="preserve">• allaitement</w:t>
      </w:r>
      <w:r>
        <w:t xml:space="preserve"> </w:t>
      </w:r>
      <w:r>
        <w:t xml:space="preserve">• utilisation de stimulants (par exemple Ritalin) ou de préparations à base de plantes (par exemple éphédra)</w:t>
      </w:r>
      <w:r>
        <w:t xml:space="preserve"> </w:t>
      </w:r>
      <w:r>
        <w:t xml:space="preserve">• présence d’une maladie cardiaque connue</w:t>
      </w:r>
      <w:r>
        <w:t xml:space="preserve"> </w:t>
      </w:r>
      <w:r>
        <w:t xml:space="preserve">________________________________________</w:t>
      </w:r>
      <w:r>
        <w:t xml:space="preserve"> </w:t>
      </w:r>
      <w:r>
        <w:t xml:space="preserve">Procédure de sélection (screening)</w:t>
      </w:r>
      <w:r>
        <w:t xml:space="preserve"> </w:t>
      </w:r>
      <w:r>
        <w:t xml:space="preserve">Les candidats seront évalués par :</w:t>
      </w:r>
      <w:r>
        <w:t xml:space="preserve"> </w:t>
      </w:r>
      <w:r>
        <w:t xml:space="preserve">• anamnèse médicale</w:t>
      </w:r>
      <w:r>
        <w:t xml:space="preserve"> </w:t>
      </w:r>
      <w:r>
        <w:t xml:space="preserve">• examen physique</w:t>
      </w:r>
      <w:r>
        <w:t xml:space="preserve"> </w:t>
      </w:r>
      <w:r>
        <w:t xml:space="preserve">• examen neurologique</w:t>
      </w:r>
      <w:r>
        <w:t xml:space="preserve"> </w:t>
      </w:r>
      <w:r>
        <w:t xml:space="preserve">• échelles d’évaluation de la fatigue</w:t>
      </w:r>
      <w:r>
        <w:t xml:space="preserve"> </w:t>
      </w:r>
      <w:r>
        <w:t xml:space="preserve">• électrocardiogramme</w:t>
      </w:r>
      <w:r>
        <w:t xml:space="preserve"> </w:t>
      </w:r>
      <w:r>
        <w:t xml:space="preserve">• analyses sanguines et urinaires</w:t>
      </w:r>
      <w:r>
        <w:t xml:space="preserve"> </w:t>
      </w:r>
      <w:r>
        <w:t xml:space="preserve">• évaluation de la somnolence</w:t>
      </w:r>
      <w:r>
        <w:t xml:space="preserve"> </w:t>
      </w:r>
      <w:r>
        <w:t xml:space="preserve">• évaluation de la dépression</w:t>
      </w:r>
      <w:r>
        <w:t xml:space="preserve"> </w:t>
      </w:r>
      <w:r>
        <w:t xml:space="preserve">• électromyogramme (EMG)</w:t>
      </w:r>
      <w:r>
        <w:t xml:space="preserve"> </w:t>
      </w:r>
      <w:r>
        <w:t xml:space="preserve">Pour l’EMG :</w:t>
      </w:r>
      <w:r>
        <w:t xml:space="preserve"> </w:t>
      </w:r>
      <w:r>
        <w:t xml:space="preserve">• des électrodes (petits disques métalliques) sont fixées sur la peau</w:t>
      </w:r>
      <w:r>
        <w:t xml:space="preserve"> </w:t>
      </w:r>
      <w:r>
        <w:t xml:space="preserve">• une aiguille est insérée dans un muscle afin d’enregistrer l’activité électrique</w:t>
      </w:r>
      <w:r>
        <w:t xml:space="preserve"> </w:t>
      </w:r>
      <w:r>
        <w:t xml:space="preserve">Les candidats subiront également une étude du sommeil afin d’exclure des troubles du sommeil comme cause de la fatigue.</w:t>
      </w:r>
      <w:r>
        <w:t xml:space="preserve"> </w:t>
      </w:r>
      <w:r>
        <w:t xml:space="preserve">________________________________________</w:t>
      </w:r>
      <w:r>
        <w:t xml:space="preserve"> </w:t>
      </w:r>
      <w:r>
        <w:t xml:space="preserve">Étude du sommeil</w:t>
      </w:r>
      <w:r>
        <w:t xml:space="preserve"> </w:t>
      </w:r>
      <w:r>
        <w:t xml:space="preserve">Les patients passent une nuit à l’hôpital du NIH.</w:t>
      </w:r>
      <w:r>
        <w:t xml:space="preserve"> </w:t>
      </w:r>
      <w:r>
        <w:t xml:space="preserve">Dispositif :</w:t>
      </w:r>
      <w:r>
        <w:t xml:space="preserve"> </w:t>
      </w:r>
      <w:r>
        <w:t xml:space="preserve">• électrodes sur la gorge</w:t>
      </w:r>
      <w:r>
        <w:t xml:space="preserve"> </w:t>
      </w:r>
      <w:r>
        <w:t xml:space="preserve">• électrode sur un doigt</w:t>
      </w:r>
      <w:r>
        <w:t xml:space="preserve"> </w:t>
      </w:r>
      <w:r>
        <w:t xml:space="preserve">• électrodes thoraciques (ECG)</w:t>
      </w:r>
      <w:r>
        <w:t xml:space="preserve"> </w:t>
      </w:r>
      <w:r>
        <w:t xml:space="preserve">• ceinture respiratoire thoraco-abdominale</w:t>
      </w:r>
      <w:r>
        <w:t xml:space="preserve"> </w:t>
      </w:r>
      <w:r>
        <w:t xml:space="preserve">Enregistrement nocturne (22h30 – 6h) :</w:t>
      </w:r>
      <w:r>
        <w:t xml:space="preserve"> </w:t>
      </w:r>
      <w:r>
        <w:t xml:space="preserve">• activité cérébrale</w:t>
      </w:r>
      <w:r>
        <w:t xml:space="preserve"> </w:t>
      </w:r>
      <w:r>
        <w:t xml:space="preserve">• mouvements oculaires</w:t>
      </w:r>
      <w:r>
        <w:t xml:space="preserve"> </w:t>
      </w:r>
      <w:r>
        <w:t xml:space="preserve">• mouvements des jambes</w:t>
      </w:r>
      <w:r>
        <w:t xml:space="preserve"> </w:t>
      </w:r>
      <w:r>
        <w:t xml:space="preserve">• tonus musculaire</w:t>
      </w:r>
      <w:r>
        <w:t xml:space="preserve"> </w:t>
      </w:r>
      <w:r>
        <w:t xml:space="preserve">• respiration</w:t>
      </w:r>
      <w:r>
        <w:t xml:space="preserve"> </w:t>
      </w:r>
      <w:r>
        <w:t xml:space="preserve">• fréquence cardiaque</w:t>
      </w:r>
      <w:r>
        <w:t xml:space="preserve"> </w:t>
      </w:r>
      <w:r>
        <w:t xml:space="preserve">Le lendemain à partir de 8h :</w:t>
      </w:r>
      <w:r>
        <w:t xml:space="preserve"> </w:t>
      </w:r>
      <w:r>
        <w:t xml:space="preserve">• siestes de 20 minutes</w:t>
      </w:r>
      <w:r>
        <w:t xml:space="preserve"> </w:t>
      </w:r>
      <w:r>
        <w:t xml:space="preserve">• mesure de la somnolence diurne</w:t>
      </w:r>
      <w:r>
        <w:t xml:space="preserve"> </w:t>
      </w:r>
      <w:r>
        <w:t xml:space="preserve">• méthode d’enregistrement similaire à celle de la nuit</w:t>
      </w:r>
      <w:r>
        <w:t xml:space="preserve"> </w:t>
      </w:r>
      <w:r>
        <w:t xml:space="preserve">Après cinq siestes :</w:t>
      </w:r>
      <w:r>
        <w:t xml:space="preserve"> </w:t>
      </w:r>
      <w:r>
        <w:t xml:space="preserve">• fin de l’étude du sommeil</w:t>
      </w:r>
      <w:r>
        <w:t xml:space="preserve"> </w:t>
      </w:r>
      <w:r>
        <w:t xml:space="preserve">________________________________________</w:t>
      </w:r>
      <w:r>
        <w:t xml:space="preserve"> </w:t>
      </w:r>
      <w:r>
        <w:t xml:space="preserve">Ponction lombaire (optionnelle)</w:t>
      </w:r>
      <w:r>
        <w:t xml:space="preserve"> </w:t>
      </w:r>
      <w:r>
        <w:t xml:space="preserve">Les candidats peuvent subir une ponction lombaire pour :</w:t>
      </w:r>
      <w:r>
        <w:t xml:space="preserve"> </w:t>
      </w:r>
      <w:r>
        <w:t xml:space="preserve">• analyser certaines substances dans le liquide céphalo-rachidien</w:t>
      </w:r>
      <w:r>
        <w:t xml:space="preserve"> </w:t>
      </w:r>
      <w:r>
        <w:t xml:space="preserve">• rechercher des causes potentielles du syndrome post-polio</w:t>
      </w:r>
      <w:r>
        <w:t xml:space="preserve"> </w:t>
      </w:r>
      <w:r>
        <w:t xml:space="preserve">Procédure :</w:t>
      </w:r>
      <w:r>
        <w:t xml:space="preserve"> </w:t>
      </w:r>
      <w:r>
        <w:t xml:space="preserve">• anesthésie locale</w:t>
      </w:r>
      <w:r>
        <w:t xml:space="preserve"> </w:t>
      </w:r>
      <w:r>
        <w:t xml:space="preserve">• insertion d’une aiguille entre les vertèbres lombaires</w:t>
      </w:r>
      <w:r>
        <w:t xml:space="preserve"> </w:t>
      </w:r>
      <w:r>
        <w:t xml:space="preserve">• prélèvement d’une petite quantité de liquide</w:t>
      </w:r>
      <w:r>
        <w:t xml:space="preserve"> </w:t>
      </w:r>
      <w:r>
        <w:t xml:space="preserve">________________________________________</w:t>
      </w:r>
      <w:r>
        <w:t xml:space="preserve"> </w:t>
      </w:r>
      <w:r>
        <w:t xml:space="preserve">Déroulement de l’étude</w:t>
      </w:r>
      <w:r>
        <w:t xml:space="preserve"> </w:t>
      </w:r>
      <w:r>
        <w:t xml:space="preserve">Design</w:t>
      </w:r>
      <w:r>
        <w:t xml:space="preserve"> </w:t>
      </w:r>
      <w:r>
        <w:t xml:space="preserve">• essai randomisé</w:t>
      </w:r>
      <w:r>
        <w:t xml:space="preserve"> </w:t>
      </w:r>
      <w:r>
        <w:t xml:space="preserve">• en cross-over</w:t>
      </w:r>
      <w:r>
        <w:t xml:space="preserve"> </w:t>
      </w:r>
      <w:r>
        <w:t xml:space="preserve">• contrôlé par placebo</w:t>
      </w:r>
      <w:r>
        <w:t xml:space="preserve"> </w:t>
      </w:r>
      <w:r>
        <w:t xml:space="preserve">Schéma</w:t>
      </w:r>
      <w:r>
        <w:t xml:space="preserve"> </w:t>
      </w:r>
      <w:r>
        <w:t xml:space="preserve">1. Première phase :</w:t>
      </w:r>
      <w:r>
        <w:t xml:space="preserve"> </w:t>
      </w:r>
      <w:r>
        <w:t xml:space="preserve">o Modafinil ou placebo pendant 6 semaines</w:t>
      </w:r>
      <w:r>
        <w:t xml:space="preserve"> </w:t>
      </w:r>
      <w:r>
        <w:t xml:space="preserve">2. Période de washout :</w:t>
      </w:r>
      <w:r>
        <w:t xml:space="preserve"> </w:t>
      </w:r>
      <w:r>
        <w:t xml:space="preserve">o 2 semaines sans traitement</w:t>
      </w:r>
      <w:r>
        <w:t xml:space="preserve"> </w:t>
      </w:r>
      <w:r>
        <w:t xml:space="preserve">3. Phase de cross-over :</w:t>
      </w:r>
      <w:r>
        <w:t xml:space="preserve"> </w:t>
      </w:r>
      <w:r>
        <w:t xml:space="preserve">o les patients changent de traitement</w:t>
      </w:r>
      <w:r>
        <w:t xml:space="preserve"> </w:t>
      </w:r>
      <w:r>
        <w:t xml:space="preserve">o ceux ayant reçu Modafinil reçoivent placebo</w:t>
      </w:r>
      <w:r>
        <w:t xml:space="preserve"> </w:t>
      </w:r>
      <w:r>
        <w:t xml:space="preserve">o ceux ayant reçu placebo reçoivent Modafinil</w:t>
      </w:r>
      <w:r>
        <w:t xml:space="preserve"> </w:t>
      </w:r>
      <w:r>
        <w:t xml:space="preserve">________________________________________</w:t>
      </w:r>
      <w:r>
        <w:t xml:space="preserve"> </w:t>
      </w:r>
      <w:r>
        <w:t xml:space="preserve">Traitement</w:t>
      </w:r>
      <w:r>
        <w:t xml:space="preserve"> </w:t>
      </w:r>
      <w:r>
        <w:t xml:space="preserve">• prise de 1 comprimé deux fois par jour</w:t>
      </w:r>
      <w:r>
        <w:t xml:space="preserve"> </w:t>
      </w:r>
      <w:r>
        <w:t xml:space="preserve">• pendant les deux phases de traitement</w:t>
      </w:r>
      <w:r>
        <w:t xml:space="preserve"> </w:t>
      </w:r>
      <w:r>
        <w:t xml:space="preserve">________________________________________</w:t>
      </w:r>
      <w:r>
        <w:t xml:space="preserve"> </w:t>
      </w:r>
      <w:r>
        <w:t xml:space="preserve">Suivi et évaluations</w:t>
      </w:r>
      <w:r>
        <w:t xml:space="preserve"> </w:t>
      </w:r>
      <w:r>
        <w:t xml:space="preserve">Journal</w:t>
      </w:r>
      <w:r>
        <w:t xml:space="preserve"> </w:t>
      </w:r>
      <w:r>
        <w:t xml:space="preserve">• tenue d’un journal du sommeil pendant toute la durée de l’étude</w:t>
      </w:r>
      <w:r>
        <w:t xml:space="preserve"> </w:t>
      </w:r>
      <w:r>
        <w:t xml:space="preserve">Visite initiale</w:t>
      </w:r>
      <w:r>
        <w:t xml:space="preserve"> </w:t>
      </w:r>
      <w:r>
        <w:t xml:space="preserve">• délivrance du traitement</w:t>
      </w:r>
      <w:r>
        <w:t xml:space="preserve"> </w:t>
      </w:r>
      <w:r>
        <w:t xml:space="preserve">• prélèvement sanguin</w:t>
      </w:r>
      <w:r>
        <w:t xml:space="preserve"> </w:t>
      </w:r>
      <w:r>
        <w:t xml:space="preserve">Évaluations pendant chaque phase</w:t>
      </w:r>
      <w:r>
        <w:t xml:space="preserve"> </w:t>
      </w:r>
      <w:r>
        <w:t xml:space="preserve">• à 3 semaines</w:t>
      </w:r>
      <w:r>
        <w:t xml:space="preserve"> </w:t>
      </w:r>
      <w:r>
        <w:t xml:space="preserve">• à 6 semaines</w:t>
      </w:r>
      <w:r>
        <w:t xml:space="preserve"> </w:t>
      </w:r>
      <w:r>
        <w:t xml:space="preserve">Évaluations comprenant :</w:t>
      </w:r>
      <w:r>
        <w:t xml:space="preserve"> </w:t>
      </w:r>
      <w:r>
        <w:t xml:space="preserve">• remplissage des mêmes questionnaires que lors du screening</w:t>
      </w:r>
      <w:r>
        <w:t xml:space="preserve"> </w:t>
      </w:r>
      <w:r>
        <w:t xml:space="preserve">• évaluation des effets secondaires</w:t>
      </w:r>
      <w:r>
        <w:t xml:space="preserve"> </w:t>
      </w:r>
      <w:r>
        <w:t xml:space="preserve">• revue des problèmes médicaux depuis la visite précédente</w:t>
      </w:r>
      <w:r>
        <w:t xml:space="preserve"> </w:t>
      </w:r>
      <w:r>
        <w:t xml:space="preserve">À 6 semaines :</w:t>
      </w:r>
      <w:r>
        <w:t xml:space="preserve"> </w:t>
      </w:r>
      <w:r>
        <w:t xml:space="preserve">• prélèvement sanguin supplémentaire</w:t>
      </w:r>
    </w:p>
    <w:p>
      <w:pPr>
        <w:pStyle w:val="BodyText"/>
      </w:pPr>
      <w:r>
        <w:t xml:space="preserve">Symptômes requis pour inclusion</w:t>
      </w:r>
      <w:r>
        <w:t xml:space="preserve"> </w:t>
      </w:r>
      <w:r>
        <w:t xml:space="preserve">Patients présentant :</w:t>
      </w:r>
      <w:r>
        <w:t xml:space="preserve"> </w:t>
      </w:r>
      <w:r>
        <w:t xml:space="preserve">• fatigue</w:t>
      </w:r>
      <w:r>
        <w:t xml:space="preserve"> </w:t>
      </w:r>
      <w:r>
        <w:t xml:space="preserve">• faiblesse</w:t>
      </w:r>
      <w:r>
        <w:t xml:space="preserve"> </w:t>
      </w:r>
      <w:r>
        <w:t xml:space="preserve">• douleurs musculaires ou atrophie</w:t>
      </w:r>
      <w:r>
        <w:t xml:space="preserve"> </w:t>
      </w:r>
      <w:r>
        <w:t xml:space="preserve">• perte fonctionnelle</w:t>
      </w:r>
      <w:r>
        <w:t xml:space="preserve"> </w:t>
      </w:r>
      <w:r>
        <w:t xml:space="preserve">survenant :</w:t>
      </w:r>
      <w:r>
        <w:t xml:space="preserve"> </w:t>
      </w:r>
      <w:r>
        <w:t xml:space="preserve">• au moins 15 ans après la poliomyélite</w:t>
      </w:r>
      <w:r>
        <w:t xml:space="preserve"> </w:t>
      </w:r>
      <w:r>
        <w:t xml:space="preserve">et non expliqués par une autre cause</w:t>
      </w:r>
    </w:p>
    <w:p>
      <w:pPr>
        <w:pStyle w:val="BodyText"/>
      </w:pPr>
      <w:r>
        <w:t xml:space="preserve">Remarque méthodologique implicite</w:t>
      </w:r>
      <w:r>
        <w:t xml:space="preserve"> </w:t>
      </w:r>
      <w:r>
        <w:t xml:space="preserve">Comparaison intra-individuelle :</w:t>
      </w:r>
      <w:r>
        <w:t xml:space="preserve"> </w:t>
      </w:r>
      <w:r>
        <w:t xml:space="preserve">• chaque patient reçoit les deux traitements</w:t>
      </w:r>
      <w:r>
        <w:t xml:space="preserve"> </w:t>
      </w:r>
      <w:r>
        <w:t xml:space="preserve">• comparaison Modafinil vs placebo chez un même individu</w:t>
      </w:r>
    </w:p>
    <w:bookmarkEnd w:id="20"/>
    <w:bookmarkStart w:id="21" w:name="introduction"/>
    <w:p>
      <w:pPr>
        <w:pStyle w:val="Heading1"/>
      </w:pPr>
      <w:r>
        <w:t xml:space="preserve">Introduction</w:t>
      </w:r>
    </w:p>
    <w:p>
      <w:pPr>
        <w:numPr>
          <w:ilvl w:val="0"/>
          <w:numId w:val="1001"/>
        </w:numPr>
      </w:pPr>
      <w:r>
        <w:t xml:space="preserve">Le syndrome post-polio (PPS) est une complication tardive de la poliomyélite, survenant plusieurs années, voire plusieurs décennies après la phase aiguë de la maladie. Il se caractérise par l’apparition progressive de nouveaux symptômes, notamment une faiblesse musculaire, une fatigabilité, des douleurs musculaires et une perte d’autonomie fonctionnelle. Parmi ces manifestations, la fatigue constitue l’un des symptômes les plus fréquents et les plus invalidants, avec un impact majeur sur la qualité de vie des patients.</w:t>
      </w:r>
    </w:p>
    <w:p>
      <w:pPr>
        <w:numPr>
          <w:ilvl w:val="0"/>
          <w:numId w:val="1001"/>
        </w:numPr>
      </w:pPr>
      <w:r>
        <w:t xml:space="preserve">La physiopathologie du PPS n’est pas entièrement comprise. Plusieurs mécanismes sont évoqués, incluant une dénervation progressive des unités motrices, une surcharge fonctionnelle des motoneurones survivants et des altérations centrales de la régulation de la vigilance. À ce jour, la prise en charge repose principalement sur des mesures symptomatiques et de réadaptation, sans traitement pharmacologique clairement efficace sur la fatigue.</w:t>
      </w:r>
    </w:p>
    <w:p>
      <w:pPr>
        <w:numPr>
          <w:ilvl w:val="0"/>
          <w:numId w:val="1001"/>
        </w:numPr>
      </w:pPr>
      <w:r>
        <w:t xml:space="preserve">Le Modafinil est un agent éveillant, initialement développé pour le traitement de la narcolepsie, et approuvé pour améliorer la vigilance chez les patients présentant une somnolence diurne. Son mécanisme d’action implique une modulation de plusieurs systèmes de neurotransmission, notamment dopaminergiques et noradrénergiques, susceptibles d’influencer la vigilance et la perception de la fatigue. Le Modafinil a également été utilisé dans d’autres pathologies associées à une fatigue chronique, telles que la sclérose en plaques, avec des résultats variables.</w:t>
      </w:r>
    </w:p>
    <w:p>
      <w:pPr>
        <w:numPr>
          <w:ilvl w:val="0"/>
          <w:numId w:val="1001"/>
        </w:numPr>
      </w:pPr>
      <w:r>
        <w:t xml:space="preserve">Dans ce contexte, l’évaluation de l’efficacité du Modafinil dans la réduction de la fatigue liée au syndrome post-polio apparaît pertinente. Le recours à un essai randomisé contrôlé, avec un schéma en cross-over, permet de comparer directement l’effet du Modafinil à celui d’un placebo chez un même individu, en limitant la variabilité interindividuelle.</w:t>
      </w:r>
    </w:p>
    <w:p>
      <w:pPr>
        <w:numPr>
          <w:ilvl w:val="0"/>
          <w:numId w:val="1001"/>
        </w:numPr>
      </w:pPr>
      <w:r>
        <w:t xml:space="preserve">L’objectif de cet essai est donc d’évaluer si le Modafinil permet de diminuer significativement la fatigue chez des patients atteints de syndrome post-polio, comparativement à un placebo, dans le cadre d’un essai randomisé en cross-over.</w:t>
      </w:r>
    </w:p>
    <w:bookmarkEnd w:id="21"/>
    <w:bookmarkStart w:id="32" w:name="méthodologie"/>
    <w:p>
      <w:pPr>
        <w:pStyle w:val="Heading1"/>
      </w:pPr>
      <w:r>
        <w:t xml:space="preserve">Méthodologie</w:t>
      </w:r>
    </w:p>
    <w:bookmarkStart w:id="22" w:name="design"/>
    <w:p>
      <w:pPr>
        <w:pStyle w:val="Heading2"/>
      </w:pPr>
      <w:r>
        <w:t xml:space="preserve">Design</w:t>
      </w:r>
    </w:p>
    <w:p>
      <w:pPr>
        <w:numPr>
          <w:ilvl w:val="0"/>
          <w:numId w:val="1002"/>
        </w:numPr>
      </w:pPr>
      <w:r>
        <w:t xml:space="preserve">Il s’agit d’une étude randomisée, en cross-over, contrôlée par placebo, de phase III, visant à évaluer l’efficacité du Modafinil dans la réduction de la fatigue chez les patients atteints de syndrome post-polio.</w:t>
      </w:r>
    </w:p>
    <w:p>
      <w:pPr>
        <w:numPr>
          <w:ilvl w:val="0"/>
          <w:numId w:val="1002"/>
        </w:numPr>
      </w:pPr>
      <w:r>
        <w:t xml:space="preserve">Design multicentrique dans 3 centres américains.</w:t>
      </w:r>
    </w:p>
    <w:p>
      <w:pPr>
        <w:numPr>
          <w:ilvl w:val="0"/>
          <w:numId w:val="1002"/>
        </w:numPr>
      </w:pPr>
      <w:r>
        <w:t xml:space="preserve">Collecte des données : sur base unique centralisée, sécurisé, permettant la collecte pour l’analyse statistique.</w:t>
      </w:r>
    </w:p>
    <w:bookmarkEnd w:id="22"/>
    <w:bookmarkStart w:id="26" w:name="patients"/>
    <w:p>
      <w:pPr>
        <w:pStyle w:val="Heading2"/>
      </w:pPr>
      <w:r>
        <w:t xml:space="preserve">Patients</w:t>
      </w:r>
    </w:p>
    <w:bookmarkStart w:id="23" w:name="critères-dinclusion"/>
    <w:p>
      <w:pPr>
        <w:pStyle w:val="Heading3"/>
      </w:pPr>
      <w:r>
        <w:t xml:space="preserve">Critères d’inclusion</w:t>
      </w:r>
    </w:p>
    <w:p>
      <w:pPr>
        <w:numPr>
          <w:ilvl w:val="0"/>
          <w:numId w:val="1003"/>
        </w:numPr>
      </w:pPr>
      <w:r>
        <w:t xml:space="preserve">Âge supérieur ou égal à 18 ans</w:t>
      </w:r>
    </w:p>
    <w:p>
      <w:pPr>
        <w:numPr>
          <w:ilvl w:val="0"/>
          <w:numId w:val="1003"/>
        </w:numPr>
      </w:pPr>
      <w:r>
        <w:t xml:space="preserve">Sexe masculin ou féminin</w:t>
      </w:r>
    </w:p>
    <w:p>
      <w:pPr>
        <w:numPr>
          <w:ilvl w:val="0"/>
          <w:numId w:val="1003"/>
        </w:numPr>
      </w:pPr>
      <w:r>
        <w:t xml:space="preserve">Répondre aux critères cliniques du diagnostic de syndrome post-polio définies par la conférence March of Dimes</w:t>
      </w:r>
      <w:r>
        <w:t xml:space="preserve"> </w:t>
      </w:r>
      <w:r>
        <w:t xml:space="preserve">(Gonzalez, Olsson, and Borg 2010)</w:t>
      </w:r>
    </w:p>
    <w:p>
      <w:pPr>
        <w:numPr>
          <w:ilvl w:val="1"/>
          <w:numId w:val="1004"/>
        </w:numPr>
      </w:pPr>
      <w:r>
        <w:t xml:space="preserve">Antécédent de poliomyélite</w:t>
      </w:r>
    </w:p>
    <w:p>
      <w:pPr>
        <w:numPr>
          <w:ilvl w:val="1"/>
          <w:numId w:val="1004"/>
        </w:numPr>
      </w:pPr>
      <w:r>
        <w:t xml:space="preserve">Intervalle d’au moins 15 ans entre la phase aiguë de la poliomyélite et l’apparition des symptômes</w:t>
      </w:r>
    </w:p>
    <w:p>
      <w:pPr>
        <w:numPr>
          <w:ilvl w:val="1"/>
          <w:numId w:val="1004"/>
        </w:numPr>
      </w:pPr>
      <w:r>
        <w:t xml:space="preserve">Présence de nouveaux symptômes progressifs, tels que fatigue, faiblesse musculaire, douleurs musculaires ou atrophie, et perte fonctionnelle</w:t>
      </w:r>
    </w:p>
    <w:p>
      <w:pPr>
        <w:numPr>
          <w:ilvl w:val="1"/>
          <w:numId w:val="1004"/>
        </w:numPr>
      </w:pPr>
      <w:r>
        <w:t xml:space="preserve">Absence d’autre cause pouvant expliquer les symptômes</w:t>
      </w:r>
    </w:p>
    <w:p>
      <w:pPr>
        <w:numPr>
          <w:ilvl w:val="0"/>
          <w:numId w:val="1003"/>
        </w:numPr>
      </w:pPr>
      <w:r>
        <w:t xml:space="preserve">Fatigue comme plainte principale</w:t>
      </w:r>
    </w:p>
    <w:bookmarkEnd w:id="23"/>
    <w:bookmarkStart w:id="24" w:name="critères-dexclusion"/>
    <w:p>
      <w:pPr>
        <w:pStyle w:val="Heading3"/>
      </w:pPr>
      <w:r>
        <w:t xml:space="preserve">Critères d’exclusion</w:t>
      </w:r>
    </w:p>
    <w:p>
      <w:pPr>
        <w:numPr>
          <w:ilvl w:val="0"/>
          <w:numId w:val="1005"/>
        </w:numPr>
      </w:pPr>
      <w:r>
        <w:t xml:space="preserve">Contre-indication au Modafinil (hypersensibilité, allergie, réactions cutanées)</w:t>
      </w:r>
    </w:p>
    <w:p>
      <w:pPr>
        <w:numPr>
          <w:ilvl w:val="0"/>
          <w:numId w:val="1005"/>
        </w:numPr>
      </w:pPr>
      <w:r>
        <w:t xml:space="preserve">Score inférieur à 75 au Fatigue Impact Scale (FIS)</w:t>
      </w:r>
      <w:r>
        <w:t xml:space="preserve"> </w:t>
      </w:r>
      <w:r>
        <w:t xml:space="preserve">(Fisk et al. 1994)</w:t>
      </w:r>
    </w:p>
    <w:p>
      <w:pPr>
        <w:numPr>
          <w:ilvl w:val="0"/>
          <w:numId w:val="1005"/>
        </w:numPr>
      </w:pPr>
      <w:r>
        <w:t xml:space="preserve">Présence d’une autre affection pouvant induire une fatigue significative :</w:t>
      </w:r>
    </w:p>
    <w:p>
      <w:pPr>
        <w:numPr>
          <w:ilvl w:val="1"/>
          <w:numId w:val="1006"/>
        </w:numPr>
      </w:pPr>
      <w:r>
        <w:t xml:space="preserve">Anémie &lt; 9 g/dL</w:t>
      </w:r>
    </w:p>
    <w:p>
      <w:pPr>
        <w:numPr>
          <w:ilvl w:val="1"/>
          <w:numId w:val="1006"/>
        </w:numPr>
      </w:pPr>
      <w:r>
        <w:t xml:space="preserve">Troubles hydroélectrolytiques : sodium &lt; 130 mEq/L, potassium &lt; 3.0 mEq/L ou &gt; 5.5 mEq/L, calcémie corrigée &lt; 2.0 mmol/L ou &gt; 2.8 mmol/L</w:t>
      </w:r>
    </w:p>
    <w:p>
      <w:pPr>
        <w:numPr>
          <w:ilvl w:val="1"/>
          <w:numId w:val="1006"/>
        </w:numPr>
      </w:pPr>
      <w:r>
        <w:t xml:space="preserve">Hépatopathie : transaminases &gt; 3 fois la normale, bilirubine &gt; 2 mg/dL</w:t>
      </w:r>
    </w:p>
    <w:p>
      <w:pPr>
        <w:numPr>
          <w:ilvl w:val="1"/>
          <w:numId w:val="1006"/>
        </w:numPr>
      </w:pPr>
      <w:r>
        <w:t xml:space="preserve">Insuffisance rénale : clairance de la créatinine &lt; 45 mL/min/1,73m²</w:t>
      </w:r>
    </w:p>
    <w:p>
      <w:pPr>
        <w:numPr>
          <w:ilvl w:val="1"/>
          <w:numId w:val="1006"/>
        </w:numPr>
      </w:pPr>
      <w:r>
        <w:t xml:space="preserve">Hypothyroïdie non équilibrée : TSH &gt; 10 mIU/L</w:t>
      </w:r>
    </w:p>
    <w:p>
      <w:pPr>
        <w:numPr>
          <w:ilvl w:val="1"/>
          <w:numId w:val="1006"/>
        </w:numPr>
      </w:pPr>
      <w:r>
        <w:t xml:space="preserve">Carence vitaminique non substituée : vitamine D &lt; 15 ng/mL, vitamine B9 &lt; 4.0 ng/mL, vitamine B12 &lt; 148 pg/mL</w:t>
      </w:r>
    </w:p>
    <w:p>
      <w:pPr>
        <w:numPr>
          <w:ilvl w:val="1"/>
          <w:numId w:val="1006"/>
        </w:numPr>
      </w:pPr>
      <w:r>
        <w:t xml:space="preserve">Antécédent de maladie auto-immune ou de maladie inflammatoire chronique</w:t>
      </w:r>
    </w:p>
    <w:p>
      <w:pPr>
        <w:numPr>
          <w:ilvl w:val="1"/>
          <w:numId w:val="1006"/>
        </w:numPr>
      </w:pPr>
      <w:r>
        <w:t xml:space="preserve">Antécédent de sclérose en plaques ou de toute autre maladie neurodégénérative (maladie de Parkinson, maladie d’Alzheimer, etc.)</w:t>
      </w:r>
    </w:p>
    <w:p>
      <w:pPr>
        <w:numPr>
          <w:ilvl w:val="1"/>
          <w:numId w:val="1006"/>
        </w:numPr>
      </w:pPr>
      <w:r>
        <w:t xml:space="preserve">Antécédent d’un cancer évolutif ou d’une pathologie mettant en jeu à court terme le pronostic vital</w:t>
      </w:r>
    </w:p>
    <w:p>
      <w:pPr>
        <w:numPr>
          <w:ilvl w:val="1"/>
          <w:numId w:val="1006"/>
        </w:numPr>
      </w:pPr>
      <w:r>
        <w:t xml:space="preserve">Existence de troubles du sommeil pouvant expliquer l’état de fatigue (apnée du sommeil, hypersomnie idiopathique, narcolepsie)</w:t>
      </w:r>
    </w:p>
    <w:p>
      <w:pPr>
        <w:numPr>
          <w:ilvl w:val="0"/>
          <w:numId w:val="1005"/>
        </w:numPr>
      </w:pPr>
      <w:r>
        <w:t xml:space="preserve">Prise d’un médicament susceptible d’interaction : ciclosporine, résines chélatrices, contraceptifs oraux, antifongiques azolés, topiques gastro-intestinaux, anti-épileptiques</w:t>
      </w:r>
    </w:p>
    <w:p>
      <w:pPr>
        <w:numPr>
          <w:ilvl w:val="0"/>
          <w:numId w:val="1005"/>
        </w:numPr>
      </w:pPr>
      <w:r>
        <w:t xml:space="preserve">Trouble du sommeil ou dépression sévère pouvant compliquer l’évaluation de la fatigue</w:t>
      </w:r>
    </w:p>
    <w:p>
      <w:pPr>
        <w:numPr>
          <w:ilvl w:val="0"/>
          <w:numId w:val="1005"/>
        </w:numPr>
      </w:pPr>
      <w:r>
        <w:t xml:space="preserve">Grossesse ou allaitement</w:t>
      </w:r>
    </w:p>
    <w:p>
      <w:pPr>
        <w:numPr>
          <w:ilvl w:val="0"/>
          <w:numId w:val="1005"/>
        </w:numPr>
      </w:pPr>
      <w:r>
        <w:t xml:space="preserve">Fortes douleurs déclarées par le patient</w:t>
      </w:r>
    </w:p>
    <w:p>
      <w:pPr>
        <w:numPr>
          <w:ilvl w:val="0"/>
          <w:numId w:val="1005"/>
        </w:numPr>
      </w:pPr>
      <w:r>
        <w:t xml:space="preserve">Utilisation de stimulants (Ritaline) ou de préparations à base de plantes (éphédra)</w:t>
      </w:r>
    </w:p>
    <w:p>
      <w:pPr>
        <w:numPr>
          <w:ilvl w:val="0"/>
          <w:numId w:val="1005"/>
        </w:numPr>
      </w:pPr>
      <w:r>
        <w:t xml:space="preserve">Maladie cardiaque connue (arythmie, insuffisance cardiaque stade NYHA IV)</w:t>
      </w:r>
    </w:p>
    <w:bookmarkEnd w:id="24"/>
    <w:bookmarkStart w:id="25" w:name="screening-et-évaluation-préliminaire"/>
    <w:p>
      <w:pPr>
        <w:pStyle w:val="Heading3"/>
      </w:pPr>
      <w:r>
        <w:t xml:space="preserve">Screening et évaluation préliminaire</w:t>
      </w:r>
    </w:p>
    <w:p>
      <w:pPr>
        <w:pStyle w:val="Compact"/>
        <w:numPr>
          <w:ilvl w:val="0"/>
          <w:numId w:val="1007"/>
        </w:numPr>
      </w:pPr>
      <w:r>
        <w:t xml:space="preserve">Les patients</w:t>
      </w:r>
      <w:r>
        <w:t xml:space="preserve"> </w:t>
      </w:r>
      <w:r>
        <w:t xml:space="preserve">“screenés”</w:t>
      </w:r>
      <w:r>
        <w:t xml:space="preserve"> </w:t>
      </w:r>
      <w:r>
        <w:t xml:space="preserve">seront évalués avant la randomisation pour vérifier l’absence d’une condition pré-existante pouvant fausser les résultats :</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Examen</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Description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Anamnèse médicale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Histoire clinique complète; prises médicamenteuses; recherche d'une cause alternative de fatigue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Examen physique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Examen général et neurologique avant randomisation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Échelle d’évaluation de la fatigue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Électrocardiogramme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Dépistage d'une cardiopathie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Biologie sanguine et urinaire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β-hCG, NFS, ionogramme, bilan hépatique et rénal, TSH, vitamines D/B9/B12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Électromyogramme (EMG)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Électrodes cutanées et aiguille intramusculaire pour enregistrer l'activité électrique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Polysomnographie nocturne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Nuit au NIH avec électrodes gorge/doigt/thorax et ceinture respiratoire; enregistrement cérébral, oculaire, respiratoire, musculaire et cardiaque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Somnolence diurne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Dès 8 h: cinq siestes de 20 min pour mesurer la somnolence diurne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Ponction lombaire (optionnelle)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Analyse du LCR pour causes potentielles du syndrome post-polio sous anesthésie locale</w:t>
            </w:r>
          </w:p>
        </w:tc>
      </w:tr>
    </w:tbl>
    <w:p>
      <w:r>
        <w:br w:type="page"/>
      </w:r>
    </w:p>
    <w:bookmarkEnd w:id="25"/>
    <w:bookmarkEnd w:id="26"/>
    <w:bookmarkStart w:id="30" w:name="objectifs"/>
    <w:p>
      <w:pPr>
        <w:pStyle w:val="Heading2"/>
      </w:pPr>
      <w:r>
        <w:t xml:space="preserve">Objectifs</w:t>
      </w:r>
    </w:p>
    <w:bookmarkStart w:id="28" w:name="objectif-principal"/>
    <w:p>
      <w:pPr>
        <w:pStyle w:val="Heading3"/>
      </w:pPr>
      <w:r>
        <w:t xml:space="preserve">Objectif principal</w:t>
      </w:r>
    </w:p>
    <w:p>
      <w:pPr>
        <w:numPr>
          <w:ilvl w:val="0"/>
          <w:numId w:val="1008"/>
        </w:numPr>
      </w:pPr>
      <w:r>
        <w:rPr>
          <w:b/>
          <w:bCs/>
        </w:rPr>
        <w:t xml:space="preserve">Objectif principal</w:t>
      </w:r>
      <w:r>
        <w:t xml:space="preserve"> </w:t>
      </w:r>
      <w:r>
        <w:t xml:space="preserve">: Évaluer l’efficacité du Modafinil dans la réduction de la fatigue chez les patients atteints de syndrome post-polio, comparativement à un placebo, mesurée par le</w:t>
      </w:r>
      <w:r>
        <w:t xml:space="preserve"> </w:t>
      </w:r>
      <w:r>
        <w:rPr>
          <w:i/>
          <w:iCs/>
        </w:rPr>
        <w:t xml:space="preserve">Fatigue Severity Scale</w:t>
      </w:r>
      <w:r>
        <w:t xml:space="preserve"> </w:t>
      </w:r>
      <w:r>
        <w:t xml:space="preserve">(FSS).</w:t>
      </w:r>
    </w:p>
    <w:p>
      <w:pPr>
        <w:numPr>
          <w:ilvl w:val="0"/>
          <w:numId w:val="1008"/>
        </w:numPr>
      </w:pPr>
      <w:r>
        <w:t xml:space="preserve">Mesure du score FSS 6 fois chez chaque patient : à l’inclusion, à 3 semaines et à 6 semaines de chaque phase de traitement (Modafinil et placebo).</w:t>
      </w:r>
    </w:p>
    <w:p>
      <w:pPr>
        <w:numPr>
          <w:ilvl w:val="1"/>
          <w:numId w:val="1009"/>
        </w:numPr>
      </w:pPr>
      <w:r>
        <w:t xml:space="preserve">n°1 : semaine 0</w:t>
      </w:r>
    </w:p>
    <w:p>
      <w:pPr>
        <w:numPr>
          <w:ilvl w:val="1"/>
          <w:numId w:val="1009"/>
        </w:numPr>
      </w:pPr>
      <w:r>
        <w:t xml:space="preserve">n°2 : semaine 3 : à 3 semaines de Modafinil ou placebo</w:t>
      </w:r>
    </w:p>
    <w:p>
      <w:pPr>
        <w:numPr>
          <w:ilvl w:val="1"/>
          <w:numId w:val="1009"/>
        </w:numPr>
      </w:pPr>
      <w:r>
        <w:t xml:space="preserve">n°3 : semaine 6 : à 6 semaines de Modafinil ou placebo</w:t>
      </w:r>
    </w:p>
    <w:p>
      <w:pPr>
        <w:numPr>
          <w:ilvl w:val="1"/>
          <w:numId w:val="1009"/>
        </w:numPr>
      </w:pPr>
      <w:r>
        <w:t xml:space="preserve">n°4 : semaine 8 : à 2 semaines de washout, avant le cross-over</w:t>
      </w:r>
    </w:p>
    <w:p>
      <w:pPr>
        <w:numPr>
          <w:ilvl w:val="1"/>
          <w:numId w:val="1009"/>
        </w:numPr>
      </w:pPr>
      <w:r>
        <w:t xml:space="preserve">n°5 : semaine 11 : à 3 semaines de cross-over (Modafinil ou placebo)</w:t>
      </w:r>
    </w:p>
    <w:p>
      <w:pPr>
        <w:numPr>
          <w:ilvl w:val="1"/>
          <w:numId w:val="1009"/>
        </w:numPr>
      </w:pPr>
      <w:r>
        <w:t xml:space="preserve">n°6 : semaine 14 : à 6 semaines de cross-over</w:t>
      </w:r>
    </w:p>
    <w:p>
      <w:pPr>
        <w:numPr>
          <w:ilvl w:val="0"/>
          <w:numId w:val="1008"/>
        </w:numPr>
      </w:pPr>
      <w:r>
        <w:t xml:space="preserve">Concernant l’échelle de fatigue utilisée, la FSS est un choix pertinent pour plusieurs raisons :</w:t>
      </w:r>
    </w:p>
    <w:p>
      <w:pPr>
        <w:numPr>
          <w:ilvl w:val="1"/>
          <w:numId w:val="1010"/>
        </w:numPr>
      </w:pPr>
      <w:r>
        <w:t xml:space="preserve">Questionnaire composé de 9 questions, chaque réponse évaluée sur une échelle type Likert de 1 (désacord fort) à 7 (accord fort). Le score total est la moyenne des réponses, un score</w:t>
      </w:r>
      <w:r>
        <w:t xml:space="preserve"> </w:t>
      </w:r>
      <m:oMath>
        <m:r>
          <m:rPr>
            <m:sty m:val="p"/>
          </m:rPr>
          <m:t>≥</m:t>
        </m:r>
        <m:r>
          <m:t>4</m:t>
        </m:r>
      </m:oMath>
      <w:r>
        <w:t xml:space="preserve"> </w:t>
      </w:r>
      <w:r>
        <w:t xml:space="preserve">indique un niveau de fatigue modéré à élevé.</w:t>
      </w:r>
    </w:p>
    <w:p>
      <w:pPr>
        <w:numPr>
          <w:ilvl w:val="1"/>
          <w:numId w:val="1010"/>
        </w:numPr>
      </w:pPr>
      <w:r>
        <w:t xml:space="preserve">C’est l’échelle la plus fréquemment utilisée dans la recherche sur le syndrome post-polio</w:t>
      </w:r>
      <w:r>
        <w:t xml:space="preserve"> </w:t>
      </w:r>
      <w:r>
        <w:t xml:space="preserve">(Fieke S. Koopman et al. 2014)</w:t>
      </w:r>
      <w:r>
        <w:t xml:space="preserve">.</w:t>
      </w:r>
    </w:p>
    <w:p>
      <w:pPr>
        <w:numPr>
          <w:ilvl w:val="1"/>
          <w:numId w:val="1010"/>
        </w:numPr>
      </w:pPr>
      <w:r>
        <w:t xml:space="preserve">Elle est simple, brève et donc pratique pour un essai avec mesures répétées.</w:t>
      </w:r>
    </w:p>
    <w:p>
      <w:pPr>
        <w:numPr>
          <w:ilvl w:val="1"/>
          <w:numId w:val="1010"/>
        </w:numPr>
      </w:pPr>
      <w:r>
        <w:t xml:space="preserve">Bonnes propriétés métrologiques : consistance interne élevée (</w:t>
      </w:r>
      <m:oMath>
        <m:r>
          <m:t>α</m:t>
        </m:r>
      </m:oMath>
      <w:r>
        <w:t xml:space="preserve"> </w:t>
      </w:r>
      <w:r>
        <w:t xml:space="preserve">de Cronbach entre 0.80 et 0.90), fiabilité test-retest acceptable (0.80), plus petit changement détectable de 1,5 point, et mesure d’un construit unidimensionnel latent de sévérité de la fatigue, plutôt que son retentissement, et validité convergente</w:t>
      </w:r>
      <w:r>
        <w:t xml:space="preserve"> </w:t>
      </w:r>
      <w:r>
        <w:t xml:space="preserve">(Fieke S. Koopman et al. 2014; Horemans et al. 2004; Oncu et al. 2013)</w:t>
      </w:r>
      <w:r>
        <w:t xml:space="preserve">.</w:t>
      </w:r>
    </w:p>
    <w:p>
      <w:pPr>
        <w:numPr>
          <w:ilvl w:val="0"/>
          <w:numId w:val="1008"/>
        </w:numPr>
      </w:pPr>
      <w:r>
        <w:t xml:space="preserve">Le critère principal d’efficacité sera le score total de la FSS, mesuré à la fin de chaque période de traitement, soit à 6 semaines sous modafinil et à 6 semaines sous placebo.</w:t>
      </w:r>
    </w:p>
    <w:p>
      <w:pPr>
        <w:numPr>
          <w:ilvl w:val="0"/>
          <w:numId w:val="1008"/>
        </w:numPr>
      </w:pPr>
      <w:r>
        <w:t xml:space="preserve">L’analyse principale sera réalisée selon le principe du plan croisé 2×2. L’effet du modafinil sur le score FSS sera estimé à l’aide d’un modèle linéaire mixte. La différence moyenne de score FSS entre modafinil et placebo sera estimée avec son intervalle de confiance à 95 %. L’effet principal d’intérêt sera la différence moyenne ajustée de score FSS entre modafinil et placebo, estimée avec son intervalle de confiance à 95 % et testée au seuil bilatéral de 5 %.</w:t>
      </w:r>
    </w:p>
    <w:bookmarkStart w:id="27" w:name="hypothèses"/>
    <w:p>
      <w:pPr>
        <w:pStyle w:val="Heading4"/>
      </w:pPr>
      <w:r>
        <w:t xml:space="preserve">Hypothèses</w:t>
      </w:r>
    </w:p>
    <w:p>
      <w:pPr>
        <w:numPr>
          <w:ilvl w:val="0"/>
          <w:numId w:val="1011"/>
        </w:numPr>
      </w:pPr>
      <w:r>
        <w:t xml:space="preserve">Hypothèse nulle (H0) : Il n’y a pas de différence de score FSS entre les périodes de traitement au Modafinil et au placebo.</w:t>
      </w:r>
    </w:p>
    <w:p>
      <w:pPr>
        <w:numPr>
          <w:ilvl w:val="0"/>
          <w:numId w:val="1011"/>
        </w:numPr>
      </w:pPr>
      <w:r>
        <w:t xml:space="preserve">Hypothèse alternative (H1) : Il existe une différence de score FSS entre les périodes de traitement au Modafinil et au placebo.</w:t>
      </w:r>
    </w:p>
    <w:bookmarkEnd w:id="27"/>
    <w:bookmarkEnd w:id="28"/>
    <w:bookmarkStart w:id="29" w:name="objectifs-secondaires"/>
    <w:p>
      <w:pPr>
        <w:pStyle w:val="Heading3"/>
      </w:pPr>
      <w:r>
        <w:t xml:space="preserve">Objectifs secondaires</w:t>
      </w:r>
    </w:p>
    <w:p>
      <w:pPr>
        <w:numPr>
          <w:ilvl w:val="0"/>
          <w:numId w:val="1012"/>
        </w:numPr>
      </w:pPr>
      <w:r>
        <w:t xml:space="preserve">Les objectifs secondaires seront :</w:t>
      </w:r>
    </w:p>
    <w:p>
      <w:pPr>
        <w:numPr>
          <w:ilvl w:val="1"/>
          <w:numId w:val="1013"/>
        </w:numPr>
      </w:pPr>
      <w:r>
        <w:t xml:space="preserve">Évaluer l’effet du traitement sur la fatigue, à l’aide de mesures complémentaires au FSS, telles que la</w:t>
      </w:r>
      <w:r>
        <w:t xml:space="preserve"> </w:t>
      </w:r>
      <w:r>
        <w:rPr>
          <w:i/>
          <w:iCs/>
        </w:rPr>
        <w:t xml:space="preserve">Visual Analog Scale for Fatigue</w:t>
      </w:r>
      <w:r>
        <w:t xml:space="preserve"> </w:t>
      </w:r>
      <w:r>
        <w:t xml:space="preserve">(VAS-F) et la</w:t>
      </w:r>
      <w:r>
        <w:t xml:space="preserve"> </w:t>
      </w:r>
      <w:r>
        <w:rPr>
          <w:i/>
          <w:iCs/>
        </w:rPr>
        <w:t xml:space="preserve">Fatigue Impact Scale</w:t>
      </w:r>
      <w:r>
        <w:t xml:space="preserve"> </w:t>
      </w:r>
      <w:r>
        <w:t xml:space="preserve">(FIS)</w:t>
      </w:r>
      <w:r>
        <w:t xml:space="preserve"> </w:t>
      </w:r>
      <w:r>
        <w:t xml:space="preserve">(Fieke Sophia Koopman et al. 2015; Schanke and Stanghelle 2001; Horemans et al. 2004)</w:t>
      </w:r>
    </w:p>
    <w:p>
      <w:pPr>
        <w:numPr>
          <w:ilvl w:val="1"/>
          <w:numId w:val="1013"/>
        </w:numPr>
      </w:pPr>
      <w:r>
        <w:t xml:space="preserve">évaluer l’effet du traitement sur la qualité de vie liée à la santé à l’aide du Short Form-36 (SF-36)</w:t>
      </w:r>
      <w:r>
        <w:t xml:space="preserve"> </w:t>
      </w:r>
      <w:r>
        <w:t xml:space="preserve">(Ware and Sherbourne 1992)</w:t>
      </w:r>
      <w:r>
        <w:t xml:space="preserve"> </w:t>
      </w:r>
      <w:r>
        <w:t xml:space="preserve">;</w:t>
      </w:r>
    </w:p>
    <w:p>
      <w:pPr>
        <w:numPr>
          <w:ilvl w:val="1"/>
          <w:numId w:val="1013"/>
        </w:numPr>
      </w:pPr>
      <w:r>
        <w:t xml:space="preserve">décrire la tolérance du traitement, notamment par le recueil des événements indésirables, des événements indésirables graves et des arrêts de traitement pour effet indésirable.</w:t>
      </w:r>
    </w:p>
    <w:p>
      <w:pPr>
        <w:numPr>
          <w:ilvl w:val="0"/>
          <w:numId w:val="1012"/>
        </w:numPr>
      </w:pPr>
      <w:r>
        <w:t xml:space="preserve">Au total, ils comprendront :</w:t>
      </w:r>
    </w:p>
    <w:p>
      <w:pPr>
        <w:numPr>
          <w:ilvl w:val="0"/>
          <w:numId w:val="1000"/>
        </w:numPr>
      </w:pPr>
      <w:r>
        <w:t xml:space="preserve">Critères de jugement secondaires</w:t>
      </w:r>
    </w:p>
    <w:p>
      <w:pPr>
        <w:numPr>
          <w:ilvl w:val="1"/>
          <w:numId w:val="1014"/>
        </w:numPr>
      </w:pPr>
      <w:r>
        <w:t xml:space="preserve">le score VASF mesuré à chaque visite d’évaluation ;</w:t>
      </w:r>
    </w:p>
    <w:p>
      <w:pPr>
        <w:numPr>
          <w:ilvl w:val="1"/>
          <w:numId w:val="1014"/>
        </w:numPr>
      </w:pPr>
      <w:r>
        <w:t xml:space="preserve">le score total FIS mesuré à chaque visite d’évaluation ;</w:t>
      </w:r>
    </w:p>
    <w:p>
      <w:pPr>
        <w:numPr>
          <w:ilvl w:val="1"/>
          <w:numId w:val="1014"/>
        </w:numPr>
      </w:pPr>
      <w:r>
        <w:t xml:space="preserve">les scores du SF-36 évaluant la qualité de vie : questionnaire de 36 questions réparties en huit dimensions portant sur l’état de santé perçu par le patient au cours des quatre dernières semaines, avec calcul du Physical Composite Score (PCS) et du Mental Composite Score (MCS) ;</w:t>
      </w:r>
    </w:p>
    <w:p>
      <w:pPr>
        <w:numPr>
          <w:ilvl w:val="1"/>
          <w:numId w:val="1014"/>
        </w:numPr>
      </w:pPr>
      <w:r>
        <w:t xml:space="preserve">la survenue d’au moins un événement indésirable (c’est à dire un événement médical indésirable survenant pendant l’étude, qu’il soit ou non considéré comme lié au traitement) ;</w:t>
      </w:r>
    </w:p>
    <w:p>
      <w:pPr>
        <w:numPr>
          <w:ilvl w:val="1"/>
          <w:numId w:val="1014"/>
        </w:numPr>
      </w:pPr>
      <w:r>
        <w:t xml:space="preserve">la survenue d’au moins un événement indésirable grave (c’est à dire un événement médical indésirable entraînant la mort, mettant en jeu le pronostic vital, nécessitant une hospitalisation ou une prolongation d’hospitalisation, entraînant une invalidité ou une incapacité significative, ou constituant une anomalie congénitale) ;</w:t>
      </w:r>
    </w:p>
    <w:p>
      <w:pPr>
        <w:numPr>
          <w:ilvl w:val="1"/>
          <w:numId w:val="1014"/>
        </w:numPr>
      </w:pPr>
      <w:r>
        <w:t xml:space="preserve">l’arrêt du traitement pour cause d’effet indésirable.</w:t>
      </w:r>
    </w:p>
    <w:p>
      <w:pPr>
        <w:numPr>
          <w:ilvl w:val="0"/>
          <w:numId w:val="1012"/>
        </w:numPr>
      </w:pPr>
      <w:r>
        <w:t xml:space="preserve">Les hypothèses associées à ces objectifs secondaires seront formulées de manière similaire à celles de l’objectif principal, en testant l’effet du Modafinil par rapport au placebo sur chaque critère de jugement secondaire.</w:t>
      </w:r>
    </w:p>
    <w:bookmarkEnd w:id="29"/>
    <w:bookmarkEnd w:id="30"/>
    <w:bookmarkStart w:id="31" w:name="recueil-des-données"/>
    <w:p>
      <w:pPr>
        <w:pStyle w:val="Heading2"/>
      </w:pPr>
      <w:r>
        <w:t xml:space="preserve">Recueil des données</w:t>
      </w:r>
    </w:p>
    <w:p>
      <w:pPr>
        <w:numPr>
          <w:ilvl w:val="0"/>
          <w:numId w:val="1015"/>
        </w:numPr>
      </w:pPr>
      <w:r>
        <w:t xml:space="preserve">Constitution d’une base de données centralisée et sécurisée, avec des champs pré-définis pour chaque variable d’intérêt, permettant une saisie standardisée et facilitant l’analyse statistique.</w:t>
      </w:r>
    </w:p>
    <w:p>
      <w:pPr>
        <w:numPr>
          <w:ilvl w:val="0"/>
          <w:numId w:val="1015"/>
        </w:numPr>
      </w:pPr>
      <w:r>
        <w:t xml:space="preserve">À chaque visite :</w:t>
      </w:r>
    </w:p>
    <w:p>
      <w:pPr>
        <w:numPr>
          <w:ilvl w:val="1"/>
          <w:numId w:val="1016"/>
        </w:numPr>
      </w:pPr>
      <w:r>
        <w:t xml:space="preserve">Scores cliniques : FIS, FSS, SF36, VAS-F</w:t>
      </w:r>
    </w:p>
    <w:p>
      <w:pPr>
        <w:numPr>
          <w:ilvl w:val="1"/>
          <w:numId w:val="1016"/>
        </w:numPr>
      </w:pPr>
      <w:r>
        <w:t xml:space="preserve">Données démographiques et cliniques : âge, sexe, centre d’inclusion, taille, poids, médicaments actuels et antérieurs</w:t>
      </w:r>
    </w:p>
    <w:p>
      <w:pPr>
        <w:numPr>
          <w:ilvl w:val="1"/>
          <w:numId w:val="1016"/>
        </w:numPr>
      </w:pPr>
      <w:r>
        <w:t xml:space="preserve">Résultats biologiques et cliniques : analyses sanguines et urinaires, électrocardiogramme, électromyogramme, polysomnographie, etc.</w:t>
      </w:r>
    </w:p>
    <w:p>
      <w:r>
        <w:br w:type="page"/>
      </w:r>
    </w:p>
    <w:bookmarkEnd w:id="31"/>
    <w:bookmarkEnd w:id="32"/>
    <w:bookmarkStart w:id="36" w:name="intervention"/>
    <w:p>
      <w:pPr>
        <w:pStyle w:val="Heading1"/>
      </w:pPr>
      <w:r>
        <w:t xml:space="preserve">Intervention</w:t>
      </w:r>
    </w:p>
    <w:bookmarkStart w:id="33" w:name="randomisation"/>
    <w:p>
      <w:pPr>
        <w:pStyle w:val="Heading2"/>
      </w:pPr>
      <w:r>
        <w:t xml:space="preserve">Randomisation</w:t>
      </w:r>
    </w:p>
    <w:p>
      <w:pPr>
        <w:numPr>
          <w:ilvl w:val="0"/>
          <w:numId w:val="1017"/>
        </w:numPr>
      </w:pPr>
      <w:r>
        <w:t xml:space="preserve">Les patients éligibles seront randomisés selon un schéma en cross-over 2×2 en deux séquences de traitement :</w:t>
      </w:r>
    </w:p>
    <w:p>
      <w:pPr>
        <w:numPr>
          <w:ilvl w:val="1"/>
          <w:numId w:val="1018"/>
        </w:numPr>
      </w:pPr>
      <w:r>
        <w:t xml:space="preserve">soit modafinil puis placebo</w:t>
      </w:r>
    </w:p>
    <w:p>
      <w:pPr>
        <w:numPr>
          <w:ilvl w:val="1"/>
          <w:numId w:val="1018"/>
        </w:numPr>
      </w:pPr>
      <w:r>
        <w:t xml:space="preserve">soit placebo puis modafinil</w:t>
      </w:r>
    </w:p>
    <w:p>
      <w:pPr>
        <w:numPr>
          <w:ilvl w:val="0"/>
          <w:numId w:val="1017"/>
        </w:numPr>
      </w:pPr>
      <w:r>
        <w:t xml:space="preserve">La randomisation sera réalisée de manière centralisée et informatisée, selon une procédure en blocs de taille variable non divulguée, afin d’assurer un équilibre entre les séquences tout en préservant l’aveugle.</w:t>
      </w:r>
    </w:p>
    <w:p>
      <w:pPr>
        <w:numPr>
          <w:ilvl w:val="0"/>
          <w:numId w:val="1017"/>
        </w:numPr>
      </w:pPr>
      <w:r>
        <w:t xml:space="preserve">Le choix de ne pas stratifier la randomisation est justifié par le fait que les patients serviront de leur propre contrôle dans le design en cross-over. De plus, l’augmentation des strates peut compliquer la randomisation car augmente le nombre de listes de randomisation à gérer, ce qui peut poser des problèmes logistiques et de suivi, surtout dans une étude avec un nombre de patients limité.</w:t>
      </w:r>
    </w:p>
    <w:bookmarkEnd w:id="33"/>
    <w:bookmarkStart w:id="34" w:name="aveugle"/>
    <w:p>
      <w:pPr>
        <w:pStyle w:val="Heading2"/>
      </w:pPr>
      <w:r>
        <w:t xml:space="preserve">Aveugle</w:t>
      </w:r>
    </w:p>
    <w:p>
      <w:pPr>
        <w:numPr>
          <w:ilvl w:val="0"/>
          <w:numId w:val="1019"/>
        </w:numPr>
      </w:pPr>
      <w:r>
        <w:t xml:space="preserve">L’étude sera conduite en double aveugle : ni les patients, ni les investigateurs ne connaîtront le traitement administré à chaque période.</w:t>
      </w:r>
    </w:p>
    <w:p>
      <w:pPr>
        <w:numPr>
          <w:ilvl w:val="0"/>
          <w:numId w:val="1019"/>
        </w:numPr>
      </w:pPr>
      <w:r>
        <w:t xml:space="preserve">Le modafinil et le placebo seront conditionnés sous forme de capsules strictement identiques en termes d’apparence, de goût et de conditionnement, afin d’assurer le maintien de l’aveugle.</w:t>
      </w:r>
    </w:p>
    <w:p>
      <w:pPr>
        <w:numPr>
          <w:ilvl w:val="0"/>
          <w:numId w:val="1019"/>
        </w:numPr>
      </w:pPr>
      <w:r>
        <w:t xml:space="preserve">La gestion de l’assignation des traitements et de la liste de randomisation sera assurée par la pharmacie de recherche, qui conservera les codes de traitement de manière sécurisée.</w:t>
      </w:r>
    </w:p>
    <w:p>
      <w:pPr>
        <w:numPr>
          <w:ilvl w:val="0"/>
          <w:numId w:val="1019"/>
        </w:numPr>
      </w:pPr>
      <w:r>
        <w:t xml:space="preserve">Les procédures de levée d’aveugle seront définies a priori et ne pourront être mises en œuvre qu’en cas de nécessité médicale, avec traçabilité de toute levée d’aveugle.</w:t>
      </w:r>
    </w:p>
    <w:bookmarkEnd w:id="34"/>
    <w:bookmarkStart w:id="35" w:name="déroulement"/>
    <w:p>
      <w:pPr>
        <w:pStyle w:val="Heading2"/>
      </w:pPr>
      <w:r>
        <w:t xml:space="preserve">Déroulement</w:t>
      </w:r>
    </w:p>
    <w:p>
      <w:r>
        <w:br w:type="page"/>
      </w:r>
    </w:p>
    <w:bookmarkEnd w:id="35"/>
    <w:bookmarkEnd w:id="36"/>
    <w:bookmarkStart w:id="54" w:name="bibliographie"/>
    <w:p>
      <w:pPr>
        <w:pStyle w:val="Heading1"/>
      </w:pPr>
      <w:r>
        <w:t xml:space="preserve">Bibliographie</w:t>
      </w:r>
    </w:p>
    <w:bookmarkStart w:id="53" w:name="refs"/>
    <w:bookmarkStart w:id="38" w:name="ref-fiskMeasuringFunctionalImpact1994"/>
    <w:p>
      <w:pPr>
        <w:pStyle w:val="Bibliography"/>
      </w:pPr>
      <w:r>
        <w:t xml:space="preserve">Fisk, J. D., P. G. Ritvo, L. Ross, D. A. Haase, T. J. Marrie, and W. F. Schlech. 1994.</w:t>
      </w:r>
      <w:r>
        <w:t xml:space="preserve"> </w:t>
      </w:r>
      <w:r>
        <w:t xml:space="preserve">“Measuring the Functional Impact of Fatigue: Initial Validation of the Fatigue Impact Scale.”</w:t>
      </w:r>
      <w:r>
        <w:t xml:space="preserve"> </w:t>
      </w:r>
      <w:r>
        <w:rPr>
          <w:i/>
          <w:iCs/>
        </w:rPr>
        <w:t xml:space="preserve">Clinical Infectious Diseases: An Official Publication of the Infectious Diseases Society of America</w:t>
      </w:r>
      <w:r>
        <w:t xml:space="preserve"> </w:t>
      </w:r>
      <w:r>
        <w:t xml:space="preserve">18 Suppl 1 (January): S79–83.</w:t>
      </w:r>
      <w:r>
        <w:t xml:space="preserve"> </w:t>
      </w:r>
      <w:hyperlink r:id="rId37">
        <w:r>
          <w:rPr>
            <w:rStyle w:val="Hyperlink"/>
          </w:rPr>
          <w:t xml:space="preserve">https://doi.org/10.1093/clinids/18.supplement_1.s79</w:t>
        </w:r>
      </w:hyperlink>
      <w:r>
        <w:t xml:space="preserve">.</w:t>
      </w:r>
    </w:p>
    <w:bookmarkEnd w:id="38"/>
    <w:bookmarkStart w:id="40" w:name="X9f570501ffa215892e4ccbd0d555d993ea2c61c"/>
    <w:p>
      <w:pPr>
        <w:pStyle w:val="Bibliography"/>
      </w:pPr>
      <w:r>
        <w:t xml:space="preserve">Gonzalez, Henrik, Tomas Olsson, and Kristian Borg. 2010.</w:t>
      </w:r>
      <w:r>
        <w:t xml:space="preserve"> </w:t>
      </w:r>
      <w:r>
        <w:t xml:space="preserve">“Management of Postpolio Syndrome.”</w:t>
      </w:r>
      <w:r>
        <w:t xml:space="preserve"> </w:t>
      </w:r>
      <w:r>
        <w:rPr>
          <w:i/>
          <w:iCs/>
        </w:rPr>
        <w:t xml:space="preserve">The Lancet. Neurology</w:t>
      </w:r>
      <w:r>
        <w:t xml:space="preserve"> </w:t>
      </w:r>
      <w:r>
        <w:t xml:space="preserve">9 (6): 634–42.</w:t>
      </w:r>
      <w:r>
        <w:t xml:space="preserve"> </w:t>
      </w:r>
      <w:hyperlink r:id="rId39">
        <w:r>
          <w:rPr>
            <w:rStyle w:val="Hyperlink"/>
          </w:rPr>
          <w:t xml:space="preserve">https://doi.org/10.1016/S1474-4422(10)70095-8</w:t>
        </w:r>
      </w:hyperlink>
      <w:r>
        <w:t xml:space="preserve">.</w:t>
      </w:r>
    </w:p>
    <w:bookmarkEnd w:id="40"/>
    <w:bookmarkStart w:id="42" w:name="X872b7685e4f8c7a0fd260a5f9929664abe269b4"/>
    <w:p>
      <w:pPr>
        <w:pStyle w:val="Bibliography"/>
      </w:pPr>
      <w:r>
        <w:t xml:space="preserve">Horemans, Herwin L, Frans Nollet, Anita Beelen, and Gustaaf J Lankhorst. 2004.</w:t>
      </w:r>
      <w:r>
        <w:t xml:space="preserve"> </w:t>
      </w:r>
      <w:r>
        <w:t xml:space="preserve">“A Comparison of 4 Questionnaires to Measure Fatigue in Postpoliomyelitis Syndrome 1.”</w:t>
      </w:r>
      <w:r>
        <w:t xml:space="preserve"> </w:t>
      </w:r>
      <w:r>
        <w:rPr>
          <w:i/>
          <w:iCs/>
        </w:rPr>
        <w:t xml:space="preserve">Archives of Physical Medicine and Rehabilitation</w:t>
      </w:r>
      <w:r>
        <w:t xml:space="preserve"> </w:t>
      </w:r>
      <w:r>
        <w:t xml:space="preserve">85 (3): 392–98.</w:t>
      </w:r>
      <w:r>
        <w:t xml:space="preserve"> </w:t>
      </w:r>
      <w:hyperlink r:id="rId41">
        <w:r>
          <w:rPr>
            <w:rStyle w:val="Hyperlink"/>
          </w:rPr>
          <w:t xml:space="preserve">https://doi.org/10.1016/j.apmr.2003.06.007</w:t>
        </w:r>
      </w:hyperlink>
      <w:r>
        <w:t xml:space="preserve">.</w:t>
      </w:r>
    </w:p>
    <w:bookmarkEnd w:id="42"/>
    <w:bookmarkStart w:id="44" w:name="ref-koopmanMeasuringFatiguePolio2014"/>
    <w:p>
      <w:pPr>
        <w:pStyle w:val="Bibliography"/>
      </w:pPr>
      <w:r>
        <w:t xml:space="preserve">Koopman, Fieke S., Merel A. Brehm, Yvonne F. Heerkens, Frans Nollet, and Anita Beelen. 2014.</w:t>
      </w:r>
      <w:r>
        <w:t xml:space="preserve"> </w:t>
      </w:r>
      <w:r>
        <w:t xml:space="preserve">“Measuring Fatigue in Polio Survivors: Content Comparison and Reliability of the</w:t>
      </w:r>
      <w:r>
        <w:t xml:space="preserve"> </w:t>
      </w:r>
      <w:r>
        <w:t xml:space="preserve">Fatigue Severity Scale</w:t>
      </w:r>
      <w:r>
        <w:t xml:space="preserve"> </w:t>
      </w:r>
      <w:r>
        <w:t xml:space="preserve">and the</w:t>
      </w:r>
      <w:r>
        <w:t xml:space="preserve"> </w:t>
      </w:r>
      <w:r>
        <w:t xml:space="preserve">Checklist Individual Strength</w:t>
      </w:r>
      <w:r>
        <w:t xml:space="preserve">.”</w:t>
      </w:r>
      <w:r>
        <w:t xml:space="preserve"> </w:t>
      </w:r>
      <w:r>
        <w:rPr>
          <w:i/>
          <w:iCs/>
        </w:rPr>
        <w:t xml:space="preserve">Journal of Rehabilitation Medicine</w:t>
      </w:r>
      <w:r>
        <w:t xml:space="preserve"> </w:t>
      </w:r>
      <w:r>
        <w:t xml:space="preserve">46 (8): 761–67.</w:t>
      </w:r>
      <w:r>
        <w:t xml:space="preserve"> </w:t>
      </w:r>
      <w:hyperlink r:id="rId43">
        <w:r>
          <w:rPr>
            <w:rStyle w:val="Hyperlink"/>
          </w:rPr>
          <w:t xml:space="preserve">https://doi.org/10.2340/16501977-1838</w:t>
        </w:r>
      </w:hyperlink>
      <w:r>
        <w:t xml:space="preserve">.</w:t>
      </w:r>
    </w:p>
    <w:bookmarkEnd w:id="44"/>
    <w:bookmarkStart w:id="46" w:name="Xbc8b3f5cd641d371d6bf98cdf32ad5162a6acdd"/>
    <w:p>
      <w:pPr>
        <w:pStyle w:val="Bibliography"/>
      </w:pPr>
      <w:r>
        <w:t xml:space="preserve">Koopman, Fieke Sophia, Anita Beelen, Nils Erik Gilhus, Marianne de Visser, and Frans Nollet. 2015.</w:t>
      </w:r>
      <w:r>
        <w:t xml:space="preserve"> </w:t>
      </w:r>
      <w:r>
        <w:t xml:space="preserve">“Treatment for Postpolio Syndrome.”</w:t>
      </w:r>
      <w:r>
        <w:t xml:space="preserve"> </w:t>
      </w:r>
      <w:r>
        <w:rPr>
          <w:i/>
          <w:iCs/>
        </w:rPr>
        <w:t xml:space="preserve">The Cochrane Database of Systematic Reviews</w:t>
      </w:r>
      <w:r>
        <w:t xml:space="preserve"> </w:t>
      </w:r>
      <w:r>
        <w:t xml:space="preserve">2015 (5): CD007818.</w:t>
      </w:r>
      <w:r>
        <w:t xml:space="preserve"> </w:t>
      </w:r>
      <w:hyperlink r:id="rId45">
        <w:r>
          <w:rPr>
            <w:rStyle w:val="Hyperlink"/>
          </w:rPr>
          <w:t xml:space="preserve">https://doi.org/10.1002/14651858.CD007818.pub3</w:t>
        </w:r>
      </w:hyperlink>
      <w:r>
        <w:t xml:space="preserve">.</w:t>
      </w:r>
    </w:p>
    <w:bookmarkEnd w:id="46"/>
    <w:bookmarkStart w:id="48" w:name="Xfcb4c5dfcdfab512cee349334402ab8036be9d0"/>
    <w:p>
      <w:pPr>
        <w:pStyle w:val="Bibliography"/>
      </w:pPr>
      <w:r>
        <w:t xml:space="preserve">Oncu, Julide, Funda Atamaz, Berrin Durmaz, and Arzu On. 2013.</w:t>
      </w:r>
      <w:r>
        <w:t xml:space="preserve"> </w:t>
      </w:r>
      <w:r>
        <w:t xml:space="preserve">“Psychometric Properties of Fatigue Severity and Fatigue Impact Scales in Postpolio Patients.”</w:t>
      </w:r>
      <w:r>
        <w:t xml:space="preserve"> </w:t>
      </w:r>
      <w:r>
        <w:rPr>
          <w:i/>
          <w:iCs/>
        </w:rPr>
        <w:t xml:space="preserve">International Journal of Rehabilitation Research. Internationale Zeitschrift Fur Rehabilitationsforschung. Revue Internationale De Recherches De Readaptation</w:t>
      </w:r>
      <w:r>
        <w:t xml:space="preserve"> </w:t>
      </w:r>
      <w:r>
        <w:t xml:space="preserve">36 (4): 339–45.</w:t>
      </w:r>
      <w:r>
        <w:t xml:space="preserve"> </w:t>
      </w:r>
      <w:hyperlink r:id="rId47">
        <w:r>
          <w:rPr>
            <w:rStyle w:val="Hyperlink"/>
          </w:rPr>
          <w:t xml:space="preserve">https://doi.org/10.1097/MRR.0b013e3283646b56</w:t>
        </w:r>
      </w:hyperlink>
      <w:r>
        <w:t xml:space="preserve">.</w:t>
      </w:r>
    </w:p>
    <w:bookmarkEnd w:id="48"/>
    <w:bookmarkStart w:id="50" w:name="ref-schankeFatiguePolioSurvivors2001"/>
    <w:p>
      <w:pPr>
        <w:pStyle w:val="Bibliography"/>
      </w:pPr>
      <w:r>
        <w:t xml:space="preserve">Schanke, A. K., and J. K. Stanghelle. 2001.</w:t>
      </w:r>
      <w:r>
        <w:t xml:space="preserve"> </w:t>
      </w:r>
      <w:r>
        <w:t xml:space="preserve">“Fatigue in Polio Survivors.”</w:t>
      </w:r>
      <w:r>
        <w:t xml:space="preserve"> </w:t>
      </w:r>
      <w:r>
        <w:rPr>
          <w:i/>
          <w:iCs/>
        </w:rPr>
        <w:t xml:space="preserve">Spinal Cord</w:t>
      </w:r>
      <w:r>
        <w:t xml:space="preserve"> </w:t>
      </w:r>
      <w:r>
        <w:t xml:space="preserve">39 (5): 243–51.</w:t>
      </w:r>
      <w:r>
        <w:t xml:space="preserve"> </w:t>
      </w:r>
      <w:hyperlink r:id="rId49">
        <w:r>
          <w:rPr>
            <w:rStyle w:val="Hyperlink"/>
          </w:rPr>
          <w:t xml:space="preserve">https://doi.org/10.1038/sj.sc.3101147</w:t>
        </w:r>
      </w:hyperlink>
      <w:r>
        <w:t xml:space="preserve">.</w:t>
      </w:r>
    </w:p>
    <w:bookmarkEnd w:id="50"/>
    <w:bookmarkStart w:id="52" w:name="ref-wareMOS36itemShortform1992"/>
    <w:p>
      <w:pPr>
        <w:pStyle w:val="Bibliography"/>
      </w:pPr>
      <w:r>
        <w:t xml:space="preserve">Ware, J. E., and C. D. Sherbourne. 1992.</w:t>
      </w:r>
      <w:r>
        <w:t xml:space="preserve"> </w:t>
      </w:r>
      <w:r>
        <w:t xml:space="preserve">“</w:t>
      </w:r>
      <w:hyperlink r:id="rId51">
        <w:r>
          <w:rPr>
            <w:rStyle w:val="Hyperlink"/>
          </w:rPr>
          <w:t xml:space="preserve">The</w:t>
        </w:r>
        <w:r>
          <w:rPr>
            <w:rStyle w:val="Hyperlink"/>
          </w:rPr>
          <w:t xml:space="preserve"> </w:t>
        </w:r>
        <w:r>
          <w:rPr>
            <w:rStyle w:val="Hyperlink"/>
          </w:rPr>
          <w:t xml:space="preserve">MOS</w:t>
        </w:r>
        <w:r>
          <w:rPr>
            <w:rStyle w:val="Hyperlink"/>
          </w:rPr>
          <w:t xml:space="preserve"> </w:t>
        </w:r>
        <w:r>
          <w:rPr>
            <w:rStyle w:val="Hyperlink"/>
          </w:rPr>
          <w:t xml:space="preserve">36-Item Short-Form Health Survey (</w:t>
        </w:r>
        <w:r>
          <w:rPr>
            <w:rStyle w:val="Hyperlink"/>
          </w:rPr>
          <w:t xml:space="preserve">SF-36</w:t>
        </w:r>
        <w:r>
          <w:rPr>
            <w:rStyle w:val="Hyperlink"/>
          </w:rPr>
          <w:t xml:space="preserve">).</w:t>
        </w:r>
        <w:r>
          <w:rPr>
            <w:rStyle w:val="Hyperlink"/>
          </w:rPr>
          <w:t xml:space="preserve"> </w:t>
        </w:r>
        <w:r>
          <w:rPr>
            <w:rStyle w:val="Hyperlink"/>
          </w:rPr>
          <w:t xml:space="preserve">I</w:t>
        </w:r>
        <w:r>
          <w:rPr>
            <w:rStyle w:val="Hyperlink"/>
          </w:rPr>
          <w:t xml:space="preserve">.</w:t>
        </w:r>
        <w:r>
          <w:rPr>
            <w:rStyle w:val="Hyperlink"/>
          </w:rPr>
          <w:t xml:space="preserve"> </w:t>
        </w:r>
        <w:r>
          <w:rPr>
            <w:rStyle w:val="Hyperlink"/>
          </w:rPr>
          <w:t xml:space="preserve">Conceptual</w:t>
        </w:r>
        <w:r>
          <w:rPr>
            <w:rStyle w:val="Hyperlink"/>
          </w:rPr>
          <w:t xml:space="preserve"> </w:t>
        </w:r>
        <w:r>
          <w:rPr>
            <w:rStyle w:val="Hyperlink"/>
          </w:rPr>
          <w:t xml:space="preserve">Framework and Item Selection</w:t>
        </w:r>
      </w:hyperlink>
      <w:r>
        <w:t xml:space="preserve">.”</w:t>
      </w:r>
      <w:r>
        <w:t xml:space="preserve"> </w:t>
      </w:r>
      <w:r>
        <w:rPr>
          <w:i/>
          <w:iCs/>
        </w:rPr>
        <w:t xml:space="preserve">Medical Care</w:t>
      </w:r>
      <w:r>
        <w:t xml:space="preserve"> </w:t>
      </w:r>
      <w:r>
        <w:t xml:space="preserve">30 (6): 473–83.</w:t>
      </w:r>
    </w:p>
    <w:bookmarkEnd w:id="52"/>
    <w:bookmarkEnd w:id="53"/>
    <w:p>
      <w:r>
        <w:br w:type="page"/>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doi.org/10.1002/14651858.CD007818.pub3" TargetMode="External" /><Relationship Type="http://schemas.openxmlformats.org/officeDocument/2006/relationships/hyperlink" Id="rId39" Target="https://doi.org/10.1016/S1474-4422(10)70095-8" TargetMode="External" /><Relationship Type="http://schemas.openxmlformats.org/officeDocument/2006/relationships/hyperlink" Id="rId41" Target="https://doi.org/10.1016/j.apmr.2003.06.007" TargetMode="External" /><Relationship Type="http://schemas.openxmlformats.org/officeDocument/2006/relationships/hyperlink" Id="rId49" Target="https://doi.org/10.1038/sj.sc.3101147" TargetMode="External" /><Relationship Type="http://schemas.openxmlformats.org/officeDocument/2006/relationships/hyperlink" Id="rId37" Target="https://doi.org/10.1093/clinids/18.supplement_1.s79" TargetMode="External" /><Relationship Type="http://schemas.openxmlformats.org/officeDocument/2006/relationships/hyperlink" Id="rId47" Target="https://doi.org/10.1097/MRR.0b013e3283646b56" TargetMode="External" /><Relationship Type="http://schemas.openxmlformats.org/officeDocument/2006/relationships/hyperlink" Id="rId43" Target="https://doi.org/10.2340/16501977-1838" TargetMode="External" /><Relationship Type="http://schemas.openxmlformats.org/officeDocument/2006/relationships/hyperlink" Id="rId51" Target="https://www.ncbi.nlm.nih.gov/pubmed/1593914"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002/14651858.CD007818.pub3" TargetMode="External" /><Relationship Type="http://schemas.openxmlformats.org/officeDocument/2006/relationships/hyperlink" Id="rId39" Target="https://doi.org/10.1016/S1474-4422(10)70095-8" TargetMode="External" /><Relationship Type="http://schemas.openxmlformats.org/officeDocument/2006/relationships/hyperlink" Id="rId41" Target="https://doi.org/10.1016/j.apmr.2003.06.007" TargetMode="External" /><Relationship Type="http://schemas.openxmlformats.org/officeDocument/2006/relationships/hyperlink" Id="rId49" Target="https://doi.org/10.1038/sj.sc.3101147" TargetMode="External" /><Relationship Type="http://schemas.openxmlformats.org/officeDocument/2006/relationships/hyperlink" Id="rId37" Target="https://doi.org/10.1093/clinids/18.supplement_1.s79" TargetMode="External" /><Relationship Type="http://schemas.openxmlformats.org/officeDocument/2006/relationships/hyperlink" Id="rId47" Target="https://doi.org/10.1097/MRR.0b013e3283646b56" TargetMode="External" /><Relationship Type="http://schemas.openxmlformats.org/officeDocument/2006/relationships/hyperlink" Id="rId43" Target="https://doi.org/10.2340/16501977-1838" TargetMode="External" /><Relationship Type="http://schemas.openxmlformats.org/officeDocument/2006/relationships/hyperlink" Id="rId51" Target="https://www.ncbi.nlm.nih.gov/pubmed/15939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Devoir RC</dc:title>
  <dc:creator>Thomas Husson, Groupe 52</dc:creator>
  <cp:keywords/>
  <dcterms:created xsi:type="dcterms:W3CDTF">2026-03-23T10:24:02Z</dcterms:created>
  <dcterms:modified xsi:type="dcterms:W3CDTF">2026-03-23T10:24:02Z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/Users/thomashusson/Documents/Projets/M2biostatistiques/Biblio/biblio-zotero-RC.bib</vt:lpwstr>
  </property>
  <property fmtid="{D5CDD505-2E9C-101B-9397-08002B2CF9AE}" pid="5" name="by-author">
    <vt:lpwstr/>
  </property>
  <property fmtid="{D5CDD505-2E9C-101B-9397-08002B2CF9AE}" pid="6" name="geometry">
    <vt:lpwstr>margin=2.5cm</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refer-pdf">
    <vt:lpwstr>True</vt:lpwstr>
  </property>
  <property fmtid="{D5CDD505-2E9C-101B-9397-08002B2CF9AE}" pid="12" name="toc-title">
    <vt:lpwstr>Table of contents</vt:lpwstr>
  </property>
</Properties>
</file>