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5.png" ContentType="image/png"/>
  <Override PartName="/word/media/rId37.png" ContentType="image/png"/>
  <Override PartName="/word/media/rId117.png" ContentType="image/png"/>
  <Override PartName="/word/media/rId121.png" ContentType="image/png"/>
  <Override PartName="/word/media/rId88.png" ContentType="image/png"/>
  <Override PartName="/word/media/rId126.png" ContentType="image/png"/>
  <Override PartName="/word/media/rId77.png" ContentType="image/png"/>
  <Override PartName="/word/media/rId83.png" ContentType="image/png"/>
  <Override PartName="/word/media/rId80.png" ContentType="image/png"/>
  <Override PartName="/word/media/rId53.png" ContentType="image/png"/>
  <Override PartName="/word/media/rId138.png" ContentType="image/png"/>
  <Override PartName="/word/media/rId41.png" ContentType="image/png"/>
  <Override PartName="/word/media/rId57.png" ContentType="image/png"/>
  <Override PartName="/word/media/rId113.png" ContentType="image/png"/>
  <Override PartName="/word/media/rId110.png" ContentType="image/png"/>
  <Override PartName="/word/media/rId133.png" ContentType="image/png"/>
  <Override PartName="/word/media/rId94.png" ContentType="image/png"/>
  <Override PartName="/word/media/rId98.png" ContentType="image/png"/>
  <Override PartName="/word/media/rId104.png" ContentType="image/png"/>
  <Override PartName="/word/media/rId101.png" ContentType="image/png"/>
  <Override PartName="/word/media/rId3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Stats Thèse Brieuc</w:t>
      </w:r>
    </w:p>
    <w:p>
      <w:pPr>
        <w:pStyle w:val="Author"/>
      </w:pPr>
      <w:r>
        <w:t xml:space="preserve">Thomas Husson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p>
      <w:r>
        <w:br w:type="page"/>
      </w:r>
    </w:p>
    <w:bookmarkStart w:id="20" w:name="introduction"/>
    <w:p>
      <w:pPr>
        <w:pStyle w:val="Heading1"/>
      </w:pPr>
      <w:r>
        <w:t xml:space="preserve">Introduction</w:t>
      </w:r>
    </w:p>
    <w:p>
      <w:pPr>
        <w:numPr>
          <w:ilvl w:val="0"/>
          <w:numId w:val="1001"/>
        </w:numPr>
      </w:pPr>
      <w:r>
        <w:t xml:space="preserve">4 tests ULNT (Upper Limb Neurodynamic Tests) : ULNT1, ULNT2a, ULNT2b, ULNT3</w:t>
      </w:r>
    </w:p>
    <w:p>
      <w:pPr>
        <w:numPr>
          <w:ilvl w:val="0"/>
          <w:numId w:val="1001"/>
        </w:numPr>
      </w:pPr>
      <w:r>
        <w:t xml:space="preserve">Évaluation de la performance diagnostique de ces tests pour le diagnostic des névralgies cervicobrachiales (NCB) en consultation de chirurgie orthopédique, par rapport au gold standard final issu de la colonne</w:t>
      </w:r>
      <w:r>
        <w:t xml:space="preserve"> </w:t>
      </w:r>
      <w:r>
        <w:rPr>
          <w:rStyle w:val="VerbatimChar"/>
        </w:rPr>
        <w:t xml:space="preserve">Gold_Standard</w:t>
      </w:r>
      <w:r>
        <w:t xml:space="preserve">, corrigée par un senior.</w:t>
      </w:r>
    </w:p>
    <w:bookmarkEnd w:id="20"/>
    <w:bookmarkStart w:id="21" w:name="Xc75db071d0d28e02d23527c328cff7650d6bf9e"/>
    <w:p>
      <w:pPr>
        <w:pStyle w:val="Heading1"/>
      </w:pPr>
      <w:r>
        <w:t xml:space="preserve">Conformité au protocole de la méthodologiste</w:t>
      </w:r>
    </w:p>
    <w:p>
      <w:pPr>
        <w:pStyle w:val="FirstParagraph"/>
      </w:pPr>
      <w:r>
        <w:t xml:space="preserve">Les points du protocole couverts sont :</w:t>
      </w:r>
    </w:p>
    <w:p>
      <w:pPr>
        <w:numPr>
          <w:ilvl w:val="0"/>
          <w:numId w:val="1002"/>
        </w:numPr>
      </w:pPr>
      <w:r>
        <w:t xml:space="preserve">la description de la population ;</w:t>
      </w:r>
    </w:p>
    <w:p>
      <w:pPr>
        <w:numPr>
          <w:ilvl w:val="0"/>
          <w:numId w:val="1002"/>
        </w:numPr>
      </w:pPr>
      <w:r>
        <w:t xml:space="preserve">les performances diagnostiques des tests individuels avec IC95 ;</w:t>
      </w:r>
    </w:p>
    <w:p>
      <w:pPr>
        <w:numPr>
          <w:ilvl w:val="0"/>
          <w:numId w:val="1002"/>
        </w:numPr>
      </w:pPr>
      <w:r>
        <w:t xml:space="preserve">les comparaisons directes entre ULNT sur donnees appariees ;</w:t>
      </w:r>
    </w:p>
    <w:p>
      <w:pPr>
        <w:numPr>
          <w:ilvl w:val="0"/>
          <w:numId w:val="1002"/>
        </w:numPr>
      </w:pPr>
      <w:r>
        <w:t xml:space="preserve">la reproductibilite inter-evaluateurs ;</w:t>
      </w:r>
    </w:p>
    <w:p>
      <w:pPr>
        <w:numPr>
          <w:ilvl w:val="0"/>
          <w:numId w:val="1002"/>
        </w:numPr>
      </w:pPr>
      <w:r>
        <w:t xml:space="preserve">l’exploration des combinaisons de tests ;</w:t>
      </w:r>
    </w:p>
    <w:p>
      <w:pPr>
        <w:numPr>
          <w:ilvl w:val="0"/>
          <w:numId w:val="1002"/>
        </w:numPr>
      </w:pPr>
      <w:r>
        <w:t xml:space="preserve">la lecture exploratoire selon le niveau metamerique, y compris</w:t>
      </w:r>
      <w:r>
        <w:t xml:space="preserve"> </w:t>
      </w:r>
      <w:r>
        <w:rPr>
          <w:b/>
          <w:bCs/>
        </w:rPr>
        <w:t xml:space="preserve">test par test</w:t>
      </w:r>
      <w:r>
        <w:t xml:space="preserve">.</w:t>
      </w:r>
    </w:p>
    <w:p>
      <w:pPr>
        <w:pStyle w:val="FirstParagraph"/>
      </w:pPr>
      <w:r>
        <w:t xml:space="preserve">2 divergences :</w:t>
      </w:r>
    </w:p>
    <w:p>
      <w:pPr>
        <w:numPr>
          <w:ilvl w:val="0"/>
          <w:numId w:val="1003"/>
        </w:numPr>
      </w:pPr>
      <w:r>
        <w:t xml:space="preserve">restriction aux 4 ULNT (pas de Scratch Collapse Test)</w:t>
      </w:r>
    </w:p>
    <w:p>
      <w:pPr>
        <w:numPr>
          <w:ilvl w:val="0"/>
          <w:numId w:val="1003"/>
        </w:numPr>
      </w:pPr>
      <w:r>
        <w:t xml:space="preserve">pour le gold standard, l’analyse principale utilise la colonne</w:t>
      </w:r>
      <w:r>
        <w:t xml:space="preserve"> </w:t>
      </w:r>
      <w:r>
        <w:rPr>
          <w:rStyle w:val="VerbatimChar"/>
        </w:rPr>
        <w:t xml:space="preserve">Gold_Standard</w:t>
      </w:r>
      <w:r>
        <w:t xml:space="preserve">, corrigée par un senior. La réponse à l’infiltration est conservée uniquement comme analyse secondaire exploratoire, car 35 patients ont eu une infiltration et 35 patients ont un résultat renseigné.</w:t>
      </w:r>
    </w:p>
    <w:p>
      <w:r>
        <w:br w:type="page"/>
      </w:r>
    </w:p>
    <w:bookmarkEnd w:id="21"/>
    <w:bookmarkStart w:id="27" w:name="méthodes"/>
    <w:p>
      <w:pPr>
        <w:pStyle w:val="Heading1"/>
      </w:pPr>
      <w:r>
        <w:t xml:space="preserve">Méthodes</w:t>
      </w:r>
    </w:p>
    <w:bookmarkStart w:id="22" w:name="patients"/>
    <w:p>
      <w:pPr>
        <w:pStyle w:val="Heading2"/>
      </w:pPr>
      <w:r>
        <w:t xml:space="preserve">Patients</w:t>
      </w:r>
    </w:p>
    <w:p>
      <w:pPr>
        <w:pStyle w:val="FirstParagraph"/>
      </w:pPr>
      <w:r>
        <w:t xml:space="preserve">Les données ont été recueillies de manière prospective au CHU de Rennes. Les patients adultes adressés pour une première consultation de chirurgie orthopédique du rachis pour suspicion de névralgie cervico-brachiale ont été inclus dans une base de données dédiée. L’analyse présentée dans ce rapport a porté sur les patients pour lesquels le gold standard final était renseigné et interprétable dans la base analysée. Dans cette version du recueil, la variable</w:t>
      </w:r>
      <w:r>
        <w:t xml:space="preserve"> </w:t>
      </w:r>
      <w:r>
        <w:rPr>
          <w:rStyle w:val="VerbatimChar"/>
        </w:rPr>
        <w:t xml:space="preserve">Gold_Standard</w:t>
      </w:r>
      <w:r>
        <w:t xml:space="preserve"> </w:t>
      </w:r>
      <w:r>
        <w:t xml:space="preserve">correspond au diagnostic final corrigé par un senior et ne comportait que deux modalités,</w:t>
      </w:r>
      <w:r>
        <w:t xml:space="preserve"> </w:t>
      </w:r>
      <w:r>
        <w:rPr>
          <w:rStyle w:val="VerbatimChar"/>
        </w:rPr>
        <w:t xml:space="preserve">Positif</w:t>
      </w:r>
      <w:r>
        <w:t xml:space="preserve"> </w:t>
      </w:r>
      <w:r>
        <w:t xml:space="preserve">et</w:t>
      </w:r>
      <w:r>
        <w:t xml:space="preserve"> </w:t>
      </w:r>
      <w:r>
        <w:rPr>
          <w:rStyle w:val="VerbatimChar"/>
        </w:rPr>
        <w:t xml:space="preserve">Negatif</w:t>
      </w:r>
      <w:r>
        <w:t xml:space="preserve">, correspondant respectivement à la présence ou à l’absence de névralgie cervico-brachiale.</w:t>
      </w:r>
    </w:p>
    <w:p>
      <w:pPr>
        <w:pStyle w:val="BodyText"/>
      </w:pPr>
      <w:r>
        <w:t xml:space="preserve">xxxx</w:t>
      </w:r>
    </w:p>
    <w:bookmarkEnd w:id="22"/>
    <w:bookmarkStart w:id="23" w:name="procédures"/>
    <w:p>
      <w:pPr>
        <w:pStyle w:val="Heading2"/>
      </w:pPr>
      <w:r>
        <w:t xml:space="preserve">Procédures</w:t>
      </w:r>
    </w:p>
    <w:p>
      <w:pPr>
        <w:pStyle w:val="FirstParagraph"/>
      </w:pPr>
      <w:r>
        <w:t xml:space="preserve">4 tests xxxx</w:t>
      </w:r>
    </w:p>
    <w:bookmarkEnd w:id="23"/>
    <w:bookmarkStart w:id="25" w:name="critères-de-jugement"/>
    <w:p>
      <w:pPr>
        <w:pStyle w:val="Heading2"/>
      </w:pPr>
      <w:r>
        <w:t xml:space="preserve">Critères de jugement</w:t>
      </w:r>
    </w:p>
    <w:p>
      <w:pPr>
        <w:pStyle w:val="FirstParagraph"/>
      </w:pPr>
      <w:r>
        <w:rPr>
          <w:b/>
          <w:bCs/>
        </w:rPr>
        <w:t xml:space="preserve">Critère de jugement principal</w:t>
      </w:r>
    </w:p>
    <w:p>
      <w:pPr>
        <w:pStyle w:val="BodyText"/>
      </w:pPr>
      <w:r>
        <w:t xml:space="preserve">Le critère de jugement principal était la performance diagnostique des quatre ULNT pour le diagnostic de névralgie cervico-brachiale, par rapport au gold standard final corrigé par senior. Ce critère reposait sur l’estimation, pour chaque test, de la sensibilité, de la spécificité, des valeurs prédictives positive et négative, ainsi que des rapports de vraisemblance positif et négatif.</w:t>
      </w:r>
    </w:p>
    <w:bookmarkStart w:id="24" w:name="critères-de-jugement-secondaires"/>
    <w:p>
      <w:pPr>
        <w:pStyle w:val="Heading3"/>
      </w:pPr>
      <w:r>
        <w:t xml:space="preserve">Critères de jugement secondaires</w:t>
      </w:r>
    </w:p>
    <w:p>
      <w:pPr>
        <w:pStyle w:val="FirstParagraph"/>
      </w:pPr>
      <w:r>
        <w:t xml:space="preserve">Les critères de jugement secondaires comprenaient la comparaison appariée des performances diagnostiques entre ULNT, la reproductibilité inter-évaluateurs entre l’évaluateur 1 et l’évaluateur 2, les performances diagnostiques des combinaisons conjonctives de tests, l’analyse du score global de positivité ULNT et de ses seuils, ainsi qu’une exploration des performances selon le niveau métamérique.</w:t>
      </w:r>
    </w:p>
    <w:bookmarkEnd w:id="24"/>
    <w:bookmarkEnd w:id="25"/>
    <w:bookmarkStart w:id="26" w:name="analyse-statistique"/>
    <w:p>
      <w:pPr>
        <w:pStyle w:val="Heading2"/>
      </w:pPr>
      <w:r>
        <w:t xml:space="preserve">Analyse statistique</w:t>
      </w:r>
    </w:p>
    <w:p>
      <w:pPr>
        <w:pStyle w:val="FirstParagraph"/>
      </w:pPr>
      <w:r>
        <w:t xml:space="preserve">Les variables qualitatives ont été décrites par leurs effectifs et pourcentages. Les variables quantitatives ont été décrites par des paramètres de position et de dispersion adaptés à leur distribution. Les données manquantes n’ont pas été imputées.</w:t>
      </w:r>
    </w:p>
    <w:p>
      <w:pPr>
        <w:pStyle w:val="BodyText"/>
      </w:pPr>
      <w:r>
        <w:t xml:space="preserve">Les performances diagnostiques des quatre ULNT réalisés par l’évaluateur 1 ont été évaluées par rapport au gold standard final corrigé par senior. Pour chaque test, des tableaux de contingence 2 x 2 ont permis d’estimer la sensibilité, la spécificité, les valeurs prédictives positive et négative, les rapports de vraisemblance positif et négatif, l’indice de Youden et l’aire sous la courbe ROC. Les intervalles de confiance à 95 % des proportions ont été calculés par la méthode binomiale exacte de Clopper-Pearson. L’association entre chaque ULNT et le gold standard final a été étudiée par le test exact de Fisher.</w:t>
      </w:r>
    </w:p>
    <w:p>
      <w:pPr>
        <w:pStyle w:val="BodyText"/>
      </w:pPr>
      <w:r>
        <w:t xml:space="preserve">Les performances des différents ULNT ont été comparées entre elles à l’aide du test de McNemar (</w:t>
      </w:r>
      <m:oMath>
        <m:sSup>
          <m:e>
            <m:r>
              <m:t>χ</m:t>
            </m:r>
          </m:e>
          <m:sup>
            <m:r>
              <m:t>2</m:t>
            </m:r>
          </m:sup>
        </m:sSup>
      </m:oMath>
      <w:r>
        <w:t xml:space="preserve"> </w:t>
      </w:r>
      <w:r>
        <w:t xml:space="preserve">pour données appariées). La reproductibilité inter-évaluateurs a été évaluée par le coefficient kappa de Cohen.</w:t>
      </w:r>
    </w:p>
    <w:p>
      <w:pPr>
        <w:pStyle w:val="BodyText"/>
      </w:pPr>
      <w:r>
        <w:t xml:space="preserve">Des analyses complémentaires ont porté sur les combinaisons de tests. Deux types de combinaisons ont été évaluées : des combinaisons conjonctives entre les différents ULNT, ainsi qu’un score global de positivité ULNT, défini comme le nombre total d’ULNT positifs chez un même patient. Ce score global a été étudié selon différents seuils de positivité. L’importance relative de chaque test dans ce score global a été explorée par une approche de type Shapley value (permutation de l’ordre d’inclusion des tests dans le score, et estimation de la contribution de chaque test à la sensibilité et à la spécificité du score à chaque seuil).</w:t>
      </w:r>
    </w:p>
    <w:p>
      <w:pPr>
        <w:pStyle w:val="BodyText"/>
      </w:pPr>
      <w:r>
        <w:t xml:space="preserve">Des analyses exploratoires ont également été réalisées. La première analyse étudiant la performance des tests selon le niveau métamérique. Pour chaque niveau, la performance de chaque ULNT a été évaluée ainsi que l’association entre le niveau métamérique et la probabilité de névralgie cervico-brachiale. La seconde analyse exploratoire a porté sur une définition secondaire plus restrictive des cas positifs, associant un gold standard final positif et une infiltration thérapeutique positive ; elle ne remplace pas le gold standard final corrigé par senior.</w:t>
      </w:r>
    </w:p>
    <w:p>
      <w:pPr>
        <w:pStyle w:val="BodyText"/>
      </w:pPr>
      <w:r>
        <w:t xml:space="preserve">Les résultats sont présentés sous forme d’estimations ponctuelles avec leurs intervalles de confiance à 95 %. Les variables quantitatives ont été décrites par des paramètes de position et de dispersion adapté à leur distribution. Les analyses ont été réalisées avec</w:t>
      </w:r>
      <w:r>
        <w:t xml:space="preserve"> </w:t>
      </w:r>
      <w:r>
        <w:rPr>
          <w:rStyle w:val="VerbatimChar"/>
        </w:rPr>
        <w:t xml:space="preserve">R</w:t>
      </w:r>
      <w:r>
        <w:t xml:space="preserve">, version 4.5.2. Tous les tests étaient bilatéraux, avec un seuil de significativité fixé à 0,05. Aucune correction de multiplicité n’a été appliquée aux analyses secondaires ou exploratoires étant donné le caractère observationnel de l’étude.</w:t>
      </w:r>
    </w:p>
    <w:p>
      <w:r>
        <w:br w:type="page"/>
      </w:r>
    </w:p>
    <w:bookmarkEnd w:id="26"/>
    <w:bookmarkEnd w:id="27"/>
    <w:bookmarkStart w:id="29" w:name="X78bc2925d09a75cb11faf3ae5c1e7310c441fe5"/>
    <w:p>
      <w:pPr>
        <w:pStyle w:val="Heading1"/>
      </w:pPr>
      <w:r>
        <w:t xml:space="preserve">Disclaimer : nombre de sujets nécessaires et précision attendue</w:t>
      </w:r>
    </w:p>
    <w:p>
      <w:pPr>
        <w:pStyle w:val="FirstParagraph"/>
      </w:pPr>
      <w:r>
        <w:t xml:space="preserve">Le protocole du CHU de Rennes prévoyait initialement un raisonnement de dimensionnement basé sur la</w:t>
      </w:r>
      <w:r>
        <w:t xml:space="preserve"> </w:t>
      </w:r>
      <w:r>
        <w:rPr>
          <w:b/>
          <w:bCs/>
        </w:rPr>
        <w:t xml:space="preserve">spécificité</w:t>
      </w:r>
      <w:r>
        <w:t xml:space="preserve">, à partir d’intervalles de confiance exact de Clopper-Pearson. Cette logique faisait varier la spécificité cible, la marge acceptable entre cette cible et la borne inférieure de l’</w:t>
      </w:r>
      <w:r>
        <w:rPr>
          <w:rStyle w:val="VerbatimChar"/>
        </w:rPr>
        <w:t xml:space="preserve">IC95 %</w:t>
      </w:r>
      <w:r>
        <w:t xml:space="preserve">, ainsi que la prévalence attendue de la NCB.</w:t>
      </w:r>
    </w:p>
    <w:p>
      <w:pPr>
        <w:pStyle w:val="BodyText"/>
      </w:pPr>
      <w:r>
        <w:t xml:space="preserve">11 scénarios théoriques étaient proposés, et sont recalculés ici :</w:t>
      </w:r>
    </w:p>
    <w:tbl>
      <w:tblPr>
        <w:tblStyle w:val="Table"/>
        <w:tblW w:type="pct" w:w="5000"/>
        <w:tblLayout w:type="fixed"/>
        <w:tblLook w:firstRow="0" w:lastRow="0" w:firstColumn="0" w:lastColumn="0" w:noHBand="0" w:noVBand="0" w:val="0000"/>
      </w:tblPr>
      <w:tblGrid>
        <w:gridCol w:w="7920"/>
      </w:tblGrid>
      <w:tr>
        <w:tc>
          <w:tcPr/>
          <w:bookmarkStart w:id="28" w:name="tbl-effectifs"/>
          <w:p>
            <w:pPr>
              <w:jc w:val="center"/>
            </w:pPr>
            <w:pPr>
              <w:jc w:val="left"/>
              <w:spacing w:before="200"/>
              <w:pStyle w:val="ImageCaption"/>
            </w:pPr>
            <w:r>
              <w:t xml:space="preserve">Table 1: Effectif requis pour différents scénarios de spécificité cible, prévalence et marge</w:t>
            </w:r>
          </w:p>
          <w:tbl>
            <w:tblPr>
              <w:tblStyle w:val="Table"/>
              <w:tblW w:type="pct" w:w="5000"/>
              <w:tblLayout w:type="fixed"/>
              <w:tblLook w:firstRow="1" w:lastRow="0" w:firstColumn="0" w:lastColumn="0" w:noHBand="0" w:noVBand="0" w:val="0020"/>
            </w:tblPr>
            <w:tblGrid>
              <w:gridCol w:w="720"/>
              <w:gridCol w:w="792"/>
              <w:gridCol w:w="864"/>
              <w:gridCol w:w="720"/>
              <w:gridCol w:w="1440"/>
              <w:gridCol w:w="1296"/>
              <w:gridCol w:w="936"/>
              <w:gridCol w:w="1152"/>
            </w:tblGrid>
            <w:tr>
              <w:trPr>
                <w:tblHeader w:val="on"/>
              </w:trPr>
              <w:tc>
                <w:tcPr/>
                <w:p>
                  <w:pPr>
                    <w:pStyle w:val="Compact"/>
                    <w:jc w:val="center"/>
                    <w:jc w:val="center"/>
                  </w:pPr>
                  <w:r>
                    <w:t xml:space="preserve">Scenario</w:t>
                  </w:r>
                </w:p>
              </w:tc>
              <w:tc>
                <w:tcPr/>
                <w:p>
                  <w:pPr>
                    <w:pStyle w:val="Compact"/>
                    <w:jc w:val="center"/>
                    <w:jc w:val="center"/>
                  </w:pPr>
                  <w:r>
                    <w:t xml:space="preserve">Target Sp</w:t>
                  </w:r>
                </w:p>
              </w:tc>
              <w:tc>
                <w:tcPr/>
                <w:p>
                  <w:pPr>
                    <w:pStyle w:val="Compact"/>
                    <w:jc w:val="center"/>
                    <w:jc w:val="center"/>
                  </w:pPr>
                  <w:r>
                    <w:t xml:space="preserve">Prevalence</w:t>
                  </w:r>
                </w:p>
              </w:tc>
              <w:tc>
                <w:tcPr/>
                <w:p>
                  <w:pPr>
                    <w:pStyle w:val="Compact"/>
                    <w:jc w:val="center"/>
                    <w:jc w:val="center"/>
                  </w:pPr>
                  <w:r>
                    <w:t xml:space="preserve">CI width</w:t>
                  </w:r>
                </w:p>
              </w:tc>
              <w:tc>
                <w:tcPr/>
                <w:p>
                  <w:pPr>
                    <w:pStyle w:val="Compact"/>
                    <w:jc w:val="center"/>
                    <w:jc w:val="center"/>
                  </w:pPr>
                  <w:r>
                    <w:t xml:space="preserve">Required negatives</w:t>
                  </w:r>
                </w:p>
              </w:tc>
              <w:tc>
                <w:tcPr/>
                <w:p>
                  <w:pPr>
                    <w:pStyle w:val="Compact"/>
                    <w:jc w:val="center"/>
                    <w:jc w:val="center"/>
                  </w:pPr>
                  <w:r>
                    <w:t xml:space="preserve">Required total N</w:t>
                  </w:r>
                </w:p>
              </w:tc>
              <w:tc>
                <w:tcPr/>
                <w:p>
                  <w:pPr>
                    <w:pStyle w:val="Compact"/>
                    <w:jc w:val="center"/>
                    <w:jc w:val="center"/>
                  </w:pPr>
                  <w:r>
                    <w:t xml:space="preserve">Lower bound</w:t>
                  </w:r>
                </w:p>
              </w:tc>
              <w:tc>
                <w:tcPr/>
                <w:p>
                  <w:pPr>
                    <w:pStyle w:val="Compact"/>
                    <w:jc w:val="center"/>
                    <w:jc w:val="center"/>
                  </w:pPr>
                  <w:r>
                    <w:t xml:space="preserve">Computed width</w:t>
                  </w:r>
                </w:p>
              </w:tc>
            </w:tr>
            <w:tr>
              <w:tc>
                <w:tcPr/>
                <w:p>
                  <w:pPr>
                    <w:pStyle w:val="Compact"/>
                    <w:jc w:val="center"/>
                    <w:jc w:val="center"/>
                  </w:pPr>
                  <w:r>
                    <w:t xml:space="preserve">S1</w:t>
                  </w:r>
                </w:p>
              </w:tc>
              <w:tc>
                <w:tcPr/>
                <w:p>
                  <w:pPr>
                    <w:pStyle w:val="Compact"/>
                    <w:jc w:val="center"/>
                    <w:jc w:val="center"/>
                  </w:pPr>
                  <w:r>
                    <w:t xml:space="preserve">0.90</w:t>
                  </w:r>
                </w:p>
              </w:tc>
              <w:tc>
                <w:tcPr/>
                <w:p>
                  <w:pPr>
                    <w:pStyle w:val="Compact"/>
                    <w:jc w:val="center"/>
                    <w:jc w:val="center"/>
                  </w:pPr>
                  <w:r>
                    <w:t xml:space="preserve">0.75</w:t>
                  </w:r>
                </w:p>
              </w:tc>
              <w:tc>
                <w:tcPr/>
                <w:p>
                  <w:pPr>
                    <w:pStyle w:val="Compact"/>
                    <w:jc w:val="center"/>
                    <w:jc w:val="center"/>
                  </w:pPr>
                  <w:r>
                    <w:t xml:space="preserve">0.099</w:t>
                  </w:r>
                </w:p>
              </w:tc>
              <w:tc>
                <w:tcPr/>
                <w:p>
                  <w:pPr>
                    <w:pStyle w:val="Compact"/>
                    <w:jc w:val="center"/>
                    <w:jc w:val="center"/>
                  </w:pPr>
                  <w:r>
                    <w:t xml:space="preserve">50</w:t>
                  </w:r>
                </w:p>
              </w:tc>
              <w:tc>
                <w:tcPr/>
                <w:p>
                  <w:pPr>
                    <w:pStyle w:val="Compact"/>
                    <w:jc w:val="center"/>
                    <w:jc w:val="center"/>
                  </w:pPr>
                  <w:r>
                    <w:t xml:space="preserve">200</w:t>
                  </w:r>
                </w:p>
              </w:tc>
              <w:tc>
                <w:tcPr/>
                <w:p>
                  <w:pPr>
                    <w:pStyle w:val="Compact"/>
                    <w:jc w:val="center"/>
                    <w:jc w:val="center"/>
                  </w:pPr>
                  <w:r>
                    <w:t xml:space="preserve">0.801</w:t>
                  </w:r>
                </w:p>
              </w:tc>
              <w:tc>
                <w:tcPr/>
                <w:p>
                  <w:pPr>
                    <w:pStyle w:val="Compact"/>
                    <w:jc w:val="center"/>
                    <w:jc w:val="center"/>
                  </w:pPr>
                  <w:r>
                    <w:t xml:space="preserve">0.099</w:t>
                  </w:r>
                </w:p>
              </w:tc>
            </w:tr>
            <w:tr>
              <w:tc>
                <w:tcPr/>
                <w:p>
                  <w:pPr>
                    <w:pStyle w:val="Compact"/>
                    <w:jc w:val="center"/>
                    <w:jc w:val="center"/>
                  </w:pPr>
                  <w:r>
                    <w:t xml:space="preserve">S2</w:t>
                  </w:r>
                </w:p>
              </w:tc>
              <w:tc>
                <w:tcPr/>
                <w:p>
                  <w:pPr>
                    <w:pStyle w:val="Compact"/>
                    <w:jc w:val="center"/>
                    <w:jc w:val="center"/>
                  </w:pPr>
                  <w:r>
                    <w:t xml:space="preserve">0.90</w:t>
                  </w:r>
                </w:p>
              </w:tc>
              <w:tc>
                <w:tcPr/>
                <w:p>
                  <w:pPr>
                    <w:pStyle w:val="Compact"/>
                    <w:jc w:val="center"/>
                    <w:jc w:val="center"/>
                  </w:pPr>
                  <w:r>
                    <w:t xml:space="preserve">0.50</w:t>
                  </w:r>
                </w:p>
              </w:tc>
              <w:tc>
                <w:tcPr/>
                <w:p>
                  <w:pPr>
                    <w:pStyle w:val="Compact"/>
                    <w:jc w:val="center"/>
                    <w:jc w:val="center"/>
                  </w:pPr>
                  <w:r>
                    <w:t xml:space="preserve">0.099</w:t>
                  </w:r>
                </w:p>
              </w:tc>
              <w:tc>
                <w:tcPr/>
                <w:p>
                  <w:pPr>
                    <w:pStyle w:val="Compact"/>
                    <w:jc w:val="center"/>
                    <w:jc w:val="center"/>
                  </w:pPr>
                  <w:r>
                    <w:t xml:space="preserve">50</w:t>
                  </w:r>
                </w:p>
              </w:tc>
              <w:tc>
                <w:tcPr/>
                <w:p>
                  <w:pPr>
                    <w:pStyle w:val="Compact"/>
                    <w:jc w:val="center"/>
                    <w:jc w:val="center"/>
                  </w:pPr>
                  <w:r>
                    <w:t xml:space="preserve">100</w:t>
                  </w:r>
                </w:p>
              </w:tc>
              <w:tc>
                <w:tcPr/>
                <w:p>
                  <w:pPr>
                    <w:pStyle w:val="Compact"/>
                    <w:jc w:val="center"/>
                    <w:jc w:val="center"/>
                  </w:pPr>
                  <w:r>
                    <w:t xml:space="preserve">0.801</w:t>
                  </w:r>
                </w:p>
              </w:tc>
              <w:tc>
                <w:tcPr/>
                <w:p>
                  <w:pPr>
                    <w:pStyle w:val="Compact"/>
                    <w:jc w:val="center"/>
                    <w:jc w:val="center"/>
                  </w:pPr>
                  <w:r>
                    <w:t xml:space="preserve">0.099</w:t>
                  </w:r>
                </w:p>
              </w:tc>
            </w:tr>
            <w:tr>
              <w:tc>
                <w:tcPr/>
                <w:p>
                  <w:pPr>
                    <w:pStyle w:val="Compact"/>
                    <w:jc w:val="center"/>
                    <w:jc w:val="center"/>
                  </w:pPr>
                  <w:r>
                    <w:t xml:space="preserve">S3</w:t>
                  </w:r>
                </w:p>
              </w:tc>
              <w:tc>
                <w:tcPr/>
                <w:p>
                  <w:pPr>
                    <w:pStyle w:val="Compact"/>
                    <w:jc w:val="center"/>
                    <w:jc w:val="center"/>
                  </w:pPr>
                  <w:r>
                    <w:t xml:space="preserve">0.90</w:t>
                  </w:r>
                </w:p>
              </w:tc>
              <w:tc>
                <w:tcPr/>
                <w:p>
                  <w:pPr>
                    <w:pStyle w:val="Compact"/>
                    <w:jc w:val="center"/>
                    <w:jc w:val="center"/>
                  </w:pPr>
                  <w:r>
                    <w:t xml:space="preserve">0.75</w:t>
                  </w:r>
                </w:p>
              </w:tc>
              <w:tc>
                <w:tcPr/>
                <w:p>
                  <w:pPr>
                    <w:pStyle w:val="Compact"/>
                    <w:jc w:val="center"/>
                    <w:jc w:val="center"/>
                  </w:pPr>
                  <w:r>
                    <w:t xml:space="preserve">0.149</w:t>
                  </w:r>
                </w:p>
              </w:tc>
              <w:tc>
                <w:tcPr/>
                <w:p>
                  <w:pPr>
                    <w:pStyle w:val="Compact"/>
                    <w:jc w:val="center"/>
                    <w:jc w:val="center"/>
                  </w:pPr>
                  <w:r>
                    <w:t xml:space="preserve">27</w:t>
                  </w:r>
                </w:p>
              </w:tc>
              <w:tc>
                <w:tcPr/>
                <w:p>
                  <w:pPr>
                    <w:pStyle w:val="Compact"/>
                    <w:jc w:val="center"/>
                    <w:jc w:val="center"/>
                  </w:pPr>
                  <w:r>
                    <w:t xml:space="preserve">108</w:t>
                  </w:r>
                </w:p>
              </w:tc>
              <w:tc>
                <w:tcPr/>
                <w:p>
                  <w:pPr>
                    <w:pStyle w:val="Compact"/>
                    <w:jc w:val="center"/>
                    <w:jc w:val="center"/>
                  </w:pPr>
                  <w:r>
                    <w:t xml:space="preserve">0.751</w:t>
                  </w:r>
                </w:p>
              </w:tc>
              <w:tc>
                <w:tcPr/>
                <w:p>
                  <w:pPr>
                    <w:pStyle w:val="Compact"/>
                    <w:jc w:val="center"/>
                    <w:jc w:val="center"/>
                  </w:pPr>
                  <w:r>
                    <w:t xml:space="preserve">0.149</w:t>
                  </w:r>
                </w:p>
              </w:tc>
            </w:tr>
            <w:tr>
              <w:tc>
                <w:tcPr/>
                <w:p>
                  <w:pPr>
                    <w:pStyle w:val="Compact"/>
                    <w:jc w:val="center"/>
                    <w:jc w:val="center"/>
                  </w:pPr>
                  <w:r>
                    <w:t xml:space="preserve">S4</w:t>
                  </w:r>
                </w:p>
              </w:tc>
              <w:tc>
                <w:tcPr/>
                <w:p>
                  <w:pPr>
                    <w:pStyle w:val="Compact"/>
                    <w:jc w:val="center"/>
                    <w:jc w:val="center"/>
                  </w:pPr>
                  <w:r>
                    <w:t xml:space="preserve">0.90</w:t>
                  </w:r>
                </w:p>
              </w:tc>
              <w:tc>
                <w:tcPr/>
                <w:p>
                  <w:pPr>
                    <w:pStyle w:val="Compact"/>
                    <w:jc w:val="center"/>
                    <w:jc w:val="center"/>
                  </w:pPr>
                  <w:r>
                    <w:t xml:space="preserve">0.50</w:t>
                  </w:r>
                </w:p>
              </w:tc>
              <w:tc>
                <w:tcPr/>
                <w:p>
                  <w:pPr>
                    <w:pStyle w:val="Compact"/>
                    <w:jc w:val="center"/>
                    <w:jc w:val="center"/>
                  </w:pPr>
                  <w:r>
                    <w:t xml:space="preserve">0.149</w:t>
                  </w:r>
                </w:p>
              </w:tc>
              <w:tc>
                <w:tcPr/>
                <w:p>
                  <w:pPr>
                    <w:pStyle w:val="Compact"/>
                    <w:jc w:val="center"/>
                    <w:jc w:val="center"/>
                  </w:pPr>
                  <w:r>
                    <w:t xml:space="preserve">27</w:t>
                  </w:r>
                </w:p>
              </w:tc>
              <w:tc>
                <w:tcPr/>
                <w:p>
                  <w:pPr>
                    <w:pStyle w:val="Compact"/>
                    <w:jc w:val="center"/>
                    <w:jc w:val="center"/>
                  </w:pPr>
                  <w:r>
                    <w:t xml:space="preserve">54</w:t>
                  </w:r>
                </w:p>
              </w:tc>
              <w:tc>
                <w:tcPr/>
                <w:p>
                  <w:pPr>
                    <w:pStyle w:val="Compact"/>
                    <w:jc w:val="center"/>
                    <w:jc w:val="center"/>
                  </w:pPr>
                  <w:r>
                    <w:t xml:space="preserve">0.751</w:t>
                  </w:r>
                </w:p>
              </w:tc>
              <w:tc>
                <w:tcPr/>
                <w:p>
                  <w:pPr>
                    <w:pStyle w:val="Compact"/>
                    <w:jc w:val="center"/>
                    <w:jc w:val="center"/>
                  </w:pPr>
                  <w:r>
                    <w:t xml:space="preserve">0.149</w:t>
                  </w:r>
                </w:p>
              </w:tc>
            </w:tr>
            <w:tr>
              <w:tc>
                <w:tcPr/>
                <w:p>
                  <w:pPr>
                    <w:pStyle w:val="Compact"/>
                    <w:jc w:val="center"/>
                    <w:jc w:val="center"/>
                  </w:pPr>
                  <w:r>
                    <w:t xml:space="preserve">S5</w:t>
                  </w:r>
                </w:p>
              </w:tc>
              <w:tc>
                <w:tcPr/>
                <w:p>
                  <w:pPr>
                    <w:pStyle w:val="Compact"/>
                    <w:jc w:val="center"/>
                    <w:jc w:val="center"/>
                  </w:pPr>
                  <w:r>
                    <w:t xml:space="preserve">0.90</w:t>
                  </w:r>
                </w:p>
              </w:tc>
              <w:tc>
                <w:tcPr/>
                <w:p>
                  <w:pPr>
                    <w:pStyle w:val="Compact"/>
                    <w:jc w:val="center"/>
                    <w:jc w:val="center"/>
                  </w:pPr>
                  <w:r>
                    <w:t xml:space="preserve">0.60</w:t>
                  </w:r>
                </w:p>
              </w:tc>
              <w:tc>
                <w:tcPr/>
                <w:p>
                  <w:pPr>
                    <w:pStyle w:val="Compact"/>
                    <w:jc w:val="center"/>
                    <w:jc w:val="center"/>
                  </w:pPr>
                  <w:r>
                    <w:t xml:space="preserve">0.099</w:t>
                  </w:r>
                </w:p>
              </w:tc>
              <w:tc>
                <w:tcPr/>
                <w:p>
                  <w:pPr>
                    <w:pStyle w:val="Compact"/>
                    <w:jc w:val="center"/>
                    <w:jc w:val="center"/>
                  </w:pPr>
                  <w:r>
                    <w:t xml:space="preserve">50</w:t>
                  </w:r>
                </w:p>
              </w:tc>
              <w:tc>
                <w:tcPr/>
                <w:p>
                  <w:pPr>
                    <w:pStyle w:val="Compact"/>
                    <w:jc w:val="center"/>
                    <w:jc w:val="center"/>
                  </w:pPr>
                  <w:r>
                    <w:t xml:space="preserve">125</w:t>
                  </w:r>
                </w:p>
              </w:tc>
              <w:tc>
                <w:tcPr/>
                <w:p>
                  <w:pPr>
                    <w:pStyle w:val="Compact"/>
                    <w:jc w:val="center"/>
                    <w:jc w:val="center"/>
                  </w:pPr>
                  <w:r>
                    <w:t xml:space="preserve">0.801</w:t>
                  </w:r>
                </w:p>
              </w:tc>
              <w:tc>
                <w:tcPr/>
                <w:p>
                  <w:pPr>
                    <w:pStyle w:val="Compact"/>
                    <w:jc w:val="center"/>
                    <w:jc w:val="center"/>
                  </w:pPr>
                  <w:r>
                    <w:t xml:space="preserve">0.099</w:t>
                  </w:r>
                </w:p>
              </w:tc>
            </w:tr>
            <w:tr>
              <w:tc>
                <w:tcPr/>
                <w:p>
                  <w:pPr>
                    <w:pStyle w:val="Compact"/>
                    <w:jc w:val="center"/>
                    <w:jc w:val="center"/>
                  </w:pPr>
                  <w:r>
                    <w:t xml:space="preserve">S6</w:t>
                  </w:r>
                </w:p>
              </w:tc>
              <w:tc>
                <w:tcPr/>
                <w:p>
                  <w:pPr>
                    <w:pStyle w:val="Compact"/>
                    <w:jc w:val="center"/>
                    <w:jc w:val="center"/>
                  </w:pPr>
                  <w:r>
                    <w:t xml:space="preserve">0.90</w:t>
                  </w:r>
                </w:p>
              </w:tc>
              <w:tc>
                <w:tcPr/>
                <w:p>
                  <w:pPr>
                    <w:pStyle w:val="Compact"/>
                    <w:jc w:val="center"/>
                    <w:jc w:val="center"/>
                  </w:pPr>
                  <w:r>
                    <w:t xml:space="preserve">0.60</w:t>
                  </w:r>
                </w:p>
              </w:tc>
              <w:tc>
                <w:tcPr/>
                <w:p>
                  <w:pPr>
                    <w:pStyle w:val="Compact"/>
                    <w:jc w:val="center"/>
                    <w:jc w:val="center"/>
                  </w:pPr>
                  <w:r>
                    <w:t xml:space="preserve">0.149</w:t>
                  </w:r>
                </w:p>
              </w:tc>
              <w:tc>
                <w:tcPr/>
                <w:p>
                  <w:pPr>
                    <w:pStyle w:val="Compact"/>
                    <w:jc w:val="center"/>
                    <w:jc w:val="center"/>
                  </w:pPr>
                  <w:r>
                    <w:t xml:space="preserve">27</w:t>
                  </w:r>
                </w:p>
              </w:tc>
              <w:tc>
                <w:tcPr/>
                <w:p>
                  <w:pPr>
                    <w:pStyle w:val="Compact"/>
                    <w:jc w:val="center"/>
                    <w:jc w:val="center"/>
                  </w:pPr>
                  <w:r>
                    <w:t xml:space="preserve">68</w:t>
                  </w:r>
                </w:p>
              </w:tc>
              <w:tc>
                <w:tcPr/>
                <w:p>
                  <w:pPr>
                    <w:pStyle w:val="Compact"/>
                    <w:jc w:val="center"/>
                    <w:jc w:val="center"/>
                  </w:pPr>
                  <w:r>
                    <w:t xml:space="preserve">0.751</w:t>
                  </w:r>
                </w:p>
              </w:tc>
              <w:tc>
                <w:tcPr/>
                <w:p>
                  <w:pPr>
                    <w:pStyle w:val="Compact"/>
                    <w:jc w:val="center"/>
                    <w:jc w:val="center"/>
                  </w:pPr>
                  <w:r>
                    <w:t xml:space="preserve">0.149</w:t>
                  </w:r>
                </w:p>
              </w:tc>
            </w:tr>
            <w:tr>
              <w:tc>
                <w:tcPr/>
                <w:p>
                  <w:pPr>
                    <w:pStyle w:val="Compact"/>
                    <w:jc w:val="center"/>
                    <w:jc w:val="center"/>
                  </w:pPr>
                  <w:r>
                    <w:t xml:space="preserve">S7</w:t>
                  </w:r>
                </w:p>
              </w:tc>
              <w:tc>
                <w:tcPr/>
                <w:p>
                  <w:pPr>
                    <w:pStyle w:val="Compact"/>
                    <w:jc w:val="center"/>
                    <w:jc w:val="center"/>
                  </w:pPr>
                  <w:r>
                    <w:t xml:space="preserve">0.85</w:t>
                  </w:r>
                </w:p>
              </w:tc>
              <w:tc>
                <w:tcPr/>
                <w:p>
                  <w:pPr>
                    <w:pStyle w:val="Compact"/>
                    <w:jc w:val="center"/>
                    <w:jc w:val="center"/>
                  </w:pPr>
                  <w:r>
                    <w:t xml:space="preserve">0.75</w:t>
                  </w:r>
                </w:p>
              </w:tc>
              <w:tc>
                <w:tcPr/>
                <w:p>
                  <w:pPr>
                    <w:pStyle w:val="Compact"/>
                    <w:jc w:val="center"/>
                    <w:jc w:val="center"/>
                  </w:pPr>
                  <w:r>
                    <w:t xml:space="preserve">0.099</w:t>
                  </w:r>
                </w:p>
              </w:tc>
              <w:tc>
                <w:tcPr/>
                <w:p>
                  <w:pPr>
                    <w:pStyle w:val="Compact"/>
                    <w:jc w:val="center"/>
                    <w:jc w:val="center"/>
                  </w:pPr>
                  <w:r>
                    <w:t xml:space="preserve">58</w:t>
                  </w:r>
                </w:p>
              </w:tc>
              <w:tc>
                <w:tcPr/>
                <w:p>
                  <w:pPr>
                    <w:pStyle w:val="Compact"/>
                    <w:jc w:val="center"/>
                    <w:jc w:val="center"/>
                  </w:pPr>
                  <w:r>
                    <w:t xml:space="preserve">232</w:t>
                  </w:r>
                </w:p>
              </w:tc>
              <w:tc>
                <w:tcPr/>
                <w:p>
                  <w:pPr>
                    <w:pStyle w:val="Compact"/>
                    <w:jc w:val="center"/>
                    <w:jc w:val="center"/>
                  </w:pPr>
                  <w:r>
                    <w:t xml:space="preserve">0.751</w:t>
                  </w:r>
                </w:p>
              </w:tc>
              <w:tc>
                <w:tcPr/>
                <w:p>
                  <w:pPr>
                    <w:pStyle w:val="Compact"/>
                    <w:jc w:val="center"/>
                    <w:jc w:val="center"/>
                  </w:pPr>
                  <w:r>
                    <w:t xml:space="preserve">0.099</w:t>
                  </w:r>
                </w:p>
              </w:tc>
            </w:tr>
            <w:tr>
              <w:tc>
                <w:tcPr/>
                <w:p>
                  <w:pPr>
                    <w:pStyle w:val="Compact"/>
                    <w:jc w:val="center"/>
                    <w:jc w:val="center"/>
                  </w:pPr>
                  <w:r>
                    <w:t xml:space="preserve">S8</w:t>
                  </w:r>
                </w:p>
              </w:tc>
              <w:tc>
                <w:tcPr/>
                <w:p>
                  <w:pPr>
                    <w:pStyle w:val="Compact"/>
                    <w:jc w:val="center"/>
                    <w:jc w:val="center"/>
                  </w:pPr>
                  <w:r>
                    <w:t xml:space="preserve">0.85</w:t>
                  </w:r>
                </w:p>
              </w:tc>
              <w:tc>
                <w:tcPr/>
                <w:p>
                  <w:pPr>
                    <w:pStyle w:val="Compact"/>
                    <w:jc w:val="center"/>
                    <w:jc w:val="center"/>
                  </w:pPr>
                  <w:r>
                    <w:t xml:space="preserve">0.50</w:t>
                  </w:r>
                </w:p>
              </w:tc>
              <w:tc>
                <w:tcPr/>
                <w:p>
                  <w:pPr>
                    <w:pStyle w:val="Compact"/>
                    <w:jc w:val="center"/>
                    <w:jc w:val="center"/>
                  </w:pPr>
                  <w:r>
                    <w:t xml:space="preserve">0.099</w:t>
                  </w:r>
                </w:p>
              </w:tc>
              <w:tc>
                <w:tcPr/>
                <w:p>
                  <w:pPr>
                    <w:pStyle w:val="Compact"/>
                    <w:jc w:val="center"/>
                    <w:jc w:val="center"/>
                  </w:pPr>
                  <w:r>
                    <w:t xml:space="preserve">58</w:t>
                  </w:r>
                </w:p>
              </w:tc>
              <w:tc>
                <w:tcPr/>
                <w:p>
                  <w:pPr>
                    <w:pStyle w:val="Compact"/>
                    <w:jc w:val="center"/>
                    <w:jc w:val="center"/>
                  </w:pPr>
                  <w:r>
                    <w:t xml:space="preserve">116</w:t>
                  </w:r>
                </w:p>
              </w:tc>
              <w:tc>
                <w:tcPr/>
                <w:p>
                  <w:pPr>
                    <w:pStyle w:val="Compact"/>
                    <w:jc w:val="center"/>
                    <w:jc w:val="center"/>
                  </w:pPr>
                  <w:r>
                    <w:t xml:space="preserve">0.751</w:t>
                  </w:r>
                </w:p>
              </w:tc>
              <w:tc>
                <w:tcPr/>
                <w:p>
                  <w:pPr>
                    <w:pStyle w:val="Compact"/>
                    <w:jc w:val="center"/>
                    <w:jc w:val="center"/>
                  </w:pPr>
                  <w:r>
                    <w:t xml:space="preserve">0.099</w:t>
                  </w:r>
                </w:p>
              </w:tc>
            </w:tr>
            <w:tr>
              <w:tc>
                <w:tcPr/>
                <w:p>
                  <w:pPr>
                    <w:pStyle w:val="Compact"/>
                    <w:jc w:val="center"/>
                    <w:jc w:val="center"/>
                  </w:pPr>
                  <w:r>
                    <w:t xml:space="preserve">S9</w:t>
                  </w:r>
                </w:p>
              </w:tc>
              <w:tc>
                <w:tcPr/>
                <w:p>
                  <w:pPr>
                    <w:pStyle w:val="Compact"/>
                    <w:jc w:val="center"/>
                    <w:jc w:val="center"/>
                  </w:pPr>
                  <w:r>
                    <w:t xml:space="preserve">0.85</w:t>
                  </w:r>
                </w:p>
              </w:tc>
              <w:tc>
                <w:tcPr/>
                <w:p>
                  <w:pPr>
                    <w:pStyle w:val="Compact"/>
                    <w:jc w:val="center"/>
                    <w:jc w:val="center"/>
                  </w:pPr>
                  <w:r>
                    <w:t xml:space="preserve">0.75</w:t>
                  </w:r>
                </w:p>
              </w:tc>
              <w:tc>
                <w:tcPr/>
                <w:p>
                  <w:pPr>
                    <w:pStyle w:val="Compact"/>
                    <w:jc w:val="center"/>
                    <w:jc w:val="center"/>
                  </w:pPr>
                  <w:r>
                    <w:t xml:space="preserve">0.149</w:t>
                  </w:r>
                </w:p>
              </w:tc>
              <w:tc>
                <w:tcPr/>
                <w:p>
                  <w:pPr>
                    <w:pStyle w:val="Compact"/>
                    <w:jc w:val="center"/>
                    <w:jc w:val="center"/>
                  </w:pPr>
                  <w:r>
                    <w:t xml:space="preserve">30</w:t>
                  </w:r>
                </w:p>
              </w:tc>
              <w:tc>
                <w:tcPr/>
                <w:p>
                  <w:pPr>
                    <w:pStyle w:val="Compact"/>
                    <w:jc w:val="center"/>
                    <w:jc w:val="center"/>
                  </w:pPr>
                  <w:r>
                    <w:t xml:space="preserve">120</w:t>
                  </w:r>
                </w:p>
              </w:tc>
              <w:tc>
                <w:tcPr/>
                <w:p>
                  <w:pPr>
                    <w:pStyle w:val="Compact"/>
                    <w:jc w:val="center"/>
                    <w:jc w:val="center"/>
                  </w:pPr>
                  <w:r>
                    <w:t xml:space="preserve">0.701</w:t>
                  </w:r>
                </w:p>
              </w:tc>
              <w:tc>
                <w:tcPr/>
                <w:p>
                  <w:pPr>
                    <w:pStyle w:val="Compact"/>
                    <w:jc w:val="center"/>
                    <w:jc w:val="center"/>
                  </w:pPr>
                  <w:r>
                    <w:t xml:space="preserve">0.149</w:t>
                  </w:r>
                </w:p>
              </w:tc>
            </w:tr>
            <w:tr>
              <w:tc>
                <w:tcPr/>
                <w:p>
                  <w:pPr>
                    <w:pStyle w:val="Compact"/>
                    <w:jc w:val="center"/>
                    <w:jc w:val="center"/>
                  </w:pPr>
                  <w:r>
                    <w:t xml:space="preserve">S10</w:t>
                  </w:r>
                </w:p>
              </w:tc>
              <w:tc>
                <w:tcPr/>
                <w:p>
                  <w:pPr>
                    <w:pStyle w:val="Compact"/>
                    <w:jc w:val="center"/>
                    <w:jc w:val="center"/>
                  </w:pPr>
                  <w:r>
                    <w:t xml:space="preserve">0.85</w:t>
                  </w:r>
                </w:p>
              </w:tc>
              <w:tc>
                <w:tcPr/>
                <w:p>
                  <w:pPr>
                    <w:pStyle w:val="Compact"/>
                    <w:jc w:val="center"/>
                    <w:jc w:val="center"/>
                  </w:pPr>
                  <w:r>
                    <w:t xml:space="preserve">0.60</w:t>
                  </w:r>
                </w:p>
              </w:tc>
              <w:tc>
                <w:tcPr/>
                <w:p>
                  <w:pPr>
                    <w:pStyle w:val="Compact"/>
                    <w:jc w:val="center"/>
                    <w:jc w:val="center"/>
                  </w:pPr>
                  <w:r>
                    <w:t xml:space="preserve">0.099</w:t>
                  </w:r>
                </w:p>
              </w:tc>
              <w:tc>
                <w:tcPr/>
                <w:p>
                  <w:pPr>
                    <w:pStyle w:val="Compact"/>
                    <w:jc w:val="center"/>
                    <w:jc w:val="center"/>
                  </w:pPr>
                  <w:r>
                    <w:t xml:space="preserve">58</w:t>
                  </w:r>
                </w:p>
              </w:tc>
              <w:tc>
                <w:tcPr/>
                <w:p>
                  <w:pPr>
                    <w:pStyle w:val="Compact"/>
                    <w:jc w:val="center"/>
                    <w:jc w:val="center"/>
                  </w:pPr>
                  <w:r>
                    <w:t xml:space="preserve">145</w:t>
                  </w:r>
                </w:p>
              </w:tc>
              <w:tc>
                <w:tcPr/>
                <w:p>
                  <w:pPr>
                    <w:pStyle w:val="Compact"/>
                    <w:jc w:val="center"/>
                    <w:jc w:val="center"/>
                  </w:pPr>
                  <w:r>
                    <w:t xml:space="preserve">0.751</w:t>
                  </w:r>
                </w:p>
              </w:tc>
              <w:tc>
                <w:tcPr/>
                <w:p>
                  <w:pPr>
                    <w:pStyle w:val="Compact"/>
                    <w:jc w:val="center"/>
                    <w:jc w:val="center"/>
                  </w:pPr>
                  <w:r>
                    <w:t xml:space="preserve">0.099</w:t>
                  </w:r>
                </w:p>
              </w:tc>
            </w:tr>
            <w:tr>
              <w:tc>
                <w:tcPr/>
                <w:p>
                  <w:pPr>
                    <w:pStyle w:val="Compact"/>
                    <w:jc w:val="center"/>
                    <w:jc w:val="center"/>
                  </w:pPr>
                  <w:r>
                    <w:t xml:space="preserve">S11</w:t>
                  </w:r>
                </w:p>
              </w:tc>
              <w:tc>
                <w:tcPr/>
                <w:p>
                  <w:pPr>
                    <w:pStyle w:val="Compact"/>
                    <w:jc w:val="center"/>
                    <w:jc w:val="center"/>
                  </w:pPr>
                  <w:r>
                    <w:t xml:space="preserve">0.85</w:t>
                  </w:r>
                </w:p>
              </w:tc>
              <w:tc>
                <w:tcPr/>
                <w:p>
                  <w:pPr>
                    <w:pStyle w:val="Compact"/>
                    <w:jc w:val="center"/>
                    <w:jc w:val="center"/>
                  </w:pPr>
                  <w:r>
                    <w:t xml:space="preserve">0.50</w:t>
                  </w:r>
                </w:p>
              </w:tc>
              <w:tc>
                <w:tcPr/>
                <w:p>
                  <w:pPr>
                    <w:pStyle w:val="Compact"/>
                    <w:jc w:val="center"/>
                    <w:jc w:val="center"/>
                  </w:pPr>
                  <w:r>
                    <w:t xml:space="preserve">0.149</w:t>
                  </w:r>
                </w:p>
              </w:tc>
              <w:tc>
                <w:tcPr/>
                <w:p>
                  <w:pPr>
                    <w:pStyle w:val="Compact"/>
                    <w:jc w:val="center"/>
                    <w:jc w:val="center"/>
                  </w:pPr>
                  <w:r>
                    <w:t xml:space="preserve">30</w:t>
                  </w:r>
                </w:p>
              </w:tc>
              <w:tc>
                <w:tcPr/>
                <w:p>
                  <w:pPr>
                    <w:pStyle w:val="Compact"/>
                    <w:jc w:val="center"/>
                    <w:jc w:val="center"/>
                  </w:pPr>
                  <w:r>
                    <w:t xml:space="preserve">60</w:t>
                  </w:r>
                </w:p>
              </w:tc>
              <w:tc>
                <w:tcPr/>
                <w:p>
                  <w:pPr>
                    <w:pStyle w:val="Compact"/>
                    <w:jc w:val="center"/>
                    <w:jc w:val="center"/>
                  </w:pPr>
                  <w:r>
                    <w:t xml:space="preserve">0.701</w:t>
                  </w:r>
                </w:p>
              </w:tc>
              <w:tc>
                <w:tcPr/>
                <w:p>
                  <w:pPr>
                    <w:pStyle w:val="Compact"/>
                    <w:jc w:val="center"/>
                    <w:jc w:val="center"/>
                  </w:pPr>
                  <w:r>
                    <w:t xml:space="preserve">0.149</w:t>
                  </w:r>
                </w:p>
              </w:tc>
            </w:tr>
          </w:tbl>
          <w:bookmarkEnd w:id="28"/>
          <w:p/>
        </w:tc>
      </w:tr>
    </w:tbl>
    <w:p>
      <w:pPr>
        <w:pStyle w:val="BodyText"/>
      </w:pPr>
      <w:r>
        <w:t xml:space="preserve">En prenant en compte ce tableau, le choix d’arrêter les inclusions peut poser question : le nombre de sujets négatifs minimal nécessaire pour atteindre la précision visée par</w:t>
      </w:r>
      <w:r>
        <w:t xml:space="preserve"> </w:t>
      </w:r>
      <w:r>
        <w:t xml:space="preserve">“le pire scénario”</w:t>
      </w:r>
      <w:r>
        <w:t xml:space="preserve"> </w:t>
      </w:r>
      <w:r>
        <w:t xml:space="preserve">prévue par la méthodologiste n’est pas acquis. Il faudrait 27 cas négatifs sur un effectif total de 68 patients pour cibler une spécificité de 0.90 avec une marge de 0.149 et une prévalence de 60 %.</w:t>
      </w:r>
    </w:p>
    <w:p>
      <w:pPr>
        <w:pStyle w:val="BodyText"/>
      </w:pPr>
      <w:r>
        <w:t xml:space="preserve">Or, dans la cohorte analysée, nous avons 26 cas négatifs sur un effectif total de 71 patients, soit une prévalence de NCB de 63.4 %.</w:t>
      </w:r>
    </w:p>
    <w:p>
      <w:pPr>
        <w:pStyle w:val="BodyText"/>
      </w:pPr>
      <w:r>
        <w:t xml:space="preserve">Le nombre total de patients est suffisant, mais le nombre de patients négatifs est légèrement inférieur à ce qui était prévu pour atteindre la précision visée sur la spécificité.</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Quel impact ?</w:t>
            </w:r>
          </w:p>
        </w:tc>
      </w:tr>
      <w:tr>
        <w:trPr>
          <w:cantSplit/>
        </w:trPr>
        <w:tc>
          <w:tcPr>
            <w:tcMar>
              <w:top w:w="108" w:type="dxa"/>
              <w:bottom w:w="108" w:type="dxa"/>
            </w:tcMar>
          </w:tcPr>
          <w:p>
            <w:pPr>
              <w:pStyle w:val="Compact"/>
              <w:numPr>
                <w:ilvl w:val="0"/>
                <w:numId w:val="1004"/>
              </w:numPr>
            </w:pPr>
            <w:r>
              <w:t xml:space="preserve">Dans le scénario le plus proche du protocole :</w:t>
            </w:r>
          </w:p>
          <w:p>
            <w:pPr>
              <w:pStyle w:val="Compact"/>
              <w:numPr>
                <w:ilvl w:val="1"/>
                <w:numId w:val="1005"/>
              </w:numPr>
            </w:pPr>
            <w:r>
              <w:t xml:space="preserve">Spécificité cible : 0.90</w:t>
            </w:r>
          </w:p>
          <w:p>
            <w:pPr>
              <w:pStyle w:val="Compact"/>
              <w:numPr>
                <w:ilvl w:val="1"/>
                <w:numId w:val="1005"/>
              </w:numPr>
            </w:pPr>
            <w:r>
              <w:t xml:space="preserve">Marge de précision prévue (différence entre la spécificité cible et la borne inférieure de l’IC95%): 0.149</w:t>
            </w:r>
          </w:p>
          <w:p>
            <w:pPr>
              <w:pStyle w:val="Compact"/>
              <w:numPr>
                <w:ilvl w:val="1"/>
                <w:numId w:val="1005"/>
              </w:numPr>
            </w:pPr>
            <w:r>
              <w:t xml:space="preserve">Prévalence attendue : 60 %</w:t>
            </w:r>
          </w:p>
          <w:p>
            <w:pPr>
              <w:pStyle w:val="Compact"/>
              <w:numPr>
                <w:ilvl w:val="1"/>
                <w:numId w:val="1005"/>
              </w:numPr>
            </w:pPr>
            <w:r>
              <w:t xml:space="preserve">Effectif total requis : 68 patients</w:t>
            </w:r>
          </w:p>
          <w:p>
            <w:pPr>
              <w:pStyle w:val="Compact"/>
              <w:numPr>
                <w:ilvl w:val="1"/>
                <w:numId w:val="1005"/>
              </w:numPr>
            </w:pPr>
            <w:r>
              <w:t xml:space="preserve">Effectif négatif requis : 27 patients</w:t>
            </w:r>
          </w:p>
          <w:p>
            <w:pPr>
              <w:pStyle w:val="Compact"/>
              <w:numPr>
                <w:ilvl w:val="0"/>
                <w:numId w:val="1004"/>
              </w:numPr>
            </w:pPr>
            <w:r>
              <w:t xml:space="preserve">Dans la cohorte analysée :</w:t>
            </w:r>
          </w:p>
          <w:p>
            <w:pPr>
              <w:pStyle w:val="Compact"/>
              <w:numPr>
                <w:ilvl w:val="1"/>
                <w:numId w:val="1006"/>
              </w:numPr>
            </w:pPr>
            <w:r>
              <w:t xml:space="preserve">Effectif total : 71 patients</w:t>
            </w:r>
          </w:p>
          <w:p>
            <w:pPr>
              <w:pStyle w:val="Compact"/>
              <w:numPr>
                <w:ilvl w:val="1"/>
                <w:numId w:val="1006"/>
              </w:numPr>
            </w:pPr>
            <w:r>
              <w:t xml:space="preserve">Effectif négatif : 26 patients</w:t>
            </w:r>
          </w:p>
          <w:p>
            <w:pPr>
              <w:pStyle w:val="Compact"/>
              <w:numPr>
                <w:ilvl w:val="1"/>
                <w:numId w:val="1006"/>
              </w:numPr>
            </w:pPr>
            <w:r>
              <w:t xml:space="preserve">Prévalence observée : 63.4 %</w:t>
            </w:r>
          </w:p>
          <w:p>
            <w:pPr>
              <w:pStyle w:val="Compact"/>
              <w:numPr>
                <w:ilvl w:val="1"/>
                <w:numId w:val="1006"/>
              </w:numPr>
            </w:pPr>
            <w:r>
              <w:t xml:space="preserve">Spécificité observée pour la combinaison de tests la plus spécifique : 0.769, avec un IC95% de [0.564 ; 0.91]</w:t>
            </w:r>
          </w:p>
          <w:p>
            <w:pPr>
              <w:pStyle w:val="Compact"/>
              <w:numPr>
                <w:ilvl w:val="1"/>
                <w:numId w:val="1006"/>
              </w:numPr>
            </w:pPr>
            <w:r>
              <w:t xml:space="preserve">Marge de précision observée pour la spécificité : 0.206, donc supérieure à la marge de précision prévue de 0.149</w:t>
            </w:r>
          </w:p>
          <w:p>
            <w:r>
              <w:pict>
                <v:rect style="width:0;height:1.5pt" o:hralign="center" o:hrstd="t" o:hr="t"/>
              </w:pict>
            </w:r>
          </w:p>
          <w:p>
            <w:pPr>
              <w:pStyle w:val="FirstParagraph"/>
            </w:pPr>
            <w:r>
              <w:t xml:space="preserve">Ce que je propose : l’effectif total requis est atteint (71 patients versus 68). En revanche, le nombre de sujets négatifs n’est pas atteint (26 versus 27), en lien avec une prévalence observée de 63.4 % contre 60 % attendus. Comme l’étude vise une spécificité cible, le nombre de sujets négatifs est plus déterminant que le nombre total de sujets pour atteindre la précision visée.</w:t>
            </w:r>
          </w:p>
          <w:p>
            <w:pPr>
              <w:pStyle w:val="BodyText"/>
            </w:pPr>
            <w:pPr>
              <w:spacing w:after="16"/>
            </w:pPr>
            <w:r>
              <w:t xml:space="preserve">J’ai mis une section</w:t>
            </w:r>
            <w:r>
              <w:t xml:space="preserve"> </w:t>
            </w:r>
            <w:r>
              <w:t xml:space="preserve">“Nombre de sujets nécessaires et impact de la prévalence”</w:t>
            </w:r>
            <w:r>
              <w:t xml:space="preserve"> </w:t>
            </w:r>
            <w:r>
              <w:t xml:space="preserve">pour discuter de ça à la fin du document.</w:t>
            </w:r>
          </w:p>
          <w:p/>
        </w:tc>
      </w:tr>
    </w:tbl>
    <w:p>
      <w:r>
        <w:br w:type="page"/>
      </w:r>
    </w:p>
    <w:bookmarkEnd w:id="29"/>
    <w:bookmarkStart w:id="165" w:name="résultats"/>
    <w:p>
      <w:pPr>
        <w:pStyle w:val="Heading1"/>
      </w:pPr>
      <w:r>
        <w:t xml:space="preserve">Résultats</w:t>
      </w:r>
    </w:p>
    <w:bookmarkStart w:id="63" w:name="population-analysée"/>
    <w:p>
      <w:pPr>
        <w:pStyle w:val="Heading2"/>
      </w:pPr>
      <w:r>
        <w:t xml:space="preserve">Population analysée</w:t>
      </w:r>
    </w:p>
    <w:p>
      <w:pPr>
        <w:pStyle w:val="Compact"/>
        <w:numPr>
          <w:ilvl w:val="0"/>
          <w:numId w:val="1007"/>
        </w:numPr>
      </w:pPr>
      <w:r>
        <w:t xml:space="preserve">Variables disponibles : Âge (</w:t>
      </w:r>
      <w:r>
        <w:rPr>
          <w:rStyle w:val="VerbatimChar"/>
        </w:rPr>
        <w:t xml:space="preserve">df$Age</w:t>
      </w:r>
      <w:r>
        <w:t xml:space="preserve">), Sexe (</w:t>
      </w:r>
      <w:r>
        <w:rPr>
          <w:rStyle w:val="VerbatimChar"/>
        </w:rPr>
        <w:t xml:space="preserve">df$Sexe</w:t>
      </w:r>
      <w:r>
        <w:t xml:space="preserve">), Côté (</w:t>
      </w:r>
      <w:r>
        <w:rPr>
          <w:rStyle w:val="VerbatimChar"/>
        </w:rPr>
        <w:t xml:space="preserve">df$Cote</w:t>
      </w:r>
      <w:r>
        <w:t xml:space="preserve">), Niveau (</w:t>
      </w:r>
      <w:r>
        <w:rPr>
          <w:rStyle w:val="VerbatimChar"/>
        </w:rPr>
        <w:t xml:space="preserve">df$Niveau</w:t>
      </w:r>
      <w:r>
        <w:t xml:space="preserve">), BMI (</w:t>
      </w:r>
      <w:r>
        <w:rPr>
          <w:rStyle w:val="VerbatimChar"/>
        </w:rPr>
        <w:t xml:space="preserve">df$BMI</w:t>
      </w:r>
      <w:r>
        <w:t xml:space="preserve">), Tabac (</w:t>
      </w:r>
      <w:r>
        <w:rPr>
          <w:rStyle w:val="VerbatimChar"/>
        </w:rPr>
        <w:t xml:space="preserve">df$Tabac</w:t>
      </w:r>
      <w:r>
        <w:t xml:space="preserve">), Infiltrations (</w:t>
      </w:r>
      <w:r>
        <w:rPr>
          <w:rStyle w:val="VerbatimChar"/>
        </w:rPr>
        <w:t xml:space="preserve">df$Infiltrations</w:t>
      </w:r>
      <w:r>
        <w:t xml:space="preserve">), Résultat des infiltrations (</w:t>
      </w:r>
      <w:r>
        <w:rPr>
          <w:rStyle w:val="VerbatimChar"/>
        </w:rPr>
        <w:t xml:space="preserve">df$Resultat_Inf</w:t>
      </w:r>
      <w:r>
        <w:t xml:space="preserve">)</w:t>
      </w:r>
    </w:p>
    <w:bookmarkStart w:id="33" w:name="âge"/>
    <w:p>
      <w:pPr>
        <w:pStyle w:val="Heading3"/>
      </w:pPr>
      <w:r>
        <w:t xml:space="preserve">Âge</w:t>
      </w:r>
    </w:p>
    <w:p>
      <w:pPr>
        <w:pStyle w:val="TableCaption"/>
      </w:pPr>
      <w:r>
        <w:t xml:space="preserve">variable âge</w:t>
      </w:r>
    </w:p>
    <w:tbl>
      <w:tblPr>
        <w:tblStyle w:val="Table"/>
        <w:tblW w:type="auto" w:w="0"/>
        <w:tblLook w:firstRow="1" w:lastRow="0" w:firstColumn="0" w:lastColumn="0" w:noHBand="0" w:noVBand="0" w:val="0020"/>
        <w:tblCaption w:val="variable âge"/>
      </w:tblPr>
      <w:tblGrid>
        <w:gridCol w:w="1320"/>
        <w:gridCol w:w="1320"/>
        <w:gridCol w:w="1320"/>
        <w:gridCol w:w="1320"/>
        <w:gridCol w:w="1320"/>
        <w:gridCol w:w="1320"/>
      </w:tblGrid>
      <w:tr>
        <w:trPr>
          <w:tblHeader w:val="on"/>
        </w:trPr>
        <w:tc>
          <w:tcPr/>
          <w:p>
            <w:pPr>
              <w:pStyle w:val="Compact"/>
              <w:jc w:val="right"/>
            </w:pPr>
            <w:r>
              <w:t xml:space="preserve">Min.</w:t>
            </w:r>
          </w:p>
        </w:tc>
        <w:tc>
          <w:tcPr/>
          <w:p>
            <w:pPr>
              <w:pStyle w:val="Compact"/>
              <w:jc w:val="right"/>
            </w:pPr>
            <w:r>
              <w:t xml:space="preserve">1st Qu.</w:t>
            </w:r>
          </w:p>
        </w:tc>
        <w:tc>
          <w:tcPr/>
          <w:p>
            <w:pPr>
              <w:pStyle w:val="Compact"/>
              <w:jc w:val="right"/>
            </w:pPr>
            <w:r>
              <w:t xml:space="preserve">Median</w:t>
            </w:r>
          </w:p>
        </w:tc>
        <w:tc>
          <w:tcPr/>
          <w:p>
            <w:pPr>
              <w:pStyle w:val="Compact"/>
              <w:jc w:val="right"/>
            </w:pPr>
            <w:r>
              <w:t xml:space="preserve">Mean</w:t>
            </w:r>
          </w:p>
        </w:tc>
        <w:tc>
          <w:tcPr/>
          <w:p>
            <w:pPr>
              <w:pStyle w:val="Compact"/>
              <w:jc w:val="right"/>
            </w:pPr>
            <w:r>
              <w:t xml:space="preserve">3rd Qu.</w:t>
            </w:r>
          </w:p>
        </w:tc>
        <w:tc>
          <w:tcPr/>
          <w:p>
            <w:pPr>
              <w:pStyle w:val="Compact"/>
              <w:jc w:val="right"/>
            </w:pPr>
            <w:r>
              <w:t xml:space="preserve">Max.</w:t>
            </w:r>
          </w:p>
        </w:tc>
      </w:tr>
      <w:tr>
        <w:tc>
          <w:tcPr/>
          <w:p>
            <w:pPr>
              <w:pStyle w:val="Compact"/>
              <w:jc w:val="right"/>
            </w:pPr>
            <w:r>
              <w:t xml:space="preserve">27</w:t>
            </w:r>
          </w:p>
        </w:tc>
        <w:tc>
          <w:tcPr/>
          <w:p>
            <w:pPr>
              <w:pStyle w:val="Compact"/>
              <w:jc w:val="right"/>
            </w:pPr>
            <w:r>
              <w:t xml:space="preserve">43.5</w:t>
            </w:r>
          </w:p>
        </w:tc>
        <w:tc>
          <w:tcPr/>
          <w:p>
            <w:pPr>
              <w:pStyle w:val="Compact"/>
              <w:jc w:val="right"/>
            </w:pPr>
            <w:r>
              <w:t xml:space="preserve">51</w:t>
            </w:r>
          </w:p>
        </w:tc>
        <w:tc>
          <w:tcPr/>
          <w:p>
            <w:pPr>
              <w:pStyle w:val="Compact"/>
              <w:jc w:val="right"/>
            </w:pPr>
            <w:r>
              <w:t xml:space="preserve">51.73239</w:t>
            </w:r>
          </w:p>
        </w:tc>
        <w:tc>
          <w:tcPr/>
          <w:p>
            <w:pPr>
              <w:pStyle w:val="Compact"/>
              <w:jc w:val="right"/>
            </w:pPr>
            <w:r>
              <w:t xml:space="preserve">59</w:t>
            </w:r>
          </w:p>
        </w:tc>
        <w:tc>
          <w:tcPr/>
          <w:p>
            <w:pPr>
              <w:pStyle w:val="Compact"/>
              <w:jc w:val="right"/>
            </w:pPr>
            <w:r>
              <w:t xml:space="preserve">77</w:t>
            </w:r>
          </w:p>
        </w:tc>
      </w:tr>
    </w:tbl>
    <w:p>
      <w:pPr>
        <w:pStyle w:val="Compact"/>
        <w:numPr>
          <w:ilvl w:val="0"/>
          <w:numId w:val="1008"/>
        </w:numPr>
      </w:pPr>
      <w:r>
        <w:t xml:space="preserve">Représentation de la variable âge par histogramme avec densité et QQ-plot (le QQ plot se construit en comparant les quantiles de la variable âge à ceux d’une distribution normale théorique : si les points suivent une ligne droite, la variable suit une distribution normale).</w:t>
      </w:r>
    </w:p>
    <w:p>
      <w:pPr>
        <w:pStyle w:val="CaptionedFigure"/>
      </w:pPr>
      <w:r>
        <w:drawing>
          <wp:inline>
            <wp:extent cx="5334000" cy="2450306"/>
            <wp:effectExtent b="0" l="0" r="0" t="0"/>
            <wp:docPr descr="Distribution de l’âge" title="" id="31" name="Picture"/>
            <a:graphic>
              <a:graphicData uri="http://schemas.openxmlformats.org/drawingml/2006/picture">
                <pic:pic>
                  <pic:nvPicPr>
                    <pic:cNvPr descr="these_brieuc_last_recueil_files/figure-docx/age-distribution-1.png" id="32" name="Picture"/>
                    <pic:cNvPicPr>
                      <a:picLocks noChangeArrowheads="1" noChangeAspect="1"/>
                    </pic:cNvPicPr>
                  </pic:nvPicPr>
                  <pic:blipFill>
                    <a:blip r:embed="rId30"/>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Distribution de l’âge</w:t>
      </w:r>
    </w:p>
    <w:p>
      <w:pPr>
        <w:pStyle w:val="Compact"/>
        <w:numPr>
          <w:ilvl w:val="0"/>
          <w:numId w:val="1009"/>
        </w:numPr>
      </w:pPr>
      <w:r>
        <w:t xml:space="preserve">L’âge semble suivre une distribution approximativement normale. Les tests statistiques de normalité (type Shapiro-Wilk) ont ici un intérêt limité : avec 71 patients, ils peuvent manquer de puissance pour détecter des écarts modestes, tandis que l’inspection graphique reste plus informative.</w:t>
      </w:r>
    </w:p>
    <w:bookmarkEnd w:id="33"/>
    <w:bookmarkStart w:id="62" w:name="sexe"/>
    <w:p>
      <w:pPr>
        <w:pStyle w:val="Heading3"/>
      </w:pPr>
      <w:r>
        <w:t xml:space="preserve">Sexe</w:t>
      </w:r>
    </w:p>
    <w:p>
      <w:pPr>
        <w:pStyle w:val="CaptionedFigure"/>
      </w:pPr>
      <w:r>
        <w:drawing>
          <wp:inline>
            <wp:extent cx="5334000" cy="2450306"/>
            <wp:effectExtent b="0" l="0" r="0" t="0"/>
            <wp:docPr descr="Répartition du sexe" title="" id="35" name="Picture"/>
            <a:graphic>
              <a:graphicData uri="http://schemas.openxmlformats.org/drawingml/2006/picture">
                <pic:pic>
                  <pic:nvPicPr>
                    <pic:cNvPr descr="these_brieuc_last_recueil_files/figure-docx/sexe-distribution-1.png" id="36" name="Picture"/>
                    <pic:cNvPicPr>
                      <a:picLocks noChangeArrowheads="1" noChangeAspect="1"/>
                    </pic:cNvPicPr>
                  </pic:nvPicPr>
                  <pic:blipFill>
                    <a:blip r:embed="rId34"/>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sexe</w:t>
      </w:r>
    </w:p>
    <w:p>
      <w:pPr>
        <w:pStyle w:val="Compact"/>
        <w:numPr>
          <w:ilvl w:val="0"/>
          <w:numId w:val="1010"/>
        </w:numPr>
      </w:pPr>
      <w:r>
        <w:t xml:space="preserve">Même si le camembert est plus visuel, le diagramme en barres est plus précis pour comparer les effectifs et les proportions (car affiche les effectifs totaux).</w:t>
      </w:r>
    </w:p>
    <w:bookmarkStart w:id="40" w:name="côté"/>
    <w:p>
      <w:pPr>
        <w:pStyle w:val="Heading4"/>
      </w:pPr>
      <w:r>
        <w:t xml:space="preserve">Côté</w:t>
      </w:r>
    </w:p>
    <w:p>
      <w:pPr>
        <w:pStyle w:val="CaptionedFigure"/>
      </w:pPr>
      <w:r>
        <w:drawing>
          <wp:inline>
            <wp:extent cx="5334000" cy="2450306"/>
            <wp:effectExtent b="0" l="0" r="0" t="0"/>
            <wp:docPr descr="Répartition du côté" title="" id="38" name="Picture"/>
            <a:graphic>
              <a:graphicData uri="http://schemas.openxmlformats.org/drawingml/2006/picture">
                <pic:pic>
                  <pic:nvPicPr>
                    <pic:cNvPr descr="these_brieuc_last_recueil_files/figure-docx/côté-distribution-1.png" id="39" name="Picture"/>
                    <pic:cNvPicPr>
                      <a:picLocks noChangeArrowheads="1" noChangeAspect="1"/>
                    </pic:cNvPicPr>
                  </pic:nvPicPr>
                  <pic:blipFill>
                    <a:blip r:embed="rId37"/>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côté</w:t>
      </w:r>
    </w:p>
    <w:bookmarkEnd w:id="40"/>
    <w:bookmarkStart w:id="44" w:name="niveau"/>
    <w:p>
      <w:pPr>
        <w:pStyle w:val="Heading4"/>
      </w:pPr>
      <w:r>
        <w:t xml:space="preserve">Niveau</w:t>
      </w:r>
    </w:p>
    <w:p>
      <w:pPr>
        <w:pStyle w:val="CaptionedFigure"/>
      </w:pPr>
      <w:r>
        <w:drawing>
          <wp:inline>
            <wp:extent cx="5334000" cy="2889250"/>
            <wp:effectExtent b="0" l="0" r="0" t="0"/>
            <wp:docPr descr="Répartition du niveau" title="" id="42" name="Picture"/>
            <a:graphic>
              <a:graphicData uri="http://schemas.openxmlformats.org/drawingml/2006/picture">
                <pic:pic>
                  <pic:nvPicPr>
                    <pic:cNvPr descr="these_brieuc_last_recueil_files/figure-docx/niveau-distribution-1.png" id="43" name="Picture"/>
                    <pic:cNvPicPr>
                      <a:picLocks noChangeArrowheads="1" noChangeAspect="1"/>
                    </pic:cNvPicPr>
                  </pic:nvPicPr>
                  <pic:blipFill>
                    <a:blip r:embed="rId41"/>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Répartition du niveau</w:t>
      </w:r>
    </w:p>
    <w:bookmarkEnd w:id="44"/>
    <w:bookmarkStart w:id="48" w:name="bmi"/>
    <w:p>
      <w:pPr>
        <w:pStyle w:val="Heading4"/>
      </w:pPr>
      <w:r>
        <w:t xml:space="preserve">BMI</w:t>
      </w:r>
    </w:p>
    <w:p>
      <w:pPr>
        <w:pStyle w:val="TableCaption"/>
      </w:pPr>
      <w:r>
        <w:t xml:space="preserve">Variable BMI</w:t>
      </w:r>
    </w:p>
    <w:tbl>
      <w:tblPr>
        <w:tblStyle w:val="Table"/>
        <w:tblW w:type="auto" w:w="0"/>
        <w:tblLook w:firstRow="1" w:lastRow="0" w:firstColumn="0" w:lastColumn="0" w:noHBand="0" w:noVBand="0" w:val="0020"/>
        <w:tblCaption w:val="Variable BMI"/>
      </w:tblPr>
      <w:tblGrid>
        <w:gridCol w:w="1131"/>
        <w:gridCol w:w="1131"/>
        <w:gridCol w:w="1131"/>
        <w:gridCol w:w="1131"/>
        <w:gridCol w:w="1131"/>
        <w:gridCol w:w="1131"/>
        <w:gridCol w:w="1131"/>
      </w:tblGrid>
      <w:tr>
        <w:trPr>
          <w:tblHeader w:val="on"/>
        </w:trPr>
        <w:tc>
          <w:tcPr/>
          <w:p>
            <w:pPr>
              <w:pStyle w:val="Compact"/>
              <w:jc w:val="right"/>
            </w:pPr>
            <w:r>
              <w:t xml:space="preserve">Min.</w:t>
            </w:r>
          </w:p>
        </w:tc>
        <w:tc>
          <w:tcPr/>
          <w:p>
            <w:pPr>
              <w:pStyle w:val="Compact"/>
              <w:jc w:val="right"/>
            </w:pPr>
            <w:r>
              <w:t xml:space="preserve">1st Qu.</w:t>
            </w:r>
          </w:p>
        </w:tc>
        <w:tc>
          <w:tcPr/>
          <w:p>
            <w:pPr>
              <w:pStyle w:val="Compact"/>
              <w:jc w:val="right"/>
            </w:pPr>
            <w:r>
              <w:t xml:space="preserve">Median</w:t>
            </w:r>
          </w:p>
        </w:tc>
        <w:tc>
          <w:tcPr/>
          <w:p>
            <w:pPr>
              <w:pStyle w:val="Compact"/>
              <w:jc w:val="right"/>
            </w:pPr>
            <w:r>
              <w:t xml:space="preserve">Mean</w:t>
            </w:r>
          </w:p>
        </w:tc>
        <w:tc>
          <w:tcPr/>
          <w:p>
            <w:pPr>
              <w:pStyle w:val="Compact"/>
              <w:jc w:val="right"/>
            </w:pPr>
            <w:r>
              <w:t xml:space="preserve">3rd Qu.</w:t>
            </w:r>
          </w:p>
        </w:tc>
        <w:tc>
          <w:tcPr/>
          <w:p>
            <w:pPr>
              <w:pStyle w:val="Compact"/>
              <w:jc w:val="right"/>
            </w:pPr>
            <w:r>
              <w:t xml:space="preserve">Max.</w:t>
            </w:r>
          </w:p>
        </w:tc>
        <w:tc>
          <w:tcPr/>
          <w:p>
            <w:pPr>
              <w:pStyle w:val="Compact"/>
              <w:jc w:val="right"/>
            </w:pPr>
            <w:r>
              <w:t xml:space="preserve">NA’s</w:t>
            </w:r>
          </w:p>
        </w:tc>
      </w:tr>
      <w:tr>
        <w:tc>
          <w:tcPr/>
          <w:p>
            <w:pPr>
              <w:pStyle w:val="Compact"/>
              <w:jc w:val="right"/>
            </w:pPr>
            <w:r>
              <w:t xml:space="preserve">17</w:t>
            </w:r>
          </w:p>
        </w:tc>
        <w:tc>
          <w:tcPr/>
          <w:p>
            <w:pPr>
              <w:pStyle w:val="Compact"/>
              <w:jc w:val="right"/>
            </w:pPr>
            <w:r>
              <w:t xml:space="preserve">23</w:t>
            </w:r>
          </w:p>
        </w:tc>
        <w:tc>
          <w:tcPr/>
          <w:p>
            <w:pPr>
              <w:pStyle w:val="Compact"/>
              <w:jc w:val="right"/>
            </w:pPr>
            <w:r>
              <w:t xml:space="preserve">25</w:t>
            </w:r>
          </w:p>
        </w:tc>
        <w:tc>
          <w:tcPr/>
          <w:p>
            <w:pPr>
              <w:pStyle w:val="Compact"/>
              <w:jc w:val="right"/>
            </w:pPr>
            <w:r>
              <w:t xml:space="preserve">26.39394</w:t>
            </w:r>
          </w:p>
        </w:tc>
        <w:tc>
          <w:tcPr/>
          <w:p>
            <w:pPr>
              <w:pStyle w:val="Compact"/>
              <w:jc w:val="right"/>
            </w:pPr>
            <w:r>
              <w:t xml:space="preserve">30</w:t>
            </w:r>
          </w:p>
        </w:tc>
        <w:tc>
          <w:tcPr/>
          <w:p>
            <w:pPr>
              <w:pStyle w:val="Compact"/>
              <w:jc w:val="right"/>
            </w:pPr>
            <w:r>
              <w:t xml:space="preserve">45</w:t>
            </w:r>
          </w:p>
        </w:tc>
        <w:tc>
          <w:tcPr/>
          <w:p>
            <w:pPr>
              <w:pStyle w:val="Compact"/>
              <w:jc w:val="right"/>
            </w:pPr>
            <w:r>
              <w:t xml:space="preserve">5</w:t>
            </w:r>
          </w:p>
        </w:tc>
      </w:tr>
    </w:tbl>
    <w:p>
      <w:pPr>
        <w:pStyle w:val="Compact"/>
        <w:numPr>
          <w:ilvl w:val="0"/>
          <w:numId w:val="1011"/>
        </w:numPr>
      </w:pPr>
      <w:r>
        <w:t xml:space="preserve">Le</w:t>
      </w:r>
      <w:r>
        <w:t xml:space="preserve"> </w:t>
      </w:r>
      <w:r>
        <w:rPr>
          <w:rStyle w:val="VerbatimChar"/>
        </w:rPr>
        <w:t xml:space="preserve">BMI</w:t>
      </w:r>
      <w:r>
        <w:t xml:space="preserve"> </w:t>
      </w:r>
      <w:r>
        <w:t xml:space="preserve">est renseigné chez 66 patients sur 71.</w:t>
      </w:r>
    </w:p>
    <w:p>
      <w:pPr>
        <w:pStyle w:val="CaptionedFigure"/>
      </w:pPr>
      <w:r>
        <w:drawing>
          <wp:inline>
            <wp:extent cx="5334000" cy="2450306"/>
            <wp:effectExtent b="0" l="0" r="0" t="0"/>
            <wp:docPr descr="Distribution du BMI" title="" id="46" name="Picture"/>
            <a:graphic>
              <a:graphicData uri="http://schemas.openxmlformats.org/drawingml/2006/picture">
                <pic:pic>
                  <pic:nvPicPr>
                    <pic:cNvPr descr="these_brieuc_last_recueil_files/figure-docx/bmi-distribution-1.png" id="47" name="Picture"/>
                    <pic:cNvPicPr>
                      <a:picLocks noChangeArrowheads="1" noChangeAspect="1"/>
                    </pic:cNvPicPr>
                  </pic:nvPicPr>
                  <pic:blipFill>
                    <a:blip r:embed="rId45"/>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Distribution du BMI</w:t>
      </w:r>
    </w:p>
    <w:bookmarkEnd w:id="48"/>
    <w:bookmarkStart w:id="52" w:name="tabac"/>
    <w:p>
      <w:pPr>
        <w:pStyle w:val="Heading4"/>
      </w:pPr>
      <w:r>
        <w:t xml:space="preserve">Tabac</w:t>
      </w:r>
    </w:p>
    <w:p>
      <w:pPr>
        <w:pStyle w:val="TableCaption"/>
      </w:pPr>
      <w:r>
        <w:t xml:space="preserve">Répartition du tabac</w:t>
      </w:r>
    </w:p>
    <w:tbl>
      <w:tblPr>
        <w:tblStyle w:val="Table"/>
        <w:tblW w:type="auto" w:w="0"/>
        <w:tblLook w:firstRow="1" w:lastRow="0" w:firstColumn="0" w:lastColumn="0" w:noHBand="0" w:noVBand="0" w:val="0020"/>
        <w:tblCaption w:val="Répartition du tabac"/>
      </w:tblPr>
      <w:tblGrid>
        <w:gridCol w:w="2640"/>
        <w:gridCol w:w="2640"/>
        <w:gridCol w:w="2640"/>
      </w:tblGrid>
      <w:tr>
        <w:trPr>
          <w:tblHeader w:val="on"/>
        </w:trPr>
        <w:tc>
          <w:tcPr/>
          <w:p>
            <w:pPr>
              <w:pStyle w:val="Compact"/>
              <w:jc w:val="center"/>
            </w:pPr>
            <w:r>
              <w:t xml:space="preserve">Modalite</w:t>
            </w:r>
          </w:p>
        </w:tc>
        <w:tc>
          <w:tcPr/>
          <w:p>
            <w:pPr>
              <w:pStyle w:val="Compact"/>
              <w:jc w:val="center"/>
            </w:pPr>
            <w:r>
              <w:t xml:space="preserve">Effectif</w:t>
            </w:r>
          </w:p>
        </w:tc>
        <w:tc>
          <w:tcPr/>
          <w:p>
            <w:pPr>
              <w:pStyle w:val="Compact"/>
              <w:jc w:val="center"/>
            </w:pPr>
            <w:r>
              <w:t xml:space="preserve">Pourcentage</w:t>
            </w:r>
          </w:p>
        </w:tc>
      </w:tr>
      <w:tr>
        <w:tc>
          <w:tcPr/>
          <w:p>
            <w:pPr>
              <w:pStyle w:val="Compact"/>
              <w:jc w:val="center"/>
            </w:pPr>
            <w:r>
              <w:t xml:space="preserve">Non</w:t>
            </w:r>
          </w:p>
        </w:tc>
        <w:tc>
          <w:tcPr/>
          <w:p>
            <w:pPr>
              <w:pStyle w:val="Compact"/>
              <w:jc w:val="center"/>
            </w:pPr>
            <w:r>
              <w:t xml:space="preserve">38</w:t>
            </w:r>
          </w:p>
        </w:tc>
        <w:tc>
          <w:tcPr/>
          <w:p>
            <w:pPr>
              <w:pStyle w:val="Compact"/>
              <w:jc w:val="center"/>
            </w:pPr>
            <w:r>
              <w:t xml:space="preserve">58.5</w:t>
            </w:r>
          </w:p>
        </w:tc>
      </w:tr>
      <w:tr>
        <w:tc>
          <w:tcPr/>
          <w:p>
            <w:pPr>
              <w:pStyle w:val="Compact"/>
              <w:jc w:val="center"/>
            </w:pPr>
            <w:r>
              <w:t xml:space="preserve">Oui</w:t>
            </w:r>
          </w:p>
        </w:tc>
        <w:tc>
          <w:tcPr/>
          <w:p>
            <w:pPr>
              <w:pStyle w:val="Compact"/>
              <w:jc w:val="center"/>
            </w:pPr>
            <w:r>
              <w:t xml:space="preserve">27</w:t>
            </w:r>
          </w:p>
        </w:tc>
        <w:tc>
          <w:tcPr/>
          <w:p>
            <w:pPr>
              <w:pStyle w:val="Compact"/>
              <w:jc w:val="center"/>
            </w:pPr>
            <w:r>
              <w:t xml:space="preserve">41.5</w:t>
            </w:r>
          </w:p>
        </w:tc>
      </w:tr>
    </w:tbl>
    <w:p>
      <w:pPr>
        <w:pStyle w:val="Compact"/>
        <w:numPr>
          <w:ilvl w:val="0"/>
          <w:numId w:val="1012"/>
        </w:numPr>
      </w:pPr>
      <w:r>
        <w:t xml:space="preserve">Le statut tabagique est renseigné chez 65 patients sur 71.</w:t>
      </w:r>
    </w:p>
    <w:p>
      <w:pPr>
        <w:pStyle w:val="CaptionedFigure"/>
      </w:pPr>
      <w:r>
        <w:drawing>
          <wp:inline>
            <wp:extent cx="5334000" cy="2450306"/>
            <wp:effectExtent b="0" l="0" r="0" t="0"/>
            <wp:docPr descr="Répartition du tabac" title="" id="50" name="Picture"/>
            <a:graphic>
              <a:graphicData uri="http://schemas.openxmlformats.org/drawingml/2006/picture">
                <pic:pic>
                  <pic:nvPicPr>
                    <pic:cNvPr descr="these_brieuc_last_recueil_files/figure-docx/tabac-distribution-1.png" id="51" name="Picture"/>
                    <pic:cNvPicPr>
                      <a:picLocks noChangeArrowheads="1" noChangeAspect="1"/>
                    </pic:cNvPicPr>
                  </pic:nvPicPr>
                  <pic:blipFill>
                    <a:blip r:embed="rId49"/>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tabac</w:t>
      </w:r>
    </w:p>
    <w:bookmarkEnd w:id="52"/>
    <w:bookmarkStart w:id="56" w:name="infiltrations"/>
    <w:p>
      <w:pPr>
        <w:pStyle w:val="Heading4"/>
      </w:pPr>
      <w:r>
        <w:t xml:space="preserve">Infiltrations</w:t>
      </w:r>
    </w:p>
    <w:p>
      <w:pPr>
        <w:pStyle w:val="TableCaption"/>
      </w:pPr>
      <w:r>
        <w:t xml:space="preserve">Répartition du statut d’infiltration</w:t>
      </w:r>
    </w:p>
    <w:tbl>
      <w:tblPr>
        <w:tblStyle w:val="Table"/>
        <w:tblW w:type="auto" w:w="0"/>
        <w:tblLook w:firstRow="1" w:lastRow="0" w:firstColumn="0" w:lastColumn="0" w:noHBand="0" w:noVBand="0" w:val="0020"/>
        <w:tblCaption w:val="Répartition du statut d’infiltration"/>
      </w:tblPr>
      <w:tblGrid>
        <w:gridCol w:w="2640"/>
        <w:gridCol w:w="2640"/>
        <w:gridCol w:w="2640"/>
      </w:tblGrid>
      <w:tr>
        <w:trPr>
          <w:tblHeader w:val="on"/>
        </w:trPr>
        <w:tc>
          <w:tcPr/>
          <w:p>
            <w:pPr>
              <w:pStyle w:val="Compact"/>
              <w:jc w:val="center"/>
            </w:pPr>
            <w:r>
              <w:t xml:space="preserve">Modalite</w:t>
            </w:r>
          </w:p>
        </w:tc>
        <w:tc>
          <w:tcPr/>
          <w:p>
            <w:pPr>
              <w:pStyle w:val="Compact"/>
              <w:jc w:val="center"/>
            </w:pPr>
            <w:r>
              <w:t xml:space="preserve">Effectif</w:t>
            </w:r>
          </w:p>
        </w:tc>
        <w:tc>
          <w:tcPr/>
          <w:p>
            <w:pPr>
              <w:pStyle w:val="Compact"/>
              <w:jc w:val="center"/>
            </w:pPr>
            <w:r>
              <w:t xml:space="preserve">Pourcentage</w:t>
            </w:r>
          </w:p>
        </w:tc>
      </w:tr>
      <w:tr>
        <w:tc>
          <w:tcPr/>
          <w:p>
            <w:pPr>
              <w:pStyle w:val="Compact"/>
              <w:jc w:val="center"/>
            </w:pPr>
            <w:r>
              <w:t xml:space="preserve">Non</w:t>
            </w:r>
          </w:p>
        </w:tc>
        <w:tc>
          <w:tcPr/>
          <w:p>
            <w:pPr>
              <w:pStyle w:val="Compact"/>
              <w:jc w:val="center"/>
            </w:pPr>
            <w:r>
              <w:t xml:space="preserve">36</w:t>
            </w:r>
          </w:p>
        </w:tc>
        <w:tc>
          <w:tcPr/>
          <w:p>
            <w:pPr>
              <w:pStyle w:val="Compact"/>
              <w:jc w:val="center"/>
            </w:pPr>
            <w:r>
              <w:t xml:space="preserve">50.7</w:t>
            </w:r>
          </w:p>
        </w:tc>
      </w:tr>
      <w:tr>
        <w:tc>
          <w:tcPr/>
          <w:p>
            <w:pPr>
              <w:pStyle w:val="Compact"/>
              <w:jc w:val="center"/>
            </w:pPr>
            <w:r>
              <w:t xml:space="preserve">Oui</w:t>
            </w:r>
          </w:p>
        </w:tc>
        <w:tc>
          <w:tcPr/>
          <w:p>
            <w:pPr>
              <w:pStyle w:val="Compact"/>
              <w:jc w:val="center"/>
            </w:pPr>
            <w:r>
              <w:t xml:space="preserve">35</w:t>
            </w:r>
          </w:p>
        </w:tc>
        <w:tc>
          <w:tcPr/>
          <w:p>
            <w:pPr>
              <w:pStyle w:val="Compact"/>
              <w:jc w:val="center"/>
            </w:pPr>
            <w:r>
              <w:t xml:space="preserve">49.3</w:t>
            </w:r>
          </w:p>
        </w:tc>
      </w:tr>
    </w:tbl>
    <w:p>
      <w:pPr>
        <w:pStyle w:val="Compact"/>
        <w:numPr>
          <w:ilvl w:val="0"/>
          <w:numId w:val="1013"/>
        </w:numPr>
      </w:pPr>
      <w:r>
        <w:t xml:space="preserve">Le statut d’infiltration est interprétable chez 71 patients sur 71.</w:t>
      </w:r>
    </w:p>
    <w:p>
      <w:pPr>
        <w:pStyle w:val="CaptionedFigure"/>
      </w:pPr>
      <w:r>
        <w:drawing>
          <wp:inline>
            <wp:extent cx="5334000" cy="2450306"/>
            <wp:effectExtent b="0" l="0" r="0" t="0"/>
            <wp:docPr descr="Répartition du statut d’infiltration" title="" id="54" name="Picture"/>
            <a:graphic>
              <a:graphicData uri="http://schemas.openxmlformats.org/drawingml/2006/picture">
                <pic:pic>
                  <pic:nvPicPr>
                    <pic:cNvPr descr="these_brieuc_last_recueil_files/figure-docx/infiltrations-distribution-1.png" id="55" name="Picture"/>
                    <pic:cNvPicPr>
                      <a:picLocks noChangeArrowheads="1" noChangeAspect="1"/>
                    </pic:cNvPicPr>
                  </pic:nvPicPr>
                  <pic:blipFill>
                    <a:blip r:embed="rId53"/>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statut d’infiltration</w:t>
      </w:r>
    </w:p>
    <w:bookmarkEnd w:id="56"/>
    <w:bookmarkStart w:id="60" w:name="résultat-des-infiltrations"/>
    <w:p>
      <w:pPr>
        <w:pStyle w:val="Heading4"/>
      </w:pPr>
      <w:r>
        <w:t xml:space="preserve">Résultat des infiltrations</w:t>
      </w:r>
    </w:p>
    <w:p>
      <w:pPr>
        <w:pStyle w:val="TableCaption"/>
      </w:pPr>
      <w:r>
        <w:t xml:space="preserve">Répartition du résultat des infiltrations</w:t>
      </w:r>
    </w:p>
    <w:tbl>
      <w:tblPr>
        <w:tblStyle w:val="Table"/>
        <w:tblW w:type="auto" w:w="0"/>
        <w:tblLook w:firstRow="1" w:lastRow="0" w:firstColumn="0" w:lastColumn="0" w:noHBand="0" w:noVBand="0" w:val="0020"/>
        <w:tblCaption w:val="Répartition du résultat des infiltrations"/>
      </w:tblPr>
      <w:tblGrid>
        <w:gridCol w:w="2640"/>
        <w:gridCol w:w="2640"/>
        <w:gridCol w:w="2640"/>
      </w:tblGrid>
      <w:tr>
        <w:trPr>
          <w:tblHeader w:val="on"/>
        </w:trPr>
        <w:tc>
          <w:tcPr/>
          <w:p>
            <w:pPr>
              <w:pStyle w:val="Compact"/>
              <w:jc w:val="center"/>
            </w:pPr>
            <w:r>
              <w:t xml:space="preserve">Modalite</w:t>
            </w:r>
          </w:p>
        </w:tc>
        <w:tc>
          <w:tcPr/>
          <w:p>
            <w:pPr>
              <w:pStyle w:val="Compact"/>
              <w:jc w:val="center"/>
            </w:pPr>
            <w:r>
              <w:t xml:space="preserve">Effectif</w:t>
            </w:r>
          </w:p>
        </w:tc>
        <w:tc>
          <w:tcPr/>
          <w:p>
            <w:pPr>
              <w:pStyle w:val="Compact"/>
              <w:jc w:val="center"/>
            </w:pPr>
            <w:r>
              <w:t xml:space="preserve">Pourcentage</w:t>
            </w:r>
          </w:p>
        </w:tc>
      </w:tr>
      <w:tr>
        <w:tc>
          <w:tcPr/>
          <w:p>
            <w:pPr>
              <w:pStyle w:val="Compact"/>
              <w:jc w:val="center"/>
            </w:pPr>
            <w:r>
              <w:t xml:space="preserve">Negatif</w:t>
            </w:r>
          </w:p>
        </w:tc>
        <w:tc>
          <w:tcPr/>
          <w:p>
            <w:pPr>
              <w:pStyle w:val="Compact"/>
              <w:jc w:val="center"/>
            </w:pPr>
            <w:r>
              <w:t xml:space="preserve">8</w:t>
            </w:r>
          </w:p>
        </w:tc>
        <w:tc>
          <w:tcPr/>
          <w:p>
            <w:pPr>
              <w:pStyle w:val="Compact"/>
              <w:jc w:val="center"/>
            </w:pPr>
            <w:r>
              <w:t xml:space="preserve">22.9</w:t>
            </w:r>
          </w:p>
        </w:tc>
      </w:tr>
      <w:tr>
        <w:tc>
          <w:tcPr/>
          <w:p>
            <w:pPr>
              <w:pStyle w:val="Compact"/>
              <w:jc w:val="center"/>
            </w:pPr>
            <w:r>
              <w:t xml:space="preserve">Positif</w:t>
            </w:r>
          </w:p>
        </w:tc>
        <w:tc>
          <w:tcPr/>
          <w:p>
            <w:pPr>
              <w:pStyle w:val="Compact"/>
              <w:jc w:val="center"/>
            </w:pPr>
            <w:r>
              <w:t xml:space="preserve">27</w:t>
            </w:r>
          </w:p>
        </w:tc>
        <w:tc>
          <w:tcPr/>
          <w:p>
            <w:pPr>
              <w:pStyle w:val="Compact"/>
              <w:jc w:val="center"/>
            </w:pPr>
            <w:r>
              <w:t xml:space="preserve">77.1</w:t>
            </w:r>
          </w:p>
        </w:tc>
      </w:tr>
    </w:tbl>
    <w:p>
      <w:pPr>
        <w:pStyle w:val="Compact"/>
        <w:numPr>
          <w:ilvl w:val="0"/>
          <w:numId w:val="1014"/>
        </w:numPr>
      </w:pPr>
      <w:r>
        <w:t xml:space="preserve">Parmi les 35 patients ayant eu une infiltration, le résultat est renseigné chez 35.</w:t>
      </w:r>
    </w:p>
    <w:p>
      <w:pPr>
        <w:pStyle w:val="CaptionedFigure"/>
      </w:pPr>
      <w:r>
        <w:drawing>
          <wp:inline>
            <wp:extent cx="5334000" cy="3500437"/>
            <wp:effectExtent b="0" l="0" r="0" t="0"/>
            <wp:docPr descr="Répartition du résultat des infiltrations" title="" id="58" name="Picture"/>
            <a:graphic>
              <a:graphicData uri="http://schemas.openxmlformats.org/drawingml/2006/picture">
                <pic:pic>
                  <pic:nvPicPr>
                    <pic:cNvPr descr="these_brieuc_last_recueil_files/figure-docx/resultat-infiltrations-distribution-1.png" id="59" name="Picture"/>
                    <pic:cNvPicPr>
                      <a:picLocks noChangeArrowheads="1" noChangeAspect="1"/>
                    </pic:cNvPicPr>
                  </pic:nvPicPr>
                  <pic:blipFill>
                    <a:blip r:embed="rId57"/>
                    <a:stretch>
                      <a:fillRect/>
                    </a:stretch>
                  </pic:blipFill>
                  <pic:spPr bwMode="auto">
                    <a:xfrm>
                      <a:off x="0" y="0"/>
                      <a:ext cx="5334000" cy="3500437"/>
                    </a:xfrm>
                    <a:prstGeom prst="rect">
                      <a:avLst/>
                    </a:prstGeom>
                    <a:noFill/>
                    <a:ln w="9525">
                      <a:noFill/>
                      <a:headEnd/>
                      <a:tailEnd/>
                    </a:ln>
                  </pic:spPr>
                </pic:pic>
              </a:graphicData>
            </a:graphic>
          </wp:inline>
        </w:drawing>
      </w:r>
    </w:p>
    <w:p>
      <w:pPr>
        <w:pStyle w:val="ImageCaption"/>
      </w:pPr>
      <w:r>
        <w:t xml:space="preserve">Répartition du résultat des infiltrations</w:t>
      </w:r>
    </w:p>
    <w:p>
      <w:r>
        <w:br w:type="page"/>
      </w:r>
    </w:p>
    <w:bookmarkEnd w:id="60"/>
    <w:bookmarkStart w:id="61" w:name="tableau-de-caractéristiques-initiales"/>
    <w:p>
      <w:pPr>
        <w:pStyle w:val="Heading4"/>
      </w:pPr>
      <w:r>
        <w:t xml:space="preserve">Tableau de caractéristiques initiales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 71</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(années)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(42,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 (kg/m²)</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 (23.0, 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Masculin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Féminin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Côté</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Gauche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Droite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Niveau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Tabac actif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Infiltrations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Résultat des infiltrations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Gold Standard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ULNT1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ULNT2a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ULNT2b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ULNT3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(35%)</w:t>
            </w:r>
          </w:p>
        </w:tc>
      </w:tr>
      <w:tr>
        <w:trPr>
          <w:cantSplit/>
        </w:trPr>
        <w:tc>
          <w:tcPr>
            <w:gridSpan w:val="2"/>
          </w:tcPr>
          <w:p>
            <w:pPr>
              <w:spacing w:before="0" w:after="60"/>
              <w:keepNext/>
            </w:pPr>
            <w:r>
              <w:rPr>
                <w:vertAlign w:val="superscript"/>
                <w:i/>
                <w:rFonts w:ascii="Calibri" w:hAnsi="Calibri"/>
                <w:sz w:val="20"/>
              </w:rPr>
              <w:t xml:space="default">1</w:t>
            </w:r>
            <w:r>
              <w:rPr>
                <w:rFonts w:ascii="Calibri" w:hAnsi="Calibri"/>
                <w:sz w:val="20"/>
              </w:rPr>
              <w:t xml:space="preserve">Median (Q1, Q3); n (%)</w:t>
            </w:r>
          </w:p>
        </w:tc>
      </w:tr>
    </w:tbl>
    <w:p>
      <w:r>
        <w:br w:type="page"/>
      </w:r>
    </w:p>
    <w:bookmarkEnd w:id="61"/>
    <w:bookmarkEnd w:id="62"/>
    <w:bookmarkEnd w:id="63"/>
    <w:bookmarkStart w:id="76" w:name="performances-test-par-test"/>
    <w:p>
      <w:pPr>
        <w:pStyle w:val="Heading2"/>
      </w:pPr>
      <w:r>
        <w:t xml:space="preserve">Performances test par test</w:t>
      </w:r>
    </w:p>
    <w:p>
      <w:pPr>
        <w:numPr>
          <w:ilvl w:val="0"/>
          <w:numId w:val="1015"/>
        </w:numPr>
      </w:pPr>
      <w:r>
        <w:t xml:space="preserve">La première partie de l’analyse est centrée sur les tests cliniques de l’évaluateur 1</w:t>
      </w:r>
    </w:p>
    <w:p>
      <w:pPr>
        <w:numPr>
          <w:ilvl w:val="0"/>
          <w:numId w:val="1015"/>
        </w:numPr>
      </w:pPr>
      <w:r>
        <w:t xml:space="preserve">Elle évalue les performances</w:t>
      </w:r>
      <w:r>
        <w:t xml:space="preserve"> </w:t>
      </w:r>
      <w:r>
        <w:t xml:space="preserve">“tests par tests”</w:t>
      </w:r>
    </w:p>
    <w:p>
      <w:pPr>
        <w:numPr>
          <w:ilvl w:val="0"/>
          <w:numId w:val="1015"/>
        </w:numPr>
      </w:pPr>
      <w:r>
        <w:t xml:space="preserve">Une seconde partie aggrège résultats et graphiques pour une comparaison globale des tests</w:t>
      </w:r>
    </w:p>
    <w:bookmarkStart w:id="66" w:name="ulnt1"/>
    <w:p>
      <w:pPr>
        <w:pStyle w:val="Heading3"/>
      </w:pPr>
      <w:r>
        <w:t xml:space="preserve">ULNT1</w:t>
      </w:r>
    </w:p>
    <w:bookmarkStart w:id="64" w:name="résultats-1"/>
    <w:p>
      <w:pPr>
        <w:pStyle w:val="Heading4"/>
      </w:pPr>
      <w:r>
        <w:t xml:space="preserve">Résultats</w:t>
      </w:r>
    </w:p>
    <w:p>
      <w:pPr>
        <w:pStyle w:val="TableCaption"/>
      </w:pPr>
      <w:r>
        <w:t xml:space="preserve">Tableau descriptif des résultats de U1 (évaluateur 1)</w:t>
      </w:r>
    </w:p>
    <w:tbl>
      <w:tblPr>
        <w:tblStyle w:val="Table"/>
        <w:tblW w:type="auto" w:w="0"/>
        <w:tblLook w:firstRow="1" w:lastRow="0" w:firstColumn="0" w:lastColumn="0" w:noHBand="0" w:noVBand="0" w:val="0020"/>
        <w:tblCaption w:val="Tableau descriptif des résultats de U1 (évaluateur 1)"/>
      </w:tblPr>
      <w:tblGrid>
        <w:gridCol w:w="2640"/>
        <w:gridCol w:w="2640"/>
        <w:gridCol w:w="2640"/>
      </w:tblGrid>
      <w:tr>
        <w:trPr>
          <w:tblHeader w:val="on"/>
        </w:trPr>
        <w:tc>
          <w:tcPr/>
          <w:p>
            <w:pPr>
              <w:pStyle w:val="Compact"/>
              <w:jc w:val="center"/>
            </w:pPr>
            <w:r>
              <w:t xml:space="preserve">Test</w:t>
            </w:r>
          </w:p>
        </w:tc>
        <w:tc>
          <w:tcPr/>
          <w:p>
            <w:pPr>
              <w:pStyle w:val="Compact"/>
              <w:jc w:val="center"/>
            </w:pPr>
            <w:r>
              <w:t xml:space="preserve">Positif n (%)</w:t>
            </w:r>
          </w:p>
        </w:tc>
        <w:tc>
          <w:tcPr/>
          <w:p>
            <w:pPr>
              <w:pStyle w:val="Compact"/>
              <w:jc w:val="center"/>
            </w:pPr>
            <w:r>
              <w:t xml:space="preserve">Négatif n (%)</w:t>
            </w:r>
          </w:p>
        </w:tc>
      </w:tr>
      <w:tr>
        <w:tc>
          <w:tcPr/>
          <w:p>
            <w:pPr>
              <w:pStyle w:val="Compact"/>
              <w:jc w:val="center"/>
            </w:pPr>
            <w:r>
              <w:t xml:space="preserve">U1</w:t>
            </w:r>
          </w:p>
        </w:tc>
        <w:tc>
          <w:tcPr/>
          <w:p>
            <w:pPr>
              <w:pStyle w:val="Compact"/>
              <w:jc w:val="center"/>
            </w:pPr>
            <w:r>
              <w:t xml:space="preserve">48 (67.6%)</w:t>
            </w:r>
          </w:p>
        </w:tc>
        <w:tc>
          <w:tcPr/>
          <w:p>
            <w:pPr>
              <w:pStyle w:val="Compact"/>
              <w:jc w:val="center"/>
            </w:pPr>
            <w:r>
              <w:t xml:space="preserve">23 (32.4%)</w:t>
            </w:r>
          </w:p>
        </w:tc>
      </w:tr>
    </w:tbl>
    <w:p>
      <w:pPr>
        <w:pStyle w:val="BodyText"/>
      </w:pPr>
      <w:r>
        <w:t xml:space="preserve"> </w:t>
      </w:r>
    </w:p>
    <w:p>
      <w:pPr>
        <w:pStyle w:val="TableCaption"/>
      </w:pPr>
      <w:r>
        <w:t xml:space="preserve">Tableau de contingence de U1 par rapport au gold standard</w:t>
      </w:r>
    </w:p>
    <w:tbl>
      <w:tblPr>
        <w:tblStyle w:val="Table"/>
        <w:tblW w:type="auto" w:w="0"/>
        <w:tblLook w:firstRow="1" w:lastRow="0" w:firstColumn="0" w:lastColumn="0" w:noHBand="0" w:noVBand="0" w:val="0020"/>
        <w:tblCaption w:val="Tableau de contingence de U1 par rapport au gold standard"/>
      </w:tblPr>
      <w:tblGrid>
        <w:gridCol w:w="1980"/>
        <w:gridCol w:w="1980"/>
        <w:gridCol w:w="1980"/>
        <w:gridCol w:w="1980"/>
      </w:tblGrid>
      <w:tr>
        <w:trPr>
          <w:tblHeader w:val="on"/>
        </w:trPr>
        <w:tc>
          <w:tcPr/>
          <w:p>
            <w:pPr>
              <w:pStyle w:val="Compact"/>
              <w:jc w:val="center"/>
            </w:pPr>
            <w:r>
              <w:t xml:space="preserve">U1</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38 (53.5%)</w:t>
            </w:r>
          </w:p>
        </w:tc>
        <w:tc>
          <w:tcPr/>
          <w:p>
            <w:pPr>
              <w:pStyle w:val="Compact"/>
              <w:jc w:val="center"/>
            </w:pPr>
            <w:r>
              <w:t xml:space="preserve">10 (14.1%)</w:t>
            </w:r>
          </w:p>
        </w:tc>
        <w:tc>
          <w:tcPr/>
          <w:p>
            <w:pPr>
              <w:pStyle w:val="Compact"/>
              <w:jc w:val="center"/>
            </w:pPr>
            <w:r>
              <w:t xml:space="preserve">48 (67.6%)</w:t>
            </w:r>
          </w:p>
        </w:tc>
      </w:tr>
      <w:tr>
        <w:tc>
          <w:tcPr/>
          <w:p>
            <w:pPr>
              <w:pStyle w:val="Compact"/>
              <w:jc w:val="center"/>
            </w:pPr>
            <w:r>
              <w:t xml:space="preserve">T-</w:t>
            </w:r>
          </w:p>
        </w:tc>
        <w:tc>
          <w:tcPr/>
          <w:p>
            <w:pPr>
              <w:pStyle w:val="Compact"/>
              <w:jc w:val="center"/>
            </w:pPr>
            <w:r>
              <w:t xml:space="preserve">7 (9.9%)</w:t>
            </w:r>
          </w:p>
        </w:tc>
        <w:tc>
          <w:tcPr/>
          <w:p>
            <w:pPr>
              <w:pStyle w:val="Compact"/>
              <w:jc w:val="center"/>
            </w:pPr>
            <w:r>
              <w:t xml:space="preserve">16 (22.5%)</w:t>
            </w:r>
          </w:p>
        </w:tc>
        <w:tc>
          <w:tcPr/>
          <w:p>
            <w:pPr>
              <w:pStyle w:val="Compact"/>
              <w:jc w:val="center"/>
            </w:pPr>
            <w:r>
              <w:t xml:space="preserve">23 (32.4%)</w:t>
            </w:r>
          </w:p>
        </w:tc>
      </w:tr>
      <w:tr>
        <w:tc>
          <w:tcPr/>
          <w:p>
            <w:pPr>
              <w:pStyle w:val="Compact"/>
              <w:jc w:val="center"/>
            </w:pPr>
            <w:r>
              <w:t xml:space="preserve">Total</w:t>
            </w:r>
          </w:p>
        </w:tc>
        <w:tc>
          <w:tcPr/>
          <w:p>
            <w:pPr>
              <w:pStyle w:val="Compact"/>
              <w:jc w:val="center"/>
            </w:pPr>
            <w:r>
              <w:t xml:space="preserve">45 (63.4%)</w:t>
            </w:r>
          </w:p>
        </w:tc>
        <w:tc>
          <w:tcPr/>
          <w:p>
            <w:pPr>
              <w:pStyle w:val="Compact"/>
              <w:jc w:val="center"/>
            </w:pPr>
            <w:r>
              <w:t xml:space="preserve">26 (36.6%)</w:t>
            </w:r>
          </w:p>
        </w:tc>
        <w:tc>
          <w:tcPr/>
          <w:p>
            <w:pPr>
              <w:pStyle w:val="Compact"/>
              <w:jc w:val="center"/>
            </w:pPr>
            <w:r>
              <w:t xml:space="preserve">71 (100%)</w:t>
            </w:r>
          </w:p>
        </w:tc>
      </w:tr>
    </w:tbl>
    <w:p>
      <w:pPr>
        <w:pStyle w:val="Compact"/>
        <w:numPr>
          <w:ilvl w:val="0"/>
          <w:numId w:val="1016"/>
        </w:numPr>
      </w:pPr>
      <w:r>
        <w:t xml:space="preserve">T+/T- correspond à Test positif ou négatif, G+/G- correspond au Gold standard</w:t>
      </w:r>
    </w:p>
    <w:p>
      <w:pPr>
        <w:pStyle w:val="TableCaption"/>
      </w:pPr>
      <w:r>
        <w:t xml:space="preserve">Effectifs diagnostiques de U1 par rapport au gold standard</w:t>
      </w:r>
    </w:p>
    <w:tbl>
      <w:tblPr>
        <w:tblStyle w:val="Table"/>
        <w:tblW w:type="auto" w:w="0"/>
        <w:tblLook w:firstRow="1" w:lastRow="0" w:firstColumn="0" w:lastColumn="0" w:noHBand="0" w:noVBand="0" w:val="0020"/>
        <w:tblCaption w:val="Effectifs diagnostiques de U1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U1</w:t>
            </w:r>
          </w:p>
        </w:tc>
        <w:tc>
          <w:tcPr/>
          <w:p>
            <w:pPr>
              <w:pStyle w:val="Compact"/>
              <w:jc w:val="center"/>
            </w:pPr>
            <w:r>
              <w:t xml:space="preserve">71</w:t>
            </w:r>
          </w:p>
        </w:tc>
        <w:tc>
          <w:tcPr/>
          <w:p>
            <w:pPr>
              <w:pStyle w:val="Compact"/>
              <w:jc w:val="center"/>
            </w:pPr>
            <w:r>
              <w:t xml:space="preserve">38</w:t>
            </w:r>
          </w:p>
        </w:tc>
        <w:tc>
          <w:tcPr/>
          <w:p>
            <w:pPr>
              <w:pStyle w:val="Compact"/>
              <w:jc w:val="center"/>
            </w:pPr>
            <w:r>
              <w:t xml:space="preserve">7</w:t>
            </w:r>
          </w:p>
        </w:tc>
        <w:tc>
          <w:tcPr/>
          <w:p>
            <w:pPr>
              <w:pStyle w:val="Compact"/>
              <w:jc w:val="center"/>
            </w:pPr>
            <w:r>
              <w:t xml:space="preserve">10</w:t>
            </w:r>
          </w:p>
        </w:tc>
        <w:tc>
          <w:tcPr/>
          <w:p>
            <w:pPr>
              <w:pStyle w:val="Compact"/>
              <w:jc w:val="center"/>
            </w:pPr>
            <w:r>
              <w:t xml:space="preserve">16</w:t>
            </w:r>
          </w:p>
        </w:tc>
      </w:tr>
    </w:tbl>
    <w:p>
      <w:pPr>
        <w:pStyle w:val="BodyText"/>
      </w:pPr>
      <w:r>
        <w:t xml:space="preserve"> </w:t>
      </w:r>
    </w:p>
    <w:p>
      <w:pPr>
        <w:pStyle w:val="TableCaption"/>
      </w:pPr>
      <w:r>
        <w:t xml:space="preserve">Performances diagnostiques de U1 par rapport au gold standard</w:t>
      </w:r>
    </w:p>
    <w:tbl>
      <w:tblPr>
        <w:tblStyle w:val="Table"/>
        <w:tblW w:type="pct" w:w="5000"/>
        <w:tblLayout w:type="fixed"/>
        <w:tblLook w:firstRow="1" w:lastRow="0" w:firstColumn="0" w:lastColumn="0" w:noHBand="0" w:noVBand="0" w:val="0020"/>
        <w:tblCaption w:val="Performances diagnostiques de U1 par rapport au gold standard"/>
      </w:tblPr>
      <w:tblGrid>
        <w:gridCol w:w="344"/>
        <w:gridCol w:w="1320"/>
        <w:gridCol w:w="1320"/>
        <w:gridCol w:w="1262"/>
        <w:gridCol w:w="1320"/>
        <w:gridCol w:w="286"/>
        <w:gridCol w:w="344"/>
        <w:gridCol w:w="459"/>
        <w:gridCol w:w="1262"/>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U1</w:t>
            </w:r>
          </w:p>
        </w:tc>
        <w:tc>
          <w:tcPr/>
          <w:p>
            <w:pPr>
              <w:pStyle w:val="Compact"/>
              <w:jc w:val="center"/>
            </w:pPr>
            <w:r>
              <w:t xml:space="preserve">0.844 [0.705 ; 0.935]</w:t>
            </w:r>
          </w:p>
        </w:tc>
        <w:tc>
          <w:tcPr/>
          <w:p>
            <w:pPr>
              <w:pStyle w:val="Compact"/>
              <w:jc w:val="center"/>
            </w:pPr>
            <w:r>
              <w:t xml:space="preserve">0.615 [0.406 ; 0.798]</w:t>
            </w:r>
          </w:p>
        </w:tc>
        <w:tc>
          <w:tcPr/>
          <w:p>
            <w:pPr>
              <w:pStyle w:val="Compact"/>
              <w:jc w:val="center"/>
            </w:pPr>
            <w:r>
              <w:t xml:space="preserve">0.792 [0.65 ; 0.895]</w:t>
            </w:r>
          </w:p>
        </w:tc>
        <w:tc>
          <w:tcPr/>
          <w:p>
            <w:pPr>
              <w:pStyle w:val="Compact"/>
              <w:jc w:val="center"/>
            </w:pPr>
            <w:r>
              <w:t xml:space="preserve">0.696 [0.471 ; 0.868]</w:t>
            </w:r>
          </w:p>
        </w:tc>
        <w:tc>
          <w:tcPr/>
          <w:p>
            <w:pPr>
              <w:pStyle w:val="Compact"/>
              <w:jc w:val="center"/>
            </w:pPr>
            <w:r>
              <w:t xml:space="preserve">2.2</w:t>
            </w:r>
          </w:p>
        </w:tc>
        <w:tc>
          <w:tcPr/>
          <w:p>
            <w:pPr>
              <w:pStyle w:val="Compact"/>
              <w:jc w:val="center"/>
            </w:pPr>
            <w:r>
              <w:t xml:space="preserve">0.25</w:t>
            </w:r>
          </w:p>
        </w:tc>
        <w:tc>
          <w:tcPr/>
          <w:p>
            <w:pPr>
              <w:pStyle w:val="Compact"/>
              <w:jc w:val="center"/>
            </w:pPr>
            <w:r>
              <w:t xml:space="preserve">0.46</w:t>
            </w:r>
          </w:p>
        </w:tc>
        <w:tc>
          <w:tcPr/>
          <w:p>
            <w:pPr>
              <w:pStyle w:val="Compact"/>
              <w:jc w:val="center"/>
            </w:pPr>
            <w:r>
              <w:t xml:space="preserve">0.73 [0.621 ; 0.839]</w:t>
            </w:r>
          </w:p>
        </w:tc>
      </w:tr>
    </w:tbl>
    <w:bookmarkEnd w:id="64"/>
    <w:bookmarkStart w:id="65" w:name="interprétation"/>
    <w:p>
      <w:pPr>
        <w:pStyle w:val="Heading4"/>
      </w:pPr>
      <w:r>
        <w:t xml:space="preserve">Interprétation</w:t>
      </w:r>
    </w:p>
    <w:p>
      <w:pPr>
        <w:pStyle w:val="Compact"/>
        <w:numPr>
          <w:ilvl w:val="0"/>
          <w:numId w:val="1017"/>
        </w:numPr>
      </w:pPr>
      <w:r>
        <w:t xml:space="preserve">Lecture des résultats :</w:t>
      </w:r>
    </w:p>
    <w:p>
      <w:pPr>
        <w:pStyle w:val="Compact"/>
        <w:numPr>
          <w:ilvl w:val="1"/>
          <w:numId w:val="1018"/>
        </w:numPr>
      </w:pPr>
      <w:r>
        <w:t xml:space="preserve">Sensibilité : parmi les patients avec NCB, combien ont un test positif</w:t>
      </w:r>
    </w:p>
    <w:p>
      <w:pPr>
        <w:pStyle w:val="Compact"/>
        <w:numPr>
          <w:ilvl w:val="1"/>
          <w:numId w:val="1018"/>
        </w:numPr>
      </w:pPr>
      <w:r>
        <w:t xml:space="preserve">Spécificité : parmi les patients sans NCB, combien ont un test</w:t>
      </w:r>
    </w:p>
    <w:p>
      <w:pPr>
        <w:pStyle w:val="Compact"/>
        <w:numPr>
          <w:ilvl w:val="1"/>
          <w:numId w:val="1018"/>
        </w:numPr>
      </w:pPr>
      <w:r>
        <w:t xml:space="preserve">VPP : parmi les patients avec un test positif, combien ont une NCB</w:t>
      </w:r>
    </w:p>
    <w:p>
      <w:pPr>
        <w:pStyle w:val="Compact"/>
        <w:numPr>
          <w:ilvl w:val="1"/>
          <w:numId w:val="1018"/>
        </w:numPr>
      </w:pPr>
      <w:r>
        <w:t xml:space="preserve">VPN : parmi les patients avec un test négatif, combien n’ont pas de</w:t>
      </w:r>
    </w:p>
    <w:p>
      <w:pPr>
        <w:pStyle w:val="Compact"/>
        <w:numPr>
          <w:ilvl w:val="1"/>
          <w:numId w:val="1018"/>
        </w:numPr>
      </w:pPr>
      <w:r>
        <w:t xml:space="preserve">LR+ : combien un test positif augmente la probabilité de NCB</w:t>
      </w:r>
    </w:p>
    <w:p>
      <w:pPr>
        <w:pStyle w:val="Compact"/>
        <w:numPr>
          <w:ilvl w:val="1"/>
          <w:numId w:val="1018"/>
        </w:numPr>
      </w:pPr>
      <w:r>
        <w:t xml:space="preserve">LR- : combien un test négatif diminue la probabilité de NCB</w:t>
      </w:r>
    </w:p>
    <w:p>
      <w:pPr>
        <w:pStyle w:val="Compact"/>
        <w:numPr>
          <w:ilvl w:val="1"/>
          <w:numId w:val="1018"/>
        </w:numPr>
      </w:pPr>
      <w:r>
        <w:t xml:space="preserve">Youden : mesure globale de performance (Se + Sp - 1)</w:t>
      </w:r>
    </w:p>
    <w:p>
      <w:pPr>
        <w:pStyle w:val="Compact"/>
        <w:numPr>
          <w:ilvl w:val="1"/>
          <w:numId w:val="1018"/>
        </w:numPr>
      </w:pPr>
      <w:r>
        <w:t xml:space="preserve">AUC : mesure globale de performance (AUC de la courbe ROC). Pas vraiment un bon indicateur pour un test binaire.</w:t>
      </w:r>
    </w:p>
    <w:p>
      <w:pPr>
        <w:pStyle w:val="Compact"/>
        <w:numPr>
          <w:ilvl w:val="0"/>
          <w:numId w:val="1017"/>
        </w:numPr>
      </w:pPr>
      <w:r>
        <w:t xml:space="preserve">Interprétation :</w:t>
      </w:r>
    </w:p>
    <w:p>
      <w:pPr>
        <w:pStyle w:val="Compact"/>
        <w:numPr>
          <w:ilvl w:val="1"/>
          <w:numId w:val="1019"/>
        </w:numPr>
      </w:pPr>
      <w:r>
        <w:t xml:space="preserve">Sensibilité élevée (0.844) : repère bien les patients avec NCB</w:t>
      </w:r>
    </w:p>
    <w:p>
      <w:pPr>
        <w:pStyle w:val="Compact"/>
        <w:numPr>
          <w:ilvl w:val="1"/>
          <w:numId w:val="1019"/>
        </w:numPr>
      </w:pPr>
      <w:r>
        <w:t xml:space="preserve">LR- bas (0.25) : un test négatif rend la NCB moins probable (probabilité post-test = probabilité pré-test x LR-).</w:t>
      </w:r>
    </w:p>
    <w:p>
      <w:r>
        <w:br w:type="page"/>
      </w:r>
    </w:p>
    <w:bookmarkEnd w:id="65"/>
    <w:bookmarkEnd w:id="66"/>
    <w:bookmarkStart w:id="69" w:name="ulnt2a"/>
    <w:p>
      <w:pPr>
        <w:pStyle w:val="Heading3"/>
      </w:pPr>
      <w:r>
        <w:t xml:space="preserve">ULNT2a</w:t>
      </w:r>
    </w:p>
    <w:bookmarkStart w:id="67" w:name="résultats-2"/>
    <w:p>
      <w:pPr>
        <w:pStyle w:val="Heading4"/>
      </w:pPr>
      <w:r>
        <w:t xml:space="preserve">Résultats</w:t>
      </w:r>
    </w:p>
    <w:p>
      <w:pPr>
        <w:pStyle w:val="TableCaption"/>
      </w:pPr>
      <w:r>
        <w:t xml:space="preserve">Tableau descriptif des résultats de U2a (évaluateur 1)</w:t>
      </w:r>
    </w:p>
    <w:tbl>
      <w:tblPr>
        <w:tblStyle w:val="Table"/>
        <w:tblW w:type="auto" w:w="0"/>
        <w:tblLook w:firstRow="1" w:lastRow="0" w:firstColumn="0" w:lastColumn="0" w:noHBand="0" w:noVBand="0" w:val="0020"/>
        <w:tblCaption w:val="Tableau descriptif des résultats de U2a (évaluateur 1)"/>
      </w:tblPr>
      <w:tblGrid>
        <w:gridCol w:w="1584"/>
        <w:gridCol w:w="1584"/>
        <w:gridCol w:w="1584"/>
        <w:gridCol w:w="1584"/>
        <w:gridCol w:w="1584"/>
      </w:tblGrid>
      <w:tr>
        <w:trPr>
          <w:tblHeader w:val="on"/>
        </w:trPr>
        <w:tc>
          <w:tcPr/>
          <w:p>
            <w:pPr>
              <w:pStyle w:val="Compact"/>
              <w:jc w:val="center"/>
            </w:pPr>
            <w:r>
              <w:t xml:space="preserve">Test</w:t>
            </w:r>
          </w:p>
        </w:tc>
        <w:tc>
          <w:tcPr/>
          <w:p>
            <w:pPr>
              <w:pStyle w:val="Compact"/>
              <w:jc w:val="center"/>
            </w:pPr>
            <w:r>
              <w:t xml:space="preserve">Positifs n</w:t>
            </w:r>
          </w:p>
        </w:tc>
        <w:tc>
          <w:tcPr/>
          <w:p>
            <w:pPr>
              <w:pStyle w:val="Compact"/>
              <w:jc w:val="center"/>
            </w:pPr>
            <w:r>
              <w:t xml:space="preserve">Positifs %</w:t>
            </w:r>
          </w:p>
        </w:tc>
        <w:tc>
          <w:tcPr/>
          <w:p>
            <w:pPr>
              <w:pStyle w:val="Compact"/>
              <w:jc w:val="center"/>
            </w:pPr>
            <w:r>
              <w:t xml:space="preserve">Négatifs n</w:t>
            </w:r>
          </w:p>
        </w:tc>
        <w:tc>
          <w:tcPr/>
          <w:p>
            <w:pPr>
              <w:pStyle w:val="Compact"/>
              <w:jc w:val="center"/>
            </w:pPr>
            <w:r>
              <w:t xml:space="preserve">Négatifs %</w:t>
            </w:r>
          </w:p>
        </w:tc>
      </w:tr>
      <w:tr>
        <w:tc>
          <w:tcPr/>
          <w:p>
            <w:pPr>
              <w:pStyle w:val="Compact"/>
              <w:jc w:val="center"/>
            </w:pPr>
            <w:r>
              <w:t xml:space="preserve">U2a</w:t>
            </w:r>
          </w:p>
        </w:tc>
        <w:tc>
          <w:tcPr/>
          <w:p>
            <w:pPr>
              <w:pStyle w:val="Compact"/>
              <w:jc w:val="center"/>
            </w:pPr>
            <w:r>
              <w:t xml:space="preserve">46</w:t>
            </w:r>
          </w:p>
        </w:tc>
        <w:tc>
          <w:tcPr/>
          <w:p>
            <w:pPr>
              <w:pStyle w:val="Compact"/>
              <w:jc w:val="center"/>
            </w:pPr>
            <w:r>
              <w:t xml:space="preserve">64.8</w:t>
            </w:r>
          </w:p>
        </w:tc>
        <w:tc>
          <w:tcPr/>
          <w:p>
            <w:pPr>
              <w:pStyle w:val="Compact"/>
              <w:jc w:val="center"/>
            </w:pPr>
            <w:r>
              <w:t xml:space="preserve">25</w:t>
            </w:r>
          </w:p>
        </w:tc>
        <w:tc>
          <w:tcPr/>
          <w:p>
            <w:pPr>
              <w:pStyle w:val="Compact"/>
              <w:jc w:val="center"/>
            </w:pPr>
            <w:r>
              <w:t xml:space="preserve">35.2</w:t>
            </w:r>
          </w:p>
        </w:tc>
      </w:tr>
    </w:tbl>
    <w:p>
      <w:pPr>
        <w:pStyle w:val="BodyText"/>
      </w:pPr>
      <w:r>
        <w:t xml:space="preserve"> </w:t>
      </w:r>
    </w:p>
    <w:p>
      <w:pPr>
        <w:pStyle w:val="TableCaption"/>
      </w:pPr>
      <w:r>
        <w:t xml:space="preserve">Tableau de contingence de U2a par rapport au gold standard</w:t>
      </w:r>
    </w:p>
    <w:tbl>
      <w:tblPr>
        <w:tblStyle w:val="Table"/>
        <w:tblW w:type="auto" w:w="0"/>
        <w:tblLook w:firstRow="1" w:lastRow="0" w:firstColumn="0" w:lastColumn="0" w:noHBand="0" w:noVBand="0" w:val="0020"/>
        <w:tblCaption w:val="Tableau de contingence de U2a par rapport au gold standard"/>
      </w:tblPr>
      <w:tblGrid>
        <w:gridCol w:w="1980"/>
        <w:gridCol w:w="1980"/>
        <w:gridCol w:w="1980"/>
        <w:gridCol w:w="1980"/>
      </w:tblGrid>
      <w:tr>
        <w:trPr>
          <w:tblHeader w:val="on"/>
        </w:trPr>
        <w:tc>
          <w:tcPr/>
          <w:p>
            <w:pPr>
              <w:pStyle w:val="Compact"/>
              <w:jc w:val="center"/>
            </w:pPr>
            <w:r>
              <w:t xml:space="preserve">U2a</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35 (49.3%)</w:t>
            </w:r>
          </w:p>
        </w:tc>
        <w:tc>
          <w:tcPr/>
          <w:p>
            <w:pPr>
              <w:pStyle w:val="Compact"/>
              <w:jc w:val="center"/>
            </w:pPr>
            <w:r>
              <w:t xml:space="preserve">11 (15.5%)</w:t>
            </w:r>
          </w:p>
        </w:tc>
        <w:tc>
          <w:tcPr/>
          <w:p>
            <w:pPr>
              <w:pStyle w:val="Compact"/>
              <w:jc w:val="center"/>
            </w:pPr>
            <w:r>
              <w:t xml:space="preserve">46 (64.8%)</w:t>
            </w:r>
          </w:p>
        </w:tc>
      </w:tr>
      <w:tr>
        <w:tc>
          <w:tcPr/>
          <w:p>
            <w:pPr>
              <w:pStyle w:val="Compact"/>
              <w:jc w:val="center"/>
            </w:pPr>
            <w:r>
              <w:t xml:space="preserve">T-</w:t>
            </w:r>
          </w:p>
        </w:tc>
        <w:tc>
          <w:tcPr/>
          <w:p>
            <w:pPr>
              <w:pStyle w:val="Compact"/>
              <w:jc w:val="center"/>
            </w:pPr>
            <w:r>
              <w:t xml:space="preserve">10 (14.1%)</w:t>
            </w:r>
          </w:p>
        </w:tc>
        <w:tc>
          <w:tcPr/>
          <w:p>
            <w:pPr>
              <w:pStyle w:val="Compact"/>
              <w:jc w:val="center"/>
            </w:pPr>
            <w:r>
              <w:t xml:space="preserve">15 (21.1%)</w:t>
            </w:r>
          </w:p>
        </w:tc>
        <w:tc>
          <w:tcPr/>
          <w:p>
            <w:pPr>
              <w:pStyle w:val="Compact"/>
              <w:jc w:val="center"/>
            </w:pPr>
            <w:r>
              <w:t xml:space="preserve">25 (35.2%)</w:t>
            </w:r>
          </w:p>
        </w:tc>
      </w:tr>
      <w:tr>
        <w:tc>
          <w:tcPr/>
          <w:p>
            <w:pPr>
              <w:pStyle w:val="Compact"/>
              <w:jc w:val="center"/>
            </w:pPr>
            <w:r>
              <w:t xml:space="preserve">Total</w:t>
            </w:r>
          </w:p>
        </w:tc>
        <w:tc>
          <w:tcPr/>
          <w:p>
            <w:pPr>
              <w:pStyle w:val="Compact"/>
              <w:jc w:val="center"/>
            </w:pPr>
            <w:r>
              <w:t xml:space="preserve">45 (63.4%)</w:t>
            </w:r>
          </w:p>
        </w:tc>
        <w:tc>
          <w:tcPr/>
          <w:p>
            <w:pPr>
              <w:pStyle w:val="Compact"/>
              <w:jc w:val="center"/>
            </w:pPr>
            <w:r>
              <w:t xml:space="preserve">26 (36.6%)</w:t>
            </w:r>
          </w:p>
        </w:tc>
        <w:tc>
          <w:tcPr/>
          <w:p>
            <w:pPr>
              <w:pStyle w:val="Compact"/>
              <w:jc w:val="center"/>
            </w:pPr>
            <w:r>
              <w:t xml:space="preserve">71 (100%)</w:t>
            </w:r>
          </w:p>
        </w:tc>
      </w:tr>
    </w:tbl>
    <w:p>
      <w:pPr>
        <w:pStyle w:val="BodyText"/>
      </w:pPr>
      <w:r>
        <w:t xml:space="preserve"> </w:t>
      </w:r>
    </w:p>
    <w:p>
      <w:pPr>
        <w:pStyle w:val="TableCaption"/>
      </w:pPr>
      <w:r>
        <w:t xml:space="preserve">Effectifs diagnostiques de U2a par rapport au gold standard</w:t>
      </w:r>
    </w:p>
    <w:tbl>
      <w:tblPr>
        <w:tblStyle w:val="Table"/>
        <w:tblW w:type="auto" w:w="0"/>
        <w:tblLook w:firstRow="1" w:lastRow="0" w:firstColumn="0" w:lastColumn="0" w:noHBand="0" w:noVBand="0" w:val="0020"/>
        <w:tblCaption w:val="Effectifs diagnostiques de U2a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U2a</w:t>
            </w:r>
          </w:p>
        </w:tc>
        <w:tc>
          <w:tcPr/>
          <w:p>
            <w:pPr>
              <w:pStyle w:val="Compact"/>
              <w:jc w:val="center"/>
            </w:pPr>
            <w:r>
              <w:t xml:space="preserve">71</w:t>
            </w:r>
          </w:p>
        </w:tc>
        <w:tc>
          <w:tcPr/>
          <w:p>
            <w:pPr>
              <w:pStyle w:val="Compact"/>
              <w:jc w:val="center"/>
            </w:pPr>
            <w:r>
              <w:t xml:space="preserve">35</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15</w:t>
            </w:r>
          </w:p>
        </w:tc>
      </w:tr>
    </w:tbl>
    <w:p>
      <w:pPr>
        <w:pStyle w:val="BodyText"/>
      </w:pPr>
      <w:r>
        <w:t xml:space="preserve"> </w:t>
      </w:r>
    </w:p>
    <w:p>
      <w:pPr>
        <w:pStyle w:val="TableCaption"/>
      </w:pPr>
      <w:r>
        <w:t xml:space="preserve">Performances diagnostiques de U2a par rapport au gold standard</w:t>
      </w:r>
    </w:p>
    <w:tbl>
      <w:tblPr>
        <w:tblStyle w:val="Table"/>
        <w:tblW w:type="pct" w:w="5000"/>
        <w:tblLayout w:type="fixed"/>
        <w:tblLook w:firstRow="1" w:lastRow="0" w:firstColumn="0" w:lastColumn="0" w:noHBand="0" w:noVBand="0" w:val="0020"/>
        <w:tblCaption w:val="Performances diagnostiques de U2a par rapport au gold standard"/>
      </w:tblPr>
      <w:tblGrid>
        <w:gridCol w:w="341"/>
        <w:gridCol w:w="1310"/>
        <w:gridCol w:w="1310"/>
        <w:gridCol w:w="1310"/>
        <w:gridCol w:w="1196"/>
        <w:gridCol w:w="341"/>
        <w:gridCol w:w="341"/>
        <w:gridCol w:w="455"/>
        <w:gridCol w:w="1310"/>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U2a</w:t>
            </w:r>
          </w:p>
        </w:tc>
        <w:tc>
          <w:tcPr/>
          <w:p>
            <w:pPr>
              <w:pStyle w:val="Compact"/>
              <w:jc w:val="center"/>
            </w:pPr>
            <w:r>
              <w:t xml:space="preserve">0.778 [0.629 ; 0.888]</w:t>
            </w:r>
          </w:p>
        </w:tc>
        <w:tc>
          <w:tcPr/>
          <w:p>
            <w:pPr>
              <w:pStyle w:val="Compact"/>
              <w:jc w:val="center"/>
            </w:pPr>
            <w:r>
              <w:t xml:space="preserve">0.577 [0.369 ; 0.766]</w:t>
            </w:r>
          </w:p>
        </w:tc>
        <w:tc>
          <w:tcPr/>
          <w:p>
            <w:pPr>
              <w:pStyle w:val="Compact"/>
              <w:jc w:val="center"/>
            </w:pPr>
            <w:r>
              <w:t xml:space="preserve">0.761 [0.612 ; 0.874]</w:t>
            </w:r>
          </w:p>
        </w:tc>
        <w:tc>
          <w:tcPr/>
          <w:p>
            <w:pPr>
              <w:pStyle w:val="Compact"/>
              <w:jc w:val="center"/>
            </w:pPr>
            <w:r>
              <w:t xml:space="preserve">0.6 [0.387 ; 0.789]</w:t>
            </w:r>
          </w:p>
        </w:tc>
        <w:tc>
          <w:tcPr/>
          <w:p>
            <w:pPr>
              <w:pStyle w:val="Compact"/>
              <w:jc w:val="center"/>
            </w:pPr>
            <w:r>
              <w:t xml:space="preserve">1.84</w:t>
            </w:r>
          </w:p>
        </w:tc>
        <w:tc>
          <w:tcPr/>
          <w:p>
            <w:pPr>
              <w:pStyle w:val="Compact"/>
              <w:jc w:val="center"/>
            </w:pPr>
            <w:r>
              <w:t xml:space="preserve">0.39</w:t>
            </w:r>
          </w:p>
        </w:tc>
        <w:tc>
          <w:tcPr/>
          <w:p>
            <w:pPr>
              <w:pStyle w:val="Compact"/>
              <w:jc w:val="center"/>
            </w:pPr>
            <w:r>
              <w:t xml:space="preserve">0.355</w:t>
            </w:r>
          </w:p>
        </w:tc>
        <w:tc>
          <w:tcPr/>
          <w:p>
            <w:pPr>
              <w:pStyle w:val="Compact"/>
              <w:jc w:val="center"/>
            </w:pPr>
            <w:r>
              <w:t xml:space="preserve">0.677 [0.563 ; 0.792]</w:t>
            </w:r>
          </w:p>
        </w:tc>
      </w:tr>
    </w:tbl>
    <w:bookmarkEnd w:id="67"/>
    <w:bookmarkStart w:id="68" w:name="interprétation-1"/>
    <w:p>
      <w:pPr>
        <w:pStyle w:val="Heading4"/>
      </w:pPr>
      <w:r>
        <w:t xml:space="preserve">Interprétation</w:t>
      </w:r>
    </w:p>
    <w:p>
      <w:pPr>
        <w:numPr>
          <w:ilvl w:val="0"/>
          <w:numId w:val="1020"/>
        </w:numPr>
      </w:pPr>
      <w:r>
        <w:t xml:space="preserve">Moins sensible que U1, mais aussi moins spécifique.</w:t>
      </w:r>
    </w:p>
    <w:p>
      <w:pPr>
        <w:numPr>
          <w:ilvl w:val="0"/>
          <w:numId w:val="1020"/>
        </w:numPr>
      </w:pPr>
      <w:r>
        <w:t xml:space="preserve">En témoigne son indice de Youden plus faible que celui de U1, et son LR- moins bon que celui de U1.</w:t>
      </w:r>
    </w:p>
    <w:p>
      <w:r>
        <w:br w:type="page"/>
      </w:r>
    </w:p>
    <w:bookmarkEnd w:id="68"/>
    <w:bookmarkEnd w:id="69"/>
    <w:bookmarkStart w:id="72" w:name="ulnt2b"/>
    <w:p>
      <w:pPr>
        <w:pStyle w:val="Heading3"/>
      </w:pPr>
      <w:r>
        <w:t xml:space="preserve">ULNT2b</w:t>
      </w:r>
    </w:p>
    <w:bookmarkStart w:id="70" w:name="résultats-3"/>
    <w:p>
      <w:pPr>
        <w:pStyle w:val="Heading4"/>
      </w:pPr>
      <w:r>
        <w:t xml:space="preserve">Résultats</w:t>
      </w:r>
    </w:p>
    <w:p>
      <w:pPr>
        <w:pStyle w:val="TableCaption"/>
      </w:pPr>
      <w:r>
        <w:t xml:space="preserve">Tableau descriptif des résultats de U2b (évaluateur 1)</w:t>
      </w:r>
    </w:p>
    <w:tbl>
      <w:tblPr>
        <w:tblStyle w:val="Table"/>
        <w:tblW w:type="auto" w:w="0"/>
        <w:tblLook w:firstRow="1" w:lastRow="0" w:firstColumn="0" w:lastColumn="0" w:noHBand="0" w:noVBand="0" w:val="0020"/>
        <w:tblCaption w:val="Tableau descriptif des résultats de U2b (évaluateur 1)"/>
      </w:tblPr>
      <w:tblGrid>
        <w:gridCol w:w="1584"/>
        <w:gridCol w:w="1584"/>
        <w:gridCol w:w="1584"/>
        <w:gridCol w:w="1584"/>
        <w:gridCol w:w="1584"/>
      </w:tblGrid>
      <w:tr>
        <w:trPr>
          <w:tblHeader w:val="on"/>
        </w:trPr>
        <w:tc>
          <w:tcPr/>
          <w:p>
            <w:pPr>
              <w:pStyle w:val="Compact"/>
              <w:jc w:val="center"/>
            </w:pPr>
            <w:r>
              <w:t xml:space="preserve">Test</w:t>
            </w:r>
          </w:p>
        </w:tc>
        <w:tc>
          <w:tcPr/>
          <w:p>
            <w:pPr>
              <w:pStyle w:val="Compact"/>
              <w:jc w:val="center"/>
            </w:pPr>
            <w:r>
              <w:t xml:space="preserve">Positifs n</w:t>
            </w:r>
          </w:p>
        </w:tc>
        <w:tc>
          <w:tcPr/>
          <w:p>
            <w:pPr>
              <w:pStyle w:val="Compact"/>
              <w:jc w:val="center"/>
            </w:pPr>
            <w:r>
              <w:t xml:space="preserve">Positifs %</w:t>
            </w:r>
          </w:p>
        </w:tc>
        <w:tc>
          <w:tcPr/>
          <w:p>
            <w:pPr>
              <w:pStyle w:val="Compact"/>
              <w:jc w:val="center"/>
            </w:pPr>
            <w:r>
              <w:t xml:space="preserve">Négatifs n</w:t>
            </w:r>
          </w:p>
        </w:tc>
        <w:tc>
          <w:tcPr/>
          <w:p>
            <w:pPr>
              <w:pStyle w:val="Compact"/>
              <w:jc w:val="center"/>
            </w:pPr>
            <w:r>
              <w:t xml:space="preserve">Négatifs %</w:t>
            </w:r>
          </w:p>
        </w:tc>
      </w:tr>
      <w:tr>
        <w:tc>
          <w:tcPr/>
          <w:p>
            <w:pPr>
              <w:pStyle w:val="Compact"/>
              <w:jc w:val="center"/>
            </w:pPr>
            <w:r>
              <w:t xml:space="preserve">U2b</w:t>
            </w:r>
          </w:p>
        </w:tc>
        <w:tc>
          <w:tcPr/>
          <w:p>
            <w:pPr>
              <w:pStyle w:val="Compact"/>
              <w:jc w:val="center"/>
            </w:pPr>
            <w:r>
              <w:t xml:space="preserve">39</w:t>
            </w:r>
          </w:p>
        </w:tc>
        <w:tc>
          <w:tcPr/>
          <w:p>
            <w:pPr>
              <w:pStyle w:val="Compact"/>
              <w:jc w:val="center"/>
            </w:pPr>
            <w:r>
              <w:t xml:space="preserve">54.9</w:t>
            </w:r>
          </w:p>
        </w:tc>
        <w:tc>
          <w:tcPr/>
          <w:p>
            <w:pPr>
              <w:pStyle w:val="Compact"/>
              <w:jc w:val="center"/>
            </w:pPr>
            <w:r>
              <w:t xml:space="preserve">32</w:t>
            </w:r>
          </w:p>
        </w:tc>
        <w:tc>
          <w:tcPr/>
          <w:p>
            <w:pPr>
              <w:pStyle w:val="Compact"/>
              <w:jc w:val="center"/>
            </w:pPr>
            <w:r>
              <w:t xml:space="preserve">45.1</w:t>
            </w:r>
          </w:p>
        </w:tc>
      </w:tr>
    </w:tbl>
    <w:p>
      <w:pPr>
        <w:pStyle w:val="BodyText"/>
      </w:pPr>
      <w:r>
        <w:t xml:space="preserve"> </w:t>
      </w:r>
    </w:p>
    <w:p>
      <w:pPr>
        <w:pStyle w:val="TableCaption"/>
      </w:pPr>
      <w:r>
        <w:t xml:space="preserve">Tableau de contingence de U2b par rapport au gold standard</w:t>
      </w:r>
    </w:p>
    <w:tbl>
      <w:tblPr>
        <w:tblStyle w:val="Table"/>
        <w:tblW w:type="auto" w:w="0"/>
        <w:tblLook w:firstRow="1" w:lastRow="0" w:firstColumn="0" w:lastColumn="0" w:noHBand="0" w:noVBand="0" w:val="0020"/>
        <w:tblCaption w:val="Tableau de contingence de U2b par rapport au gold standard"/>
      </w:tblPr>
      <w:tblGrid>
        <w:gridCol w:w="1980"/>
        <w:gridCol w:w="1980"/>
        <w:gridCol w:w="1980"/>
        <w:gridCol w:w="1980"/>
      </w:tblGrid>
      <w:tr>
        <w:trPr>
          <w:tblHeader w:val="on"/>
        </w:trPr>
        <w:tc>
          <w:tcPr/>
          <w:p>
            <w:pPr>
              <w:pStyle w:val="Compact"/>
              <w:jc w:val="center"/>
            </w:pPr>
            <w:r>
              <w:t xml:space="preserve">U2b</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31 (43.7%)</w:t>
            </w:r>
          </w:p>
        </w:tc>
        <w:tc>
          <w:tcPr/>
          <w:p>
            <w:pPr>
              <w:pStyle w:val="Compact"/>
              <w:jc w:val="center"/>
            </w:pPr>
            <w:r>
              <w:t xml:space="preserve">8 (11.3%)</w:t>
            </w:r>
          </w:p>
        </w:tc>
        <w:tc>
          <w:tcPr/>
          <w:p>
            <w:pPr>
              <w:pStyle w:val="Compact"/>
              <w:jc w:val="center"/>
            </w:pPr>
            <w:r>
              <w:t xml:space="preserve">39 (54.9%)</w:t>
            </w:r>
          </w:p>
        </w:tc>
      </w:tr>
      <w:tr>
        <w:tc>
          <w:tcPr/>
          <w:p>
            <w:pPr>
              <w:pStyle w:val="Compact"/>
              <w:jc w:val="center"/>
            </w:pPr>
            <w:r>
              <w:t xml:space="preserve">T-</w:t>
            </w:r>
          </w:p>
        </w:tc>
        <w:tc>
          <w:tcPr/>
          <w:p>
            <w:pPr>
              <w:pStyle w:val="Compact"/>
              <w:jc w:val="center"/>
            </w:pPr>
            <w:r>
              <w:t xml:space="preserve">14 (19.7%)</w:t>
            </w:r>
          </w:p>
        </w:tc>
        <w:tc>
          <w:tcPr/>
          <w:p>
            <w:pPr>
              <w:pStyle w:val="Compact"/>
              <w:jc w:val="center"/>
            </w:pPr>
            <w:r>
              <w:t xml:space="preserve">18 (25.4%)</w:t>
            </w:r>
          </w:p>
        </w:tc>
        <w:tc>
          <w:tcPr/>
          <w:p>
            <w:pPr>
              <w:pStyle w:val="Compact"/>
              <w:jc w:val="center"/>
            </w:pPr>
            <w:r>
              <w:t xml:space="preserve">32 (45.1%)</w:t>
            </w:r>
          </w:p>
        </w:tc>
      </w:tr>
      <w:tr>
        <w:tc>
          <w:tcPr/>
          <w:p>
            <w:pPr>
              <w:pStyle w:val="Compact"/>
              <w:jc w:val="center"/>
            </w:pPr>
            <w:r>
              <w:t xml:space="preserve">Total</w:t>
            </w:r>
          </w:p>
        </w:tc>
        <w:tc>
          <w:tcPr/>
          <w:p>
            <w:pPr>
              <w:pStyle w:val="Compact"/>
              <w:jc w:val="center"/>
            </w:pPr>
            <w:r>
              <w:t xml:space="preserve">45 (63.4%)</w:t>
            </w:r>
          </w:p>
        </w:tc>
        <w:tc>
          <w:tcPr/>
          <w:p>
            <w:pPr>
              <w:pStyle w:val="Compact"/>
              <w:jc w:val="center"/>
            </w:pPr>
            <w:r>
              <w:t xml:space="preserve">26 (36.6%)</w:t>
            </w:r>
          </w:p>
        </w:tc>
        <w:tc>
          <w:tcPr/>
          <w:p>
            <w:pPr>
              <w:pStyle w:val="Compact"/>
              <w:jc w:val="center"/>
            </w:pPr>
            <w:r>
              <w:t xml:space="preserve">71 (100%)</w:t>
            </w:r>
          </w:p>
        </w:tc>
      </w:tr>
    </w:tbl>
    <w:p>
      <w:pPr>
        <w:pStyle w:val="BodyText"/>
      </w:pPr>
      <w:r>
        <w:t xml:space="preserve"> </w:t>
      </w:r>
    </w:p>
    <w:p>
      <w:pPr>
        <w:pStyle w:val="TableCaption"/>
      </w:pPr>
      <w:r>
        <w:t xml:space="preserve">Effectifs diagnostiques de U2b par rapport au gold standard</w:t>
      </w:r>
    </w:p>
    <w:tbl>
      <w:tblPr>
        <w:tblStyle w:val="Table"/>
        <w:tblW w:type="auto" w:w="0"/>
        <w:tblLook w:firstRow="1" w:lastRow="0" w:firstColumn="0" w:lastColumn="0" w:noHBand="0" w:noVBand="0" w:val="0020"/>
        <w:tblCaption w:val="Effectifs diagnostiques de U2b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U2b</w:t>
            </w:r>
          </w:p>
        </w:tc>
        <w:tc>
          <w:tcPr/>
          <w:p>
            <w:pPr>
              <w:pStyle w:val="Compact"/>
              <w:jc w:val="center"/>
            </w:pPr>
            <w:r>
              <w:t xml:space="preserve">71</w:t>
            </w:r>
          </w:p>
        </w:tc>
        <w:tc>
          <w:tcPr/>
          <w:p>
            <w:pPr>
              <w:pStyle w:val="Compact"/>
              <w:jc w:val="center"/>
            </w:pPr>
            <w:r>
              <w:t xml:space="preserve">31</w:t>
            </w:r>
          </w:p>
        </w:tc>
        <w:tc>
          <w:tcPr/>
          <w:p>
            <w:pPr>
              <w:pStyle w:val="Compact"/>
              <w:jc w:val="center"/>
            </w:pPr>
            <w:r>
              <w:t xml:space="preserve">14</w:t>
            </w:r>
          </w:p>
        </w:tc>
        <w:tc>
          <w:tcPr/>
          <w:p>
            <w:pPr>
              <w:pStyle w:val="Compact"/>
              <w:jc w:val="center"/>
            </w:pPr>
            <w:r>
              <w:t xml:space="preserve">8</w:t>
            </w:r>
          </w:p>
        </w:tc>
        <w:tc>
          <w:tcPr/>
          <w:p>
            <w:pPr>
              <w:pStyle w:val="Compact"/>
              <w:jc w:val="center"/>
            </w:pPr>
            <w:r>
              <w:t xml:space="preserve">18</w:t>
            </w:r>
          </w:p>
        </w:tc>
      </w:tr>
    </w:tbl>
    <w:p>
      <w:pPr>
        <w:pStyle w:val="BodyText"/>
      </w:pPr>
      <w:r>
        <w:t xml:space="preserve"> </w:t>
      </w:r>
    </w:p>
    <w:p>
      <w:pPr>
        <w:pStyle w:val="TableCaption"/>
      </w:pPr>
      <w:r>
        <w:t xml:space="preserve">Performances diagnostiques de U2b par rapport au gold standard</w:t>
      </w:r>
    </w:p>
    <w:tbl>
      <w:tblPr>
        <w:tblStyle w:val="Table"/>
        <w:tblW w:type="pct" w:w="5000"/>
        <w:tblLayout w:type="fixed"/>
        <w:tblLook w:firstRow="1" w:lastRow="0" w:firstColumn="0" w:lastColumn="0" w:noHBand="0" w:noVBand="0" w:val="0020"/>
        <w:tblCaption w:val="Performances diagnostiques de U2b par rapport au gold standard"/>
      </w:tblPr>
      <w:tblGrid>
        <w:gridCol w:w="337"/>
        <w:gridCol w:w="1291"/>
        <w:gridCol w:w="1291"/>
        <w:gridCol w:w="1291"/>
        <w:gridCol w:w="1291"/>
        <w:gridCol w:w="337"/>
        <w:gridCol w:w="337"/>
        <w:gridCol w:w="449"/>
        <w:gridCol w:w="1291"/>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U2b</w:t>
            </w:r>
          </w:p>
        </w:tc>
        <w:tc>
          <w:tcPr/>
          <w:p>
            <w:pPr>
              <w:pStyle w:val="Compact"/>
              <w:jc w:val="center"/>
            </w:pPr>
            <w:r>
              <w:t xml:space="preserve">0.689 [0.534 ; 0.818]</w:t>
            </w:r>
          </w:p>
        </w:tc>
        <w:tc>
          <w:tcPr/>
          <w:p>
            <w:pPr>
              <w:pStyle w:val="Compact"/>
              <w:jc w:val="center"/>
            </w:pPr>
            <w:r>
              <w:t xml:space="preserve">0.692 [0.482 ; 0.857]</w:t>
            </w:r>
          </w:p>
        </w:tc>
        <w:tc>
          <w:tcPr/>
          <w:p>
            <w:pPr>
              <w:pStyle w:val="Compact"/>
              <w:jc w:val="center"/>
            </w:pPr>
            <w:r>
              <w:t xml:space="preserve">0.795 [0.635 ; 0.907]</w:t>
            </w:r>
          </w:p>
        </w:tc>
        <w:tc>
          <w:tcPr/>
          <w:p>
            <w:pPr>
              <w:pStyle w:val="Compact"/>
              <w:jc w:val="center"/>
            </w:pPr>
            <w:r>
              <w:t xml:space="preserve">0.562 [0.377 ; 0.736]</w:t>
            </w:r>
          </w:p>
        </w:tc>
        <w:tc>
          <w:tcPr/>
          <w:p>
            <w:pPr>
              <w:pStyle w:val="Compact"/>
              <w:jc w:val="center"/>
            </w:pPr>
            <w:r>
              <w:t xml:space="preserve">2.24</w:t>
            </w:r>
          </w:p>
        </w:tc>
        <w:tc>
          <w:tcPr/>
          <w:p>
            <w:pPr>
              <w:pStyle w:val="Compact"/>
              <w:jc w:val="center"/>
            </w:pPr>
            <w:r>
              <w:t xml:space="preserve">0.45</w:t>
            </w:r>
          </w:p>
        </w:tc>
        <w:tc>
          <w:tcPr/>
          <w:p>
            <w:pPr>
              <w:pStyle w:val="Compact"/>
              <w:jc w:val="center"/>
            </w:pPr>
            <w:r>
              <w:t xml:space="preserve">0.381</w:t>
            </w:r>
          </w:p>
        </w:tc>
        <w:tc>
          <w:tcPr/>
          <w:p>
            <w:pPr>
              <w:pStyle w:val="Compact"/>
              <w:jc w:val="center"/>
            </w:pPr>
            <w:r>
              <w:t xml:space="preserve">0.691 [0.577 ; 0.804]</w:t>
            </w:r>
          </w:p>
        </w:tc>
      </w:tr>
    </w:tbl>
    <w:bookmarkEnd w:id="70"/>
    <w:bookmarkStart w:id="71" w:name="interprétation-2"/>
    <w:p>
      <w:pPr>
        <w:pStyle w:val="Heading4"/>
      </w:pPr>
      <w:r>
        <w:t xml:space="preserve">Interprétation</w:t>
      </w:r>
    </w:p>
    <w:p>
      <w:pPr>
        <w:pStyle w:val="Compact"/>
        <w:numPr>
          <w:ilvl w:val="0"/>
          <w:numId w:val="1021"/>
        </w:numPr>
      </w:pPr>
      <w:r>
        <w:t xml:space="preserve">Profil plus équilibrée entre sensibilité et spécificité que celui de</w:t>
      </w:r>
      <w:r>
        <w:t xml:space="preserve"> </w:t>
      </w:r>
      <w:r>
        <w:rPr>
          <w:rStyle w:val="VerbatimChar"/>
        </w:rPr>
        <w:t xml:space="preserve">U2a</w:t>
      </w:r>
      <w:r>
        <w:t xml:space="preserve">, mais il reste moins bon que</w:t>
      </w:r>
      <w:r>
        <w:t xml:space="preserve"> </w:t>
      </w:r>
      <w:r>
        <w:rPr>
          <w:rStyle w:val="VerbatimChar"/>
        </w:rPr>
        <w:t xml:space="preserve">U1</w:t>
      </w:r>
      <w:r>
        <w:t xml:space="preserve"> </w:t>
      </w:r>
      <w:r>
        <w:t xml:space="preserve">pour ne pas manquer les cas. Il est à la fois aussi moins sensible que</w:t>
      </w:r>
      <w:r>
        <w:t xml:space="preserve"> </w:t>
      </w:r>
      <w:r>
        <w:rPr>
          <w:rStyle w:val="VerbatimChar"/>
        </w:rPr>
        <w:t xml:space="preserve">U1</w:t>
      </w:r>
      <w:r>
        <w:t xml:space="preserve"> </w:t>
      </w:r>
      <w:r>
        <w:t xml:space="preserve">mais un peu plus spécifique que U1</w:t>
      </w:r>
    </w:p>
    <w:p>
      <w:r>
        <w:br w:type="page"/>
      </w:r>
    </w:p>
    <w:bookmarkEnd w:id="71"/>
    <w:bookmarkEnd w:id="72"/>
    <w:bookmarkStart w:id="75" w:name="ulnt3"/>
    <w:p>
      <w:pPr>
        <w:pStyle w:val="Heading3"/>
      </w:pPr>
      <w:r>
        <w:t xml:space="preserve">ULNT3</w:t>
      </w:r>
    </w:p>
    <w:bookmarkStart w:id="73" w:name="résultats-4"/>
    <w:p>
      <w:pPr>
        <w:pStyle w:val="Heading4"/>
      </w:pPr>
      <w:r>
        <w:t xml:space="preserve">Résultats</w:t>
      </w:r>
    </w:p>
    <w:p>
      <w:pPr>
        <w:pStyle w:val="TableCaption"/>
      </w:pPr>
      <w:r>
        <w:t xml:space="preserve">Tableau descriptif des résultats de U3 (évaluateur 1)</w:t>
      </w:r>
    </w:p>
    <w:tbl>
      <w:tblPr>
        <w:tblStyle w:val="Table"/>
        <w:tblW w:type="auto" w:w="0"/>
        <w:tblLook w:firstRow="1" w:lastRow="0" w:firstColumn="0" w:lastColumn="0" w:noHBand="0" w:noVBand="0" w:val="0020"/>
        <w:tblCaption w:val="Tableau descriptif des résultats de U3 (évaluateur 1)"/>
      </w:tblPr>
      <w:tblGrid>
        <w:gridCol w:w="1584"/>
        <w:gridCol w:w="1584"/>
        <w:gridCol w:w="1584"/>
        <w:gridCol w:w="1584"/>
        <w:gridCol w:w="1584"/>
      </w:tblGrid>
      <w:tr>
        <w:trPr>
          <w:tblHeader w:val="on"/>
        </w:trPr>
        <w:tc>
          <w:tcPr/>
          <w:p>
            <w:pPr>
              <w:pStyle w:val="Compact"/>
              <w:jc w:val="center"/>
            </w:pPr>
            <w:r>
              <w:t xml:space="preserve">Test</w:t>
            </w:r>
          </w:p>
        </w:tc>
        <w:tc>
          <w:tcPr/>
          <w:p>
            <w:pPr>
              <w:pStyle w:val="Compact"/>
              <w:jc w:val="center"/>
            </w:pPr>
            <w:r>
              <w:t xml:space="preserve">Positifs n</w:t>
            </w:r>
          </w:p>
        </w:tc>
        <w:tc>
          <w:tcPr/>
          <w:p>
            <w:pPr>
              <w:pStyle w:val="Compact"/>
              <w:jc w:val="center"/>
            </w:pPr>
            <w:r>
              <w:t xml:space="preserve">Positifs %</w:t>
            </w:r>
          </w:p>
        </w:tc>
        <w:tc>
          <w:tcPr/>
          <w:p>
            <w:pPr>
              <w:pStyle w:val="Compact"/>
              <w:jc w:val="center"/>
            </w:pPr>
            <w:r>
              <w:t xml:space="preserve">Négatifs n</w:t>
            </w:r>
          </w:p>
        </w:tc>
        <w:tc>
          <w:tcPr/>
          <w:p>
            <w:pPr>
              <w:pStyle w:val="Compact"/>
              <w:jc w:val="center"/>
            </w:pPr>
            <w:r>
              <w:t xml:space="preserve">Négatifs %</w:t>
            </w:r>
          </w:p>
        </w:tc>
      </w:tr>
      <w:tr>
        <w:tc>
          <w:tcPr/>
          <w:p>
            <w:pPr>
              <w:pStyle w:val="Compact"/>
              <w:jc w:val="center"/>
            </w:pPr>
            <w:r>
              <w:t xml:space="preserve">U3</w:t>
            </w:r>
          </w:p>
        </w:tc>
        <w:tc>
          <w:tcPr/>
          <w:p>
            <w:pPr>
              <w:pStyle w:val="Compact"/>
              <w:jc w:val="center"/>
            </w:pPr>
            <w:r>
              <w:t xml:space="preserve">25</w:t>
            </w:r>
          </w:p>
        </w:tc>
        <w:tc>
          <w:tcPr/>
          <w:p>
            <w:pPr>
              <w:pStyle w:val="Compact"/>
              <w:jc w:val="center"/>
            </w:pPr>
            <w:r>
              <w:t xml:space="preserve">35.2</w:t>
            </w:r>
          </w:p>
        </w:tc>
        <w:tc>
          <w:tcPr/>
          <w:p>
            <w:pPr>
              <w:pStyle w:val="Compact"/>
              <w:jc w:val="center"/>
            </w:pPr>
            <w:r>
              <w:t xml:space="preserve">46</w:t>
            </w:r>
          </w:p>
        </w:tc>
        <w:tc>
          <w:tcPr/>
          <w:p>
            <w:pPr>
              <w:pStyle w:val="Compact"/>
              <w:jc w:val="center"/>
            </w:pPr>
            <w:r>
              <w:t xml:space="preserve">64.8</w:t>
            </w:r>
          </w:p>
        </w:tc>
      </w:tr>
    </w:tbl>
    <w:p>
      <w:pPr>
        <w:pStyle w:val="BodyText"/>
      </w:pPr>
      <w:r>
        <w:t xml:space="preserve"> </w:t>
      </w:r>
    </w:p>
    <w:p>
      <w:pPr>
        <w:pStyle w:val="TableCaption"/>
      </w:pPr>
      <w:r>
        <w:t xml:space="preserve">Tableau de contingence de U3 par rapport au gold standard</w:t>
      </w:r>
    </w:p>
    <w:tbl>
      <w:tblPr>
        <w:tblStyle w:val="Table"/>
        <w:tblW w:type="auto" w:w="0"/>
        <w:tblLook w:firstRow="1" w:lastRow="0" w:firstColumn="0" w:lastColumn="0" w:noHBand="0" w:noVBand="0" w:val="0020"/>
        <w:tblCaption w:val="Tableau de contingence de U3 par rapport au gold standard"/>
      </w:tblPr>
      <w:tblGrid>
        <w:gridCol w:w="1980"/>
        <w:gridCol w:w="1980"/>
        <w:gridCol w:w="1980"/>
        <w:gridCol w:w="1980"/>
      </w:tblGrid>
      <w:tr>
        <w:trPr>
          <w:tblHeader w:val="on"/>
        </w:trPr>
        <w:tc>
          <w:tcPr/>
          <w:p>
            <w:pPr>
              <w:pStyle w:val="Compact"/>
              <w:jc w:val="center"/>
            </w:pPr>
            <w:r>
              <w:t xml:space="preserve">U3</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17 (23.9%)</w:t>
            </w:r>
          </w:p>
        </w:tc>
        <w:tc>
          <w:tcPr/>
          <w:p>
            <w:pPr>
              <w:pStyle w:val="Compact"/>
              <w:jc w:val="center"/>
            </w:pPr>
            <w:r>
              <w:t xml:space="preserve">8 (11.3%)</w:t>
            </w:r>
          </w:p>
        </w:tc>
        <w:tc>
          <w:tcPr/>
          <w:p>
            <w:pPr>
              <w:pStyle w:val="Compact"/>
              <w:jc w:val="center"/>
            </w:pPr>
            <w:r>
              <w:t xml:space="preserve">25 (35.2%)</w:t>
            </w:r>
          </w:p>
        </w:tc>
      </w:tr>
      <w:tr>
        <w:tc>
          <w:tcPr/>
          <w:p>
            <w:pPr>
              <w:pStyle w:val="Compact"/>
              <w:jc w:val="center"/>
            </w:pPr>
            <w:r>
              <w:t xml:space="preserve">T-</w:t>
            </w:r>
          </w:p>
        </w:tc>
        <w:tc>
          <w:tcPr/>
          <w:p>
            <w:pPr>
              <w:pStyle w:val="Compact"/>
              <w:jc w:val="center"/>
            </w:pPr>
            <w:r>
              <w:t xml:space="preserve">28 (39.4%)</w:t>
            </w:r>
          </w:p>
        </w:tc>
        <w:tc>
          <w:tcPr/>
          <w:p>
            <w:pPr>
              <w:pStyle w:val="Compact"/>
              <w:jc w:val="center"/>
            </w:pPr>
            <w:r>
              <w:t xml:space="preserve">18 (25.4%)</w:t>
            </w:r>
          </w:p>
        </w:tc>
        <w:tc>
          <w:tcPr/>
          <w:p>
            <w:pPr>
              <w:pStyle w:val="Compact"/>
              <w:jc w:val="center"/>
            </w:pPr>
            <w:r>
              <w:t xml:space="preserve">46 (64.8%)</w:t>
            </w:r>
          </w:p>
        </w:tc>
      </w:tr>
      <w:tr>
        <w:tc>
          <w:tcPr/>
          <w:p>
            <w:pPr>
              <w:pStyle w:val="Compact"/>
              <w:jc w:val="center"/>
            </w:pPr>
            <w:r>
              <w:t xml:space="preserve">Total</w:t>
            </w:r>
          </w:p>
        </w:tc>
        <w:tc>
          <w:tcPr/>
          <w:p>
            <w:pPr>
              <w:pStyle w:val="Compact"/>
              <w:jc w:val="center"/>
            </w:pPr>
            <w:r>
              <w:t xml:space="preserve">45 (63.4%)</w:t>
            </w:r>
          </w:p>
        </w:tc>
        <w:tc>
          <w:tcPr/>
          <w:p>
            <w:pPr>
              <w:pStyle w:val="Compact"/>
              <w:jc w:val="center"/>
            </w:pPr>
            <w:r>
              <w:t xml:space="preserve">26 (36.6%)</w:t>
            </w:r>
          </w:p>
        </w:tc>
        <w:tc>
          <w:tcPr/>
          <w:p>
            <w:pPr>
              <w:pStyle w:val="Compact"/>
              <w:jc w:val="center"/>
            </w:pPr>
            <w:r>
              <w:t xml:space="preserve">71 (100%)</w:t>
            </w:r>
          </w:p>
        </w:tc>
      </w:tr>
    </w:tbl>
    <w:p>
      <w:pPr>
        <w:pStyle w:val="BodyText"/>
      </w:pPr>
      <w:r>
        <w:t xml:space="preserve"> </w:t>
      </w:r>
    </w:p>
    <w:p>
      <w:pPr>
        <w:pStyle w:val="TableCaption"/>
      </w:pPr>
      <w:r>
        <w:t xml:space="preserve">Effectifs diagnostiques de U3 par rapport au gold standard</w:t>
      </w:r>
    </w:p>
    <w:tbl>
      <w:tblPr>
        <w:tblStyle w:val="Table"/>
        <w:tblW w:type="auto" w:w="0"/>
        <w:tblLook w:firstRow="1" w:lastRow="0" w:firstColumn="0" w:lastColumn="0" w:noHBand="0" w:noVBand="0" w:val="0020"/>
        <w:tblCaption w:val="Effectifs diagnostiques de U3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U3</w:t>
            </w:r>
          </w:p>
        </w:tc>
        <w:tc>
          <w:tcPr/>
          <w:p>
            <w:pPr>
              <w:pStyle w:val="Compact"/>
              <w:jc w:val="center"/>
            </w:pPr>
            <w:r>
              <w:t xml:space="preserve">71</w:t>
            </w:r>
          </w:p>
        </w:tc>
        <w:tc>
          <w:tcPr/>
          <w:p>
            <w:pPr>
              <w:pStyle w:val="Compact"/>
              <w:jc w:val="center"/>
            </w:pPr>
            <w:r>
              <w:t xml:space="preserve">17</w:t>
            </w:r>
          </w:p>
        </w:tc>
        <w:tc>
          <w:tcPr/>
          <w:p>
            <w:pPr>
              <w:pStyle w:val="Compact"/>
              <w:jc w:val="center"/>
            </w:pPr>
            <w:r>
              <w:t xml:space="preserve">28</w:t>
            </w:r>
          </w:p>
        </w:tc>
        <w:tc>
          <w:tcPr/>
          <w:p>
            <w:pPr>
              <w:pStyle w:val="Compact"/>
              <w:jc w:val="center"/>
            </w:pPr>
            <w:r>
              <w:t xml:space="preserve">8</w:t>
            </w:r>
          </w:p>
        </w:tc>
        <w:tc>
          <w:tcPr/>
          <w:p>
            <w:pPr>
              <w:pStyle w:val="Compact"/>
              <w:jc w:val="center"/>
            </w:pPr>
            <w:r>
              <w:t xml:space="preserve">18</w:t>
            </w:r>
          </w:p>
        </w:tc>
      </w:tr>
    </w:tbl>
    <w:p>
      <w:pPr>
        <w:pStyle w:val="BodyText"/>
      </w:pPr>
      <w:r>
        <w:t xml:space="preserve"> </w:t>
      </w:r>
    </w:p>
    <w:p>
      <w:pPr>
        <w:pStyle w:val="TableCaption"/>
      </w:pPr>
      <w:r>
        <w:t xml:space="preserve">Performances diagnostiques de U3 par rapport au gold standard</w:t>
      </w:r>
    </w:p>
    <w:tbl>
      <w:tblPr>
        <w:tblStyle w:val="Table"/>
        <w:tblW w:type="pct" w:w="5000"/>
        <w:tblLayout w:type="fixed"/>
        <w:tblLook w:firstRow="1" w:lastRow="0" w:firstColumn="0" w:lastColumn="0" w:noHBand="0" w:noVBand="0" w:val="0020"/>
        <w:tblCaption w:val="Performances diagnostiques de U3 par rapport au gold standard"/>
      </w:tblPr>
      <w:tblGrid>
        <w:gridCol w:w="346"/>
        <w:gridCol w:w="1329"/>
        <w:gridCol w:w="1329"/>
        <w:gridCol w:w="1271"/>
        <w:gridCol w:w="1329"/>
        <w:gridCol w:w="346"/>
        <w:gridCol w:w="289"/>
        <w:gridCol w:w="462"/>
        <w:gridCol w:w="1214"/>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U3</w:t>
            </w:r>
          </w:p>
        </w:tc>
        <w:tc>
          <w:tcPr/>
          <w:p>
            <w:pPr>
              <w:pStyle w:val="Compact"/>
              <w:jc w:val="center"/>
            </w:pPr>
            <w:r>
              <w:t xml:space="preserve">0.378 [0.238 ; 0.535]</w:t>
            </w:r>
          </w:p>
        </w:tc>
        <w:tc>
          <w:tcPr/>
          <w:p>
            <w:pPr>
              <w:pStyle w:val="Compact"/>
              <w:jc w:val="center"/>
            </w:pPr>
            <w:r>
              <w:t xml:space="preserve">0.692 [0.482 ; 0.857]</w:t>
            </w:r>
          </w:p>
        </w:tc>
        <w:tc>
          <w:tcPr/>
          <w:p>
            <w:pPr>
              <w:pStyle w:val="Compact"/>
              <w:jc w:val="center"/>
            </w:pPr>
            <w:r>
              <w:t xml:space="preserve">0.68 [0.465 ; 0.851]</w:t>
            </w:r>
          </w:p>
        </w:tc>
        <w:tc>
          <w:tcPr/>
          <w:p>
            <w:pPr>
              <w:pStyle w:val="Compact"/>
              <w:jc w:val="center"/>
            </w:pPr>
            <w:r>
              <w:t xml:space="preserve">0.391 [0.251 ; 0.546]</w:t>
            </w:r>
          </w:p>
        </w:tc>
        <w:tc>
          <w:tcPr/>
          <w:p>
            <w:pPr>
              <w:pStyle w:val="Compact"/>
              <w:jc w:val="center"/>
            </w:pPr>
            <w:r>
              <w:t xml:space="preserve">1.23</w:t>
            </w:r>
          </w:p>
        </w:tc>
        <w:tc>
          <w:tcPr/>
          <w:p>
            <w:pPr>
              <w:pStyle w:val="Compact"/>
              <w:jc w:val="center"/>
            </w:pPr>
            <w:r>
              <w:t xml:space="preserve">0.9</w:t>
            </w:r>
          </w:p>
        </w:tc>
        <w:tc>
          <w:tcPr/>
          <w:p>
            <w:pPr>
              <w:pStyle w:val="Compact"/>
              <w:jc w:val="center"/>
            </w:pPr>
            <w:r>
              <w:t xml:space="preserve">0.07</w:t>
            </w:r>
          </w:p>
        </w:tc>
        <w:tc>
          <w:tcPr/>
          <w:p>
            <w:pPr>
              <w:pStyle w:val="Compact"/>
              <w:jc w:val="center"/>
            </w:pPr>
            <w:r>
              <w:t xml:space="preserve">0.535 [0.42 ; 0.65]</w:t>
            </w:r>
          </w:p>
        </w:tc>
      </w:tr>
    </w:tbl>
    <w:bookmarkEnd w:id="73"/>
    <w:bookmarkStart w:id="74" w:name="interprétation-3"/>
    <w:p>
      <w:pPr>
        <w:pStyle w:val="Heading4"/>
      </w:pPr>
      <w:r>
        <w:t xml:space="preserve">Interprétation</w:t>
      </w:r>
    </w:p>
    <w:p>
      <w:pPr>
        <w:pStyle w:val="Compact"/>
        <w:numPr>
          <w:ilvl w:val="0"/>
          <w:numId w:val="1022"/>
        </w:numPr>
      </w:pPr>
      <w:r>
        <w:t xml:space="preserve">Le moins sensible de tous (Se = 0.378) ; sa spécificité est parmi les plus élevées (Sp = 0.692), à égalité avec U2b et U3.</w:t>
      </w:r>
    </w:p>
    <w:p>
      <w:pPr>
        <w:pStyle w:val="Compact"/>
        <w:numPr>
          <w:ilvl w:val="0"/>
          <w:numId w:val="1022"/>
        </w:numPr>
      </w:pPr>
      <w:r>
        <w:t xml:space="preserve">Faible intérêt isolé étant donné son manque de sensibilité</w:t>
      </w:r>
    </w:p>
    <w:p>
      <w:r>
        <w:br w:type="page"/>
      </w:r>
    </w:p>
    <w:bookmarkEnd w:id="74"/>
    <w:bookmarkEnd w:id="75"/>
    <w:bookmarkEnd w:id="76"/>
    <w:bookmarkStart w:id="86" w:name="synthèse-globale-des-tests"/>
    <w:p>
      <w:pPr>
        <w:pStyle w:val="Heading2"/>
      </w:pPr>
      <w:r>
        <w:t xml:space="preserve">Synthèse globale des tests</w:t>
      </w:r>
    </w:p>
    <w:p>
      <w:pPr>
        <w:pStyle w:val="TableCaption"/>
      </w:pPr>
      <w:r>
        <w:t xml:space="preserve">Tableau global de contingence des ULNT par rapport au gold standard</w:t>
      </w:r>
    </w:p>
    <w:tbl>
      <w:tblPr>
        <w:tblStyle w:val="Table"/>
        <w:tblW w:type="auto" w:w="0"/>
        <w:tblLook w:firstRow="1" w:lastRow="0" w:firstColumn="0" w:lastColumn="0" w:noHBand="0" w:noVBand="0" w:val="0020"/>
        <w:tblCaption w:val="Tableau global de contingence des ULNT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c>
          <w:tcPr/>
          <w:p>
            <w:pPr>
              <w:pStyle w:val="Compact"/>
              <w:jc w:val="center"/>
            </w:pPr>
            <w:r>
              <w:t xml:space="preserve">N</w:t>
            </w:r>
          </w:p>
        </w:tc>
      </w:tr>
      <w:tr>
        <w:tc>
          <w:tcPr/>
          <w:p>
            <w:pPr>
              <w:pStyle w:val="Compact"/>
              <w:jc w:val="center"/>
            </w:pPr>
            <w:r>
              <w:t xml:space="preserve">U1</w:t>
            </w:r>
          </w:p>
        </w:tc>
        <w:tc>
          <w:tcPr/>
          <w:p>
            <w:pPr>
              <w:pStyle w:val="Compact"/>
              <w:jc w:val="center"/>
            </w:pPr>
            <w:r>
              <w:t xml:space="preserve">38</w:t>
            </w:r>
          </w:p>
        </w:tc>
        <w:tc>
          <w:tcPr/>
          <w:p>
            <w:pPr>
              <w:pStyle w:val="Compact"/>
              <w:jc w:val="center"/>
            </w:pPr>
            <w:r>
              <w:t xml:space="preserve">7</w:t>
            </w:r>
          </w:p>
        </w:tc>
        <w:tc>
          <w:tcPr/>
          <w:p>
            <w:pPr>
              <w:pStyle w:val="Compact"/>
              <w:jc w:val="center"/>
            </w:pPr>
            <w:r>
              <w:t xml:space="preserve">10</w:t>
            </w:r>
          </w:p>
        </w:tc>
        <w:tc>
          <w:tcPr/>
          <w:p>
            <w:pPr>
              <w:pStyle w:val="Compact"/>
              <w:jc w:val="center"/>
            </w:pPr>
            <w:r>
              <w:t xml:space="preserve">16</w:t>
            </w:r>
          </w:p>
        </w:tc>
        <w:tc>
          <w:tcPr/>
          <w:p>
            <w:pPr>
              <w:pStyle w:val="Compact"/>
              <w:jc w:val="center"/>
            </w:pPr>
            <w:r>
              <w:t xml:space="preserve">71</w:t>
            </w:r>
          </w:p>
        </w:tc>
      </w:tr>
      <w:tr>
        <w:tc>
          <w:tcPr/>
          <w:p>
            <w:pPr>
              <w:pStyle w:val="Compact"/>
              <w:jc w:val="center"/>
            </w:pPr>
            <w:r>
              <w:t xml:space="preserve">U2a</w:t>
            </w:r>
          </w:p>
        </w:tc>
        <w:tc>
          <w:tcPr/>
          <w:p>
            <w:pPr>
              <w:pStyle w:val="Compact"/>
              <w:jc w:val="center"/>
            </w:pPr>
            <w:r>
              <w:t xml:space="preserve">35</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15</w:t>
            </w:r>
          </w:p>
        </w:tc>
        <w:tc>
          <w:tcPr/>
          <w:p>
            <w:pPr>
              <w:pStyle w:val="Compact"/>
              <w:jc w:val="center"/>
            </w:pPr>
            <w:r>
              <w:t xml:space="preserve">71</w:t>
            </w:r>
          </w:p>
        </w:tc>
      </w:tr>
      <w:tr>
        <w:tc>
          <w:tcPr/>
          <w:p>
            <w:pPr>
              <w:pStyle w:val="Compact"/>
              <w:jc w:val="center"/>
            </w:pPr>
            <w:r>
              <w:t xml:space="preserve">U2b</w:t>
            </w:r>
          </w:p>
        </w:tc>
        <w:tc>
          <w:tcPr/>
          <w:p>
            <w:pPr>
              <w:pStyle w:val="Compact"/>
              <w:jc w:val="center"/>
            </w:pPr>
            <w:r>
              <w:t xml:space="preserve">31</w:t>
            </w:r>
          </w:p>
        </w:tc>
        <w:tc>
          <w:tcPr/>
          <w:p>
            <w:pPr>
              <w:pStyle w:val="Compact"/>
              <w:jc w:val="center"/>
            </w:pPr>
            <w:r>
              <w:t xml:space="preserve">14</w:t>
            </w:r>
          </w:p>
        </w:tc>
        <w:tc>
          <w:tcPr/>
          <w:p>
            <w:pPr>
              <w:pStyle w:val="Compact"/>
              <w:jc w:val="center"/>
            </w:pPr>
            <w:r>
              <w:t xml:space="preserve">8</w:t>
            </w:r>
          </w:p>
        </w:tc>
        <w:tc>
          <w:tcPr/>
          <w:p>
            <w:pPr>
              <w:pStyle w:val="Compact"/>
              <w:jc w:val="center"/>
            </w:pPr>
            <w:r>
              <w:t xml:space="preserve">18</w:t>
            </w:r>
          </w:p>
        </w:tc>
        <w:tc>
          <w:tcPr/>
          <w:p>
            <w:pPr>
              <w:pStyle w:val="Compact"/>
              <w:jc w:val="center"/>
            </w:pPr>
            <w:r>
              <w:t xml:space="preserve">71</w:t>
            </w:r>
          </w:p>
        </w:tc>
      </w:tr>
      <w:tr>
        <w:tc>
          <w:tcPr/>
          <w:p>
            <w:pPr>
              <w:pStyle w:val="Compact"/>
              <w:jc w:val="center"/>
            </w:pPr>
            <w:r>
              <w:t xml:space="preserve">U3</w:t>
            </w:r>
          </w:p>
        </w:tc>
        <w:tc>
          <w:tcPr/>
          <w:p>
            <w:pPr>
              <w:pStyle w:val="Compact"/>
              <w:jc w:val="center"/>
            </w:pPr>
            <w:r>
              <w:t xml:space="preserve">17</w:t>
            </w:r>
          </w:p>
        </w:tc>
        <w:tc>
          <w:tcPr/>
          <w:p>
            <w:pPr>
              <w:pStyle w:val="Compact"/>
              <w:jc w:val="center"/>
            </w:pPr>
            <w:r>
              <w:t xml:space="preserve">28</w:t>
            </w:r>
          </w:p>
        </w:tc>
        <w:tc>
          <w:tcPr/>
          <w:p>
            <w:pPr>
              <w:pStyle w:val="Compact"/>
              <w:jc w:val="center"/>
            </w:pPr>
            <w:r>
              <w:t xml:space="preserve">8</w:t>
            </w:r>
          </w:p>
        </w:tc>
        <w:tc>
          <w:tcPr/>
          <w:p>
            <w:pPr>
              <w:pStyle w:val="Compact"/>
              <w:jc w:val="center"/>
            </w:pPr>
            <w:r>
              <w:t xml:space="preserve">18</w:t>
            </w:r>
          </w:p>
        </w:tc>
        <w:tc>
          <w:tcPr/>
          <w:p>
            <w:pPr>
              <w:pStyle w:val="Compact"/>
              <w:jc w:val="center"/>
            </w:pPr>
            <w:r>
              <w:t xml:space="preserve">71</w:t>
            </w:r>
          </w:p>
        </w:tc>
      </w:tr>
    </w:tbl>
    <w:p>
      <w:pPr>
        <w:pStyle w:val="BodyText"/>
      </w:pPr>
      <w:r>
        <w:t xml:space="preserve"> </w:t>
      </w:r>
    </w:p>
    <w:p>
      <w:pPr>
        <w:pStyle w:val="TableCaption"/>
      </w:pPr>
      <w:r>
        <w:t xml:space="preserve">Tableau global des performances diagnostiques des ULNT</w:t>
      </w:r>
    </w:p>
    <w:tbl>
      <w:tblPr>
        <w:tblStyle w:val="Table"/>
        <w:tblW w:type="pct" w:w="5000"/>
        <w:tblLayout w:type="fixed"/>
        <w:tblLook w:firstRow="1" w:lastRow="0" w:firstColumn="0" w:lastColumn="0" w:noHBand="0" w:noVBand="0" w:val="0020"/>
        <w:tblCaption w:val="Tableau global des performances diagnostiques des ULNT"/>
      </w:tblPr>
      <w:tblGrid>
        <w:gridCol w:w="546"/>
        <w:gridCol w:w="2093"/>
        <w:gridCol w:w="2093"/>
        <w:gridCol w:w="546"/>
        <w:gridCol w:w="546"/>
        <w:gridCol w:w="2093"/>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AUC [IC95]</w:t>
            </w:r>
          </w:p>
        </w:tc>
      </w:tr>
      <w:tr>
        <w:tc>
          <w:tcPr/>
          <w:p>
            <w:pPr>
              <w:pStyle w:val="Compact"/>
              <w:jc w:val="center"/>
            </w:pPr>
            <w:r>
              <w:t xml:space="preserve">U1</w:t>
            </w:r>
          </w:p>
        </w:tc>
        <w:tc>
          <w:tcPr/>
          <w:p>
            <w:pPr>
              <w:pStyle w:val="Compact"/>
              <w:jc w:val="center"/>
            </w:pPr>
            <w:r>
              <w:t xml:space="preserve">0.844 [0.705 ; 0.935]</w:t>
            </w:r>
          </w:p>
        </w:tc>
        <w:tc>
          <w:tcPr/>
          <w:p>
            <w:pPr>
              <w:pStyle w:val="Compact"/>
              <w:jc w:val="center"/>
            </w:pPr>
            <w:r>
              <w:t xml:space="preserve">0.615 [0.406 ; 0.798]</w:t>
            </w:r>
          </w:p>
        </w:tc>
        <w:tc>
          <w:tcPr/>
          <w:p>
            <w:pPr>
              <w:pStyle w:val="Compact"/>
              <w:jc w:val="center"/>
            </w:pPr>
            <w:r>
              <w:t xml:space="preserve">2.20</w:t>
            </w:r>
          </w:p>
        </w:tc>
        <w:tc>
          <w:tcPr/>
          <w:p>
            <w:pPr>
              <w:pStyle w:val="Compact"/>
              <w:jc w:val="center"/>
            </w:pPr>
            <w:r>
              <w:t xml:space="preserve">0.25</w:t>
            </w:r>
          </w:p>
        </w:tc>
        <w:tc>
          <w:tcPr/>
          <w:p>
            <w:pPr>
              <w:pStyle w:val="Compact"/>
              <w:jc w:val="center"/>
            </w:pPr>
            <w:r>
              <w:t xml:space="preserve">0.73 [0.621 ; 0.839]</w:t>
            </w:r>
          </w:p>
        </w:tc>
      </w:tr>
      <w:tr>
        <w:tc>
          <w:tcPr/>
          <w:p>
            <w:pPr>
              <w:pStyle w:val="Compact"/>
              <w:jc w:val="center"/>
            </w:pPr>
            <w:r>
              <w:t xml:space="preserve">U2a</w:t>
            </w:r>
          </w:p>
        </w:tc>
        <w:tc>
          <w:tcPr/>
          <w:p>
            <w:pPr>
              <w:pStyle w:val="Compact"/>
              <w:jc w:val="center"/>
            </w:pPr>
            <w:r>
              <w:t xml:space="preserve">0.778 [0.629 ; 0.888]</w:t>
            </w:r>
          </w:p>
        </w:tc>
        <w:tc>
          <w:tcPr/>
          <w:p>
            <w:pPr>
              <w:pStyle w:val="Compact"/>
              <w:jc w:val="center"/>
            </w:pPr>
            <w:r>
              <w:t xml:space="preserve">0.577 [0.369 ; 0.766]</w:t>
            </w:r>
          </w:p>
        </w:tc>
        <w:tc>
          <w:tcPr/>
          <w:p>
            <w:pPr>
              <w:pStyle w:val="Compact"/>
              <w:jc w:val="center"/>
            </w:pPr>
            <w:r>
              <w:t xml:space="preserve">1.84</w:t>
            </w:r>
          </w:p>
        </w:tc>
        <w:tc>
          <w:tcPr/>
          <w:p>
            <w:pPr>
              <w:pStyle w:val="Compact"/>
              <w:jc w:val="center"/>
            </w:pPr>
            <w:r>
              <w:t xml:space="preserve">0.39</w:t>
            </w:r>
          </w:p>
        </w:tc>
        <w:tc>
          <w:tcPr/>
          <w:p>
            <w:pPr>
              <w:pStyle w:val="Compact"/>
              <w:jc w:val="center"/>
            </w:pPr>
            <w:r>
              <w:t xml:space="preserve">0.677 [0.563 ; 0.792]</w:t>
            </w:r>
          </w:p>
        </w:tc>
      </w:tr>
      <w:tr>
        <w:tc>
          <w:tcPr/>
          <w:p>
            <w:pPr>
              <w:pStyle w:val="Compact"/>
              <w:jc w:val="center"/>
            </w:pPr>
            <w:r>
              <w:t xml:space="preserve">U2b</w:t>
            </w:r>
          </w:p>
        </w:tc>
        <w:tc>
          <w:tcPr/>
          <w:p>
            <w:pPr>
              <w:pStyle w:val="Compact"/>
              <w:jc w:val="center"/>
            </w:pPr>
            <w:r>
              <w:t xml:space="preserve">0.689 [0.534 ; 0.818]</w:t>
            </w:r>
          </w:p>
        </w:tc>
        <w:tc>
          <w:tcPr/>
          <w:p>
            <w:pPr>
              <w:pStyle w:val="Compact"/>
              <w:jc w:val="center"/>
            </w:pPr>
            <w:r>
              <w:t xml:space="preserve">0.692 [0.482 ; 0.857]</w:t>
            </w:r>
          </w:p>
        </w:tc>
        <w:tc>
          <w:tcPr/>
          <w:p>
            <w:pPr>
              <w:pStyle w:val="Compact"/>
              <w:jc w:val="center"/>
            </w:pPr>
            <w:r>
              <w:t xml:space="preserve">2.24</w:t>
            </w:r>
          </w:p>
        </w:tc>
        <w:tc>
          <w:tcPr/>
          <w:p>
            <w:pPr>
              <w:pStyle w:val="Compact"/>
              <w:jc w:val="center"/>
            </w:pPr>
            <w:r>
              <w:t xml:space="preserve">0.45</w:t>
            </w:r>
          </w:p>
        </w:tc>
        <w:tc>
          <w:tcPr/>
          <w:p>
            <w:pPr>
              <w:pStyle w:val="Compact"/>
              <w:jc w:val="center"/>
            </w:pPr>
            <w:r>
              <w:t xml:space="preserve">0.691 [0.577 ; 0.804]</w:t>
            </w:r>
          </w:p>
        </w:tc>
      </w:tr>
      <w:tr>
        <w:tc>
          <w:tcPr/>
          <w:p>
            <w:pPr>
              <w:pStyle w:val="Compact"/>
              <w:jc w:val="center"/>
            </w:pPr>
            <w:r>
              <w:t xml:space="preserve">U3</w:t>
            </w:r>
          </w:p>
        </w:tc>
        <w:tc>
          <w:tcPr/>
          <w:p>
            <w:pPr>
              <w:pStyle w:val="Compact"/>
              <w:jc w:val="center"/>
            </w:pPr>
            <w:r>
              <w:t xml:space="preserve">0.378 [0.238 ; 0.535]</w:t>
            </w:r>
          </w:p>
        </w:tc>
        <w:tc>
          <w:tcPr/>
          <w:p>
            <w:pPr>
              <w:pStyle w:val="Compact"/>
              <w:jc w:val="center"/>
            </w:pPr>
            <w:r>
              <w:t xml:space="preserve">0.692 [0.482 ; 0.857]</w:t>
            </w:r>
          </w:p>
        </w:tc>
        <w:tc>
          <w:tcPr/>
          <w:p>
            <w:pPr>
              <w:pStyle w:val="Compact"/>
              <w:jc w:val="center"/>
            </w:pPr>
            <w:r>
              <w:t xml:space="preserve">1.23</w:t>
            </w:r>
          </w:p>
        </w:tc>
        <w:tc>
          <w:tcPr/>
          <w:p>
            <w:pPr>
              <w:pStyle w:val="Compact"/>
              <w:jc w:val="center"/>
            </w:pPr>
            <w:r>
              <w:t xml:space="preserve">0.90</w:t>
            </w:r>
          </w:p>
        </w:tc>
        <w:tc>
          <w:tcPr/>
          <w:p>
            <w:pPr>
              <w:pStyle w:val="Compact"/>
              <w:jc w:val="center"/>
            </w:pPr>
            <w:r>
              <w:t xml:space="preserve">0.535 [0.42 ; 0.65]</w:t>
            </w:r>
          </w:p>
        </w:tc>
      </w:tr>
    </w:tbl>
    <w:p>
      <w:pPr>
        <w:pStyle w:val="CaptionedFigure"/>
      </w:pPr>
      <w:r>
        <w:drawing>
          <wp:inline>
            <wp:extent cx="5334000" cy="3429000"/>
            <wp:effectExtent b="0" l="0" r="0" t="0"/>
            <wp:docPr descr="Composition des tableaux de contingence 2x2 par test" title="" id="78" name="Picture"/>
            <a:graphic>
              <a:graphicData uri="http://schemas.openxmlformats.org/drawingml/2006/picture">
                <pic:pic>
                  <pic:nvPicPr>
                    <pic:cNvPr descr="these_brieuc_last_recueil_files/figure-docx/global-contingency-plot-1.png" id="79" name="Picture"/>
                    <pic:cNvPicPr>
                      <a:picLocks noChangeArrowheads="1" noChangeAspect="1"/>
                    </pic:cNvPicPr>
                  </pic:nvPicPr>
                  <pic:blipFill>
                    <a:blip r:embed="rId77"/>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Composition des tableaux de contingence 2x2 par test</w:t>
      </w:r>
    </w:p>
    <w:p>
      <w:pPr>
        <w:pStyle w:val="CaptionedFigure"/>
      </w:pPr>
      <w:r>
        <w:drawing>
          <wp:inline>
            <wp:extent cx="5334000" cy="4267200"/>
            <wp:effectExtent b="0" l="0" r="0" t="0"/>
            <wp:docPr descr="Visualisations synthétiques de la performance" title="" id="81" name="Picture"/>
            <a:graphic>
              <a:graphicData uri="http://schemas.openxmlformats.org/drawingml/2006/picture">
                <pic:pic>
                  <pic:nvPicPr>
                    <pic:cNvPr descr="these_brieuc_last_recueil_files/figure-docx/global-performance-plots-1.png" id="82" name="Picture"/>
                    <pic:cNvPicPr>
                      <a:picLocks noChangeArrowheads="1" noChangeAspect="1"/>
                    </pic:cNvPicPr>
                  </pic:nvPicPr>
                  <pic:blipFill>
                    <a:blip r:embed="rId8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Visualisations synthétiques de la performance</w:t>
      </w:r>
    </w:p>
    <w:p>
      <w:pPr>
        <w:pStyle w:val="BodyText"/>
      </w:pPr>
      <w:r>
        <w:drawing>
          <wp:inline>
            <wp:extent cx="5334000" cy="4267200"/>
            <wp:effectExtent b="0" l="0" r="0" t="0"/>
            <wp:docPr descr="" title="" id="84" name="Picture"/>
            <a:graphic>
              <a:graphicData uri="http://schemas.openxmlformats.org/drawingml/2006/picture">
                <pic:pic>
                  <pic:nvPicPr>
                    <pic:cNvPr descr="these_brieuc_last_recueil_files/figure-docx/global-performance-combined-plot-1.png" id="85" name="Picture"/>
                    <pic:cNvPicPr>
                      <a:picLocks noChangeArrowheads="1" noChangeAspect="1"/>
                    </pic:cNvPicPr>
                  </pic:nvPicPr>
                  <pic:blipFill>
                    <a:blip r:embed="rId8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Sur les deux graphiques, on voit très bien que :</w:t>
      </w:r>
    </w:p>
    <w:p>
      <w:pPr>
        <w:numPr>
          <w:ilvl w:val="0"/>
          <w:numId w:val="1023"/>
        </w:numPr>
      </w:pPr>
      <w:r>
        <w:t xml:space="preserve">U1 est le plus sensible (faux négatif plus faible sur le premier graphique)</w:t>
      </w:r>
    </w:p>
    <w:p>
      <w:pPr>
        <w:numPr>
          <w:ilvl w:val="0"/>
          <w:numId w:val="1023"/>
        </w:numPr>
      </w:pPr>
      <w:r>
        <w:t xml:space="preserve">U2b et U3 sont les plus spécifiques (faux positif plus faible). Même si ça ne se joue pas à grand chose par rapport aux autres !</w:t>
      </w:r>
    </w:p>
    <w:p>
      <w:pPr>
        <w:numPr>
          <w:ilvl w:val="0"/>
          <w:numId w:val="1023"/>
        </w:numPr>
      </w:pPr>
      <w:r>
        <w:t xml:space="preserve">Dans tous les cas, la spécificité est faible</w:t>
      </w:r>
    </w:p>
    <w:p>
      <w:pPr>
        <w:numPr>
          <w:ilvl w:val="0"/>
          <w:numId w:val="1023"/>
        </w:numPr>
      </w:pPr>
      <w:r>
        <w:t xml:space="preserve">Aucun des tests pris isolément n’est à la fois sensible est spécifique</w:t>
      </w:r>
    </w:p>
    <w:p>
      <w:pPr>
        <w:numPr>
          <w:ilvl w:val="0"/>
          <w:numId w:val="1023"/>
        </w:numPr>
      </w:pPr>
      <w:r>
        <w:t xml:space="preserve">La section suivante compare les tests entre eux pour voir si les différences sont statistiquement significatives. Je ne suis pas sûr que ce soit indispensable (on voit bien que les tests ont des profils différents et il n’y a pas besoin d’un petit</w:t>
      </w:r>
      <w:r>
        <w:t xml:space="preserve"> </w:t>
      </w:r>
      <w:r>
        <w:rPr>
          <w:rStyle w:val="VerbatimChar"/>
        </w:rPr>
        <w:t xml:space="preserve">p</w:t>
      </w:r>
      <w:r>
        <w:t xml:space="preserve"> </w:t>
      </w:r>
      <w:r>
        <w:t xml:space="preserve">pour ça), mais c’était prévu dans le protocole ! Ça permet quand même de nuancer les différences observées.</w:t>
      </w:r>
    </w:p>
    <w:p>
      <w:r>
        <w:br w:type="page"/>
      </w:r>
    </w:p>
    <w:bookmarkEnd w:id="86"/>
    <w:bookmarkStart w:id="87" w:name="comparaisons-directes-entre-tests"/>
    <w:p>
      <w:pPr>
        <w:pStyle w:val="Heading2"/>
      </w:pPr>
      <w:r>
        <w:t xml:space="preserve">Comparaisons directes entre tests</w:t>
      </w:r>
    </w:p>
    <w:p>
      <w:pPr>
        <w:pStyle w:val="FirstParagraph"/>
      </w:pPr>
      <w:r>
        <w:t xml:space="preserve">Le protocole prévoyait une comparaison des performances diagnostiques entre les différents ULNT.</w:t>
      </w:r>
    </w:p>
    <w:p>
      <w:pPr>
        <w:pStyle w:val="BodyText"/>
      </w:pPr>
      <w:r>
        <w:t xml:space="preserve">L’objectif est de comparer les différences diagnostiques entre tests.</w:t>
      </w:r>
    </w:p>
    <w:p>
      <w:pPr>
        <w:pStyle w:val="BodyText"/>
      </w:pPr>
      <w:r>
        <w:t xml:space="preserve">Il s’agit d’effectuer des tests statistiques pour voir si les différences de sensibilité et de spécificité entre les tests sont statistiquement significativies.</w:t>
      </w:r>
    </w:p>
    <w:p>
      <w:pPr>
        <w:pStyle w:val="BodyText"/>
      </w:pPr>
      <w:r>
        <w:t xml:space="preserve">Comme les mêmes patients passent les différents ULNT, une comparaison appariée de type McNemar est plus adaptée qu’un simple khi2 indépendant (McNemar = khi2 pour données appariées).</w:t>
      </w:r>
    </w:p>
    <w:p>
      <w:pPr>
        <w:numPr>
          <w:ilvl w:val="0"/>
          <w:numId w:val="1024"/>
        </w:numPr>
      </w:pPr>
      <w:r>
        <w:t xml:space="preserve">chez les</w:t>
      </w:r>
      <w:r>
        <w:t xml:space="preserve"> </w:t>
      </w:r>
      <w:r>
        <w:rPr>
          <w:rStyle w:val="VerbatimChar"/>
        </w:rPr>
        <w:t xml:space="preserve">Gold Standard positif</w:t>
      </w:r>
      <w:r>
        <w:t xml:space="preserve">, on compare les</w:t>
      </w:r>
      <w:r>
        <w:t xml:space="preserve"> </w:t>
      </w:r>
      <w:r>
        <w:rPr>
          <w:b/>
          <w:bCs/>
        </w:rPr>
        <w:t xml:space="preserve">sensibilités</w:t>
      </w:r>
      <w:r>
        <w:t xml:space="preserve"> </w:t>
      </w:r>
      <w:r>
        <w:t xml:space="preserve">;</w:t>
      </w:r>
    </w:p>
    <w:p>
      <w:pPr>
        <w:numPr>
          <w:ilvl w:val="0"/>
          <w:numId w:val="1024"/>
        </w:numPr>
      </w:pPr>
      <w:r>
        <w:t xml:space="preserve">chez les</w:t>
      </w:r>
      <w:r>
        <w:t xml:space="preserve"> </w:t>
      </w:r>
      <w:r>
        <w:rPr>
          <w:rStyle w:val="VerbatimChar"/>
        </w:rPr>
        <w:t xml:space="preserve">Gold Standard négatif</w:t>
      </w:r>
      <w:r>
        <w:t xml:space="preserve">, on compare les</w:t>
      </w:r>
      <w:r>
        <w:t xml:space="preserve"> </w:t>
      </w:r>
      <w:r>
        <w:rPr>
          <w:b/>
          <w:bCs/>
        </w:rPr>
        <w:t xml:space="preserve">spécificités</w:t>
      </w:r>
      <w:r>
        <w:t xml:space="preserve">.</w:t>
      </w:r>
    </w:p>
    <w:p>
      <w:pPr>
        <w:pStyle w:val="FirstParagraph"/>
      </w:pPr>
      <w:r>
        <w:t xml:space="preserve">Comparaisons appariees entre ULNT pour la sensibilite (chez les G+)</w:t>
      </w:r>
    </w:p>
    <w:p>
      <w:pPr>
        <w:pStyle w:val="BodyText"/>
      </w:pPr>
      <w:r>
        <w:t xml:space="preserve">Comparaison</w:t>
      </w:r>
    </w:p>
    <w:p>
      <w:pPr>
        <w:pStyle w:val="BodyText"/>
      </w:pPr>
      <w:r>
        <w:t xml:space="preserve">N</w:t>
      </w:r>
    </w:p>
    <w:p>
      <w:pPr>
        <w:pStyle w:val="BodyText"/>
      </w:pPr>
      <w:r>
        <w:t xml:space="preserve">Test 1</w:t>
      </w:r>
    </w:p>
    <w:p>
      <w:pPr>
        <w:pStyle w:val="BodyText"/>
      </w:pPr>
      <w:r>
        <w:t xml:space="preserve">Test 2</w:t>
      </w:r>
    </w:p>
    <w:p>
      <w:pPr>
        <w:pStyle w:val="BodyText"/>
      </w:pPr>
      <w:r>
        <w:t xml:space="preserve">Diff.</w:t>
      </w:r>
    </w:p>
    <w:p>
      <w:pPr>
        <w:pStyle w:val="BodyText"/>
      </w:pPr>
    </w:p>
    <w:p>
      <w:pPr>
        <w:pStyle w:val="BodyText"/>
      </w:pPr>
    </w:p>
    <w:p>
      <w:pPr>
        <w:pStyle w:val="BodyText"/>
      </w:pPr>
      <w:r>
        <w:t xml:space="preserve">U1 vs U2a</w:t>
      </w:r>
    </w:p>
    <w:p>
      <w:pPr>
        <w:pStyle w:val="BodyText"/>
      </w:pPr>
      <w:r>
        <w:t xml:space="preserve">45</w:t>
      </w:r>
    </w:p>
    <w:p>
      <w:pPr>
        <w:pStyle w:val="BodyText"/>
      </w:pPr>
      <w:r>
        <w:t xml:space="preserve">0.844</w:t>
      </w:r>
    </w:p>
    <w:p>
      <w:pPr>
        <w:pStyle w:val="BodyText"/>
      </w:pPr>
      <w:r>
        <w:t xml:space="preserve">0.778</w:t>
      </w:r>
    </w:p>
    <w:p>
      <w:pPr>
        <w:pStyle w:val="BodyText"/>
      </w:pPr>
      <w:r>
        <w:t xml:space="preserve">0.067</w:t>
      </w:r>
    </w:p>
    <w:p>
      <w:pPr>
        <w:pStyle w:val="BodyText"/>
      </w:pPr>
      <w:r>
        <w:t xml:space="preserve">7 / 4</w:t>
      </w:r>
    </w:p>
    <w:p>
      <w:pPr>
        <w:pStyle w:val="BodyText"/>
      </w:pPr>
      <w:r>
        <w:t xml:space="preserve">0.546</w:t>
      </w:r>
    </w:p>
    <w:p>
      <w:pPr>
        <w:pStyle w:val="BodyText"/>
      </w:pPr>
      <w:r>
        <w:t xml:space="preserve">U1 vs U2b</w:t>
      </w:r>
    </w:p>
    <w:p>
      <w:pPr>
        <w:pStyle w:val="BodyText"/>
      </w:pPr>
      <w:r>
        <w:t xml:space="preserve">45</w:t>
      </w:r>
    </w:p>
    <w:p>
      <w:pPr>
        <w:pStyle w:val="BodyText"/>
      </w:pPr>
      <w:r>
        <w:t xml:space="preserve">0.844</w:t>
      </w:r>
    </w:p>
    <w:p>
      <w:pPr>
        <w:pStyle w:val="BodyText"/>
      </w:pPr>
      <w:r>
        <w:t xml:space="preserve">0.689</w:t>
      </w:r>
    </w:p>
    <w:p>
      <w:pPr>
        <w:pStyle w:val="BodyText"/>
      </w:pPr>
      <w:r>
        <w:t xml:space="preserve">0.156</w:t>
      </w:r>
    </w:p>
    <w:p>
      <w:pPr>
        <w:pStyle w:val="BodyText"/>
      </w:pPr>
      <w:r>
        <w:t xml:space="preserve">12 / 5</w:t>
      </w:r>
    </w:p>
    <w:p>
      <w:pPr>
        <w:pStyle w:val="BodyText"/>
      </w:pPr>
      <w:r>
        <w:t xml:space="preserve">0.146</w:t>
      </w:r>
    </w:p>
    <w:p>
      <w:pPr>
        <w:pStyle w:val="BodyText"/>
      </w:pPr>
      <w:r>
        <w:t xml:space="preserve">U1 vs U3</w:t>
      </w:r>
    </w:p>
    <w:p>
      <w:pPr>
        <w:pStyle w:val="BodyText"/>
      </w:pPr>
      <w:r>
        <w:t xml:space="preserve">45</w:t>
      </w:r>
    </w:p>
    <w:p>
      <w:pPr>
        <w:pStyle w:val="BodyText"/>
      </w:pPr>
      <w:r>
        <w:t xml:space="preserve">0.844</w:t>
      </w:r>
    </w:p>
    <w:p>
      <w:pPr>
        <w:pStyle w:val="BodyText"/>
      </w:pPr>
      <w:r>
        <w:t xml:space="preserve">0.378</w:t>
      </w:r>
    </w:p>
    <w:p>
      <w:pPr>
        <w:pStyle w:val="BodyText"/>
      </w:pPr>
      <w:r>
        <w:t xml:space="preserve">0.467</w:t>
      </w:r>
    </w:p>
    <w:p>
      <w:pPr>
        <w:pStyle w:val="BodyText"/>
      </w:pPr>
      <w:r>
        <w:t xml:space="preserve">22 / 1</w:t>
      </w:r>
    </w:p>
    <w:p>
      <w:pPr>
        <w:pStyle w:val="BodyText"/>
      </w:pPr>
      <w:r>
        <w:t xml:space="preserve">&lt;0.001</w:t>
      </w:r>
    </w:p>
    <w:p>
      <w:pPr>
        <w:pStyle w:val="BodyText"/>
      </w:pPr>
      <w:r>
        <w:t xml:space="preserve">U2a vs U2b</w:t>
      </w:r>
    </w:p>
    <w:p>
      <w:pPr>
        <w:pStyle w:val="BodyText"/>
      </w:pPr>
      <w:r>
        <w:t xml:space="preserve">45</w:t>
      </w:r>
    </w:p>
    <w:p>
      <w:pPr>
        <w:pStyle w:val="BodyText"/>
      </w:pPr>
      <w:r>
        <w:t xml:space="preserve">0.778</w:t>
      </w:r>
    </w:p>
    <w:p>
      <w:pPr>
        <w:pStyle w:val="BodyText"/>
      </w:pPr>
      <w:r>
        <w:t xml:space="preserve">0.689</w:t>
      </w:r>
    </w:p>
    <w:p>
      <w:pPr>
        <w:pStyle w:val="BodyText"/>
      </w:pPr>
      <w:r>
        <w:t xml:space="preserve">0.089</w:t>
      </w:r>
    </w:p>
    <w:p>
      <w:pPr>
        <w:pStyle w:val="BodyText"/>
      </w:pPr>
      <w:r>
        <w:t xml:space="preserve">8 / 4</w:t>
      </w:r>
    </w:p>
    <w:p>
      <w:pPr>
        <w:pStyle w:val="BodyText"/>
      </w:pPr>
      <w:r>
        <w:t xml:space="preserve">0.386</w:t>
      </w:r>
    </w:p>
    <w:p>
      <w:pPr>
        <w:pStyle w:val="BodyText"/>
      </w:pPr>
      <w:r>
        <w:t xml:space="preserve">U2a vs U3</w:t>
      </w:r>
    </w:p>
    <w:p>
      <w:pPr>
        <w:pStyle w:val="BodyText"/>
      </w:pPr>
      <w:r>
        <w:t xml:space="preserve">45</w:t>
      </w:r>
    </w:p>
    <w:p>
      <w:pPr>
        <w:pStyle w:val="BodyText"/>
      </w:pPr>
      <w:r>
        <w:t xml:space="preserve">0.778</w:t>
      </w:r>
    </w:p>
    <w:p>
      <w:pPr>
        <w:pStyle w:val="BodyText"/>
      </w:pPr>
      <w:r>
        <w:t xml:space="preserve">0.378</w:t>
      </w:r>
    </w:p>
    <w:p>
      <w:pPr>
        <w:pStyle w:val="BodyText"/>
      </w:pPr>
      <w:r>
        <w:t xml:space="preserve">0.400</w:t>
      </w:r>
    </w:p>
    <w:p>
      <w:pPr>
        <w:pStyle w:val="BodyText"/>
      </w:pPr>
      <w:r>
        <w:t xml:space="preserve">18 / 0</w:t>
      </w:r>
    </w:p>
    <w:p>
      <w:pPr>
        <w:pStyle w:val="BodyText"/>
      </w:pPr>
      <w:r>
        <w:t xml:space="preserve">&lt;0.001</w:t>
      </w:r>
    </w:p>
    <w:p>
      <w:pPr>
        <w:pStyle w:val="BodyText"/>
      </w:pPr>
      <w:r>
        <w:t xml:space="preserve">U2b vs U3</w:t>
      </w:r>
    </w:p>
    <w:p>
      <w:pPr>
        <w:pStyle w:val="BodyText"/>
      </w:pPr>
      <w:r>
        <w:t xml:space="preserve">45</w:t>
      </w:r>
    </w:p>
    <w:p>
      <w:pPr>
        <w:pStyle w:val="BodyText"/>
      </w:pPr>
      <w:r>
        <w:t xml:space="preserve">0.689</w:t>
      </w:r>
    </w:p>
    <w:p>
      <w:pPr>
        <w:pStyle w:val="BodyText"/>
      </w:pPr>
      <w:r>
        <w:t xml:space="preserve">0.378</w:t>
      </w:r>
    </w:p>
    <w:p>
      <w:pPr>
        <w:pStyle w:val="BodyText"/>
      </w:pPr>
      <w:r>
        <w:t xml:space="preserve">0.311</w:t>
      </w:r>
    </w:p>
    <w:p>
      <w:pPr>
        <w:pStyle w:val="BodyText"/>
      </w:pPr>
      <w:r>
        <w:t xml:space="preserve">19 / 5</w:t>
      </w:r>
    </w:p>
    <w:p>
      <w:pPr>
        <w:pStyle w:val="BodyText"/>
      </w:pPr>
      <w:r>
        <w:t xml:space="preserve">0.00796</w:t>
      </w:r>
    </w:p>
    <w:p>
      <w:pPr>
        <w:pStyle w:val="BodyText"/>
      </w:pPr>
      <w:r>
        <w:t xml:space="preserve">Comparaisons appariees entre ULNT pour la specificite (chez les G-)</w:t>
      </w:r>
    </w:p>
    <w:p>
      <w:pPr>
        <w:pStyle w:val="BodyText"/>
      </w:pPr>
      <w:r>
        <w:t xml:space="preserve">Comparaison</w:t>
      </w:r>
    </w:p>
    <w:p>
      <w:pPr>
        <w:pStyle w:val="BodyText"/>
      </w:pPr>
      <w:r>
        <w:t xml:space="preserve">N</w:t>
      </w:r>
    </w:p>
    <w:p>
      <w:pPr>
        <w:pStyle w:val="BodyText"/>
      </w:pPr>
      <w:r>
        <w:t xml:space="preserve">Test 1</w:t>
      </w:r>
    </w:p>
    <w:p>
      <w:pPr>
        <w:pStyle w:val="BodyText"/>
      </w:pPr>
      <w:r>
        <w:t xml:space="preserve">Test 2</w:t>
      </w:r>
    </w:p>
    <w:p>
      <w:pPr>
        <w:pStyle w:val="BodyText"/>
      </w:pPr>
      <w:r>
        <w:t xml:space="preserve">Diff.</w:t>
      </w:r>
    </w:p>
    <w:p>
      <w:pPr>
        <w:pStyle w:val="BodyText"/>
      </w:pPr>
    </w:p>
    <w:p>
      <w:pPr>
        <w:pStyle w:val="BodyText"/>
      </w:pPr>
    </w:p>
    <w:p>
      <w:pPr>
        <w:pStyle w:val="BodyText"/>
      </w:pPr>
      <w:r>
        <w:t xml:space="preserve">U1 vs U2a</w:t>
      </w:r>
    </w:p>
    <w:p>
      <w:pPr>
        <w:pStyle w:val="BodyText"/>
      </w:pPr>
      <w:r>
        <w:t xml:space="preserve">26</w:t>
      </w:r>
    </w:p>
    <w:p>
      <w:pPr>
        <w:pStyle w:val="BodyText"/>
      </w:pPr>
      <w:r>
        <w:t xml:space="preserve">0.615</w:t>
      </w:r>
    </w:p>
    <w:p>
      <w:pPr>
        <w:pStyle w:val="BodyText"/>
      </w:pPr>
      <w:r>
        <w:t xml:space="preserve">0.577</w:t>
      </w:r>
    </w:p>
    <w:p>
      <w:pPr>
        <w:pStyle w:val="BodyText"/>
      </w:pPr>
      <w:r>
        <w:t xml:space="preserve">0.038</w:t>
      </w:r>
    </w:p>
    <w:p>
      <w:pPr>
        <w:pStyle w:val="BodyText"/>
      </w:pPr>
      <w:r>
        <w:t xml:space="preserve">1 / 0</w:t>
      </w:r>
    </w:p>
    <w:p>
      <w:pPr>
        <w:pStyle w:val="BodyText"/>
      </w:pPr>
      <w:r>
        <w:t xml:space="preserve">1</w:t>
      </w:r>
    </w:p>
    <w:p>
      <w:pPr>
        <w:pStyle w:val="BodyText"/>
      </w:pPr>
      <w:r>
        <w:t xml:space="preserve">U1 vs U2b</w:t>
      </w:r>
    </w:p>
    <w:p>
      <w:pPr>
        <w:pStyle w:val="BodyText"/>
      </w:pPr>
      <w:r>
        <w:t xml:space="preserve">26</w:t>
      </w:r>
    </w:p>
    <w:p>
      <w:pPr>
        <w:pStyle w:val="BodyText"/>
      </w:pPr>
      <w:r>
        <w:t xml:space="preserve">0.615</w:t>
      </w:r>
    </w:p>
    <w:p>
      <w:pPr>
        <w:pStyle w:val="BodyText"/>
      </w:pPr>
      <w:r>
        <w:t xml:space="preserve">0.692</w:t>
      </w:r>
    </w:p>
    <w:p>
      <w:pPr>
        <w:pStyle w:val="BodyText"/>
      </w:pPr>
      <w:r>
        <w:t xml:space="preserve">-0.077</w:t>
      </w:r>
    </w:p>
    <w:p>
      <w:pPr>
        <w:pStyle w:val="BodyText"/>
      </w:pPr>
      <w:r>
        <w:t xml:space="preserve">1 / 3</w:t>
      </w:r>
    </w:p>
    <w:p>
      <w:pPr>
        <w:pStyle w:val="BodyText"/>
      </w:pPr>
      <w:r>
        <w:t xml:space="preserve">0.617</w:t>
      </w:r>
    </w:p>
    <w:p>
      <w:pPr>
        <w:pStyle w:val="BodyText"/>
      </w:pPr>
      <w:r>
        <w:t xml:space="preserve">U1 vs U3</w:t>
      </w:r>
    </w:p>
    <w:p>
      <w:pPr>
        <w:pStyle w:val="BodyText"/>
      </w:pPr>
      <w:r>
        <w:t xml:space="preserve">26</w:t>
      </w:r>
    </w:p>
    <w:p>
      <w:pPr>
        <w:pStyle w:val="BodyText"/>
      </w:pPr>
      <w:r>
        <w:t xml:space="preserve">0.615</w:t>
      </w:r>
    </w:p>
    <w:p>
      <w:pPr>
        <w:pStyle w:val="BodyText"/>
      </w:pPr>
      <w:r>
        <w:t xml:space="preserve">0.692</w:t>
      </w:r>
    </w:p>
    <w:p>
      <w:pPr>
        <w:pStyle w:val="BodyText"/>
      </w:pPr>
      <w:r>
        <w:t xml:space="preserve">-0.077</w:t>
      </w:r>
    </w:p>
    <w:p>
      <w:pPr>
        <w:pStyle w:val="BodyText"/>
      </w:pPr>
      <w:r>
        <w:t xml:space="preserve">0 / 2</w:t>
      </w:r>
    </w:p>
    <w:p>
      <w:pPr>
        <w:pStyle w:val="BodyText"/>
      </w:pPr>
      <w:r>
        <w:t xml:space="preserve">0.48</w:t>
      </w:r>
    </w:p>
    <w:p>
      <w:pPr>
        <w:pStyle w:val="BodyText"/>
      </w:pPr>
      <w:r>
        <w:t xml:space="preserve">U2a vs U2b</w:t>
      </w:r>
    </w:p>
    <w:p>
      <w:pPr>
        <w:pStyle w:val="BodyText"/>
      </w:pPr>
      <w:r>
        <w:t xml:space="preserve">26</w:t>
      </w:r>
    </w:p>
    <w:p>
      <w:pPr>
        <w:pStyle w:val="BodyText"/>
      </w:pPr>
      <w:r>
        <w:t xml:space="preserve">0.577</w:t>
      </w:r>
    </w:p>
    <w:p>
      <w:pPr>
        <w:pStyle w:val="BodyText"/>
      </w:pPr>
      <w:r>
        <w:t xml:space="preserve">0.692</w:t>
      </w:r>
    </w:p>
    <w:p>
      <w:pPr>
        <w:pStyle w:val="BodyText"/>
      </w:pPr>
      <w:r>
        <w:t xml:space="preserve">-0.115</w:t>
      </w:r>
    </w:p>
    <w:p>
      <w:pPr>
        <w:pStyle w:val="BodyText"/>
      </w:pPr>
      <w:r>
        <w:t xml:space="preserve">1 / 4</w:t>
      </w:r>
    </w:p>
    <w:p>
      <w:pPr>
        <w:pStyle w:val="BodyText"/>
      </w:pPr>
      <w:r>
        <w:t xml:space="preserve">0.371</w:t>
      </w:r>
    </w:p>
    <w:p>
      <w:pPr>
        <w:pStyle w:val="BodyText"/>
      </w:pPr>
      <w:r>
        <w:t xml:space="preserve">U2a vs U3</w:t>
      </w:r>
    </w:p>
    <w:p>
      <w:pPr>
        <w:pStyle w:val="BodyText"/>
      </w:pPr>
      <w:r>
        <w:t xml:space="preserve">26</w:t>
      </w:r>
    </w:p>
    <w:p>
      <w:pPr>
        <w:pStyle w:val="BodyText"/>
      </w:pPr>
      <w:r>
        <w:t xml:space="preserve">0.577</w:t>
      </w:r>
    </w:p>
    <w:p>
      <w:pPr>
        <w:pStyle w:val="BodyText"/>
      </w:pPr>
      <w:r>
        <w:t xml:space="preserve">0.692</w:t>
      </w:r>
    </w:p>
    <w:p>
      <w:pPr>
        <w:pStyle w:val="BodyText"/>
      </w:pPr>
      <w:r>
        <w:t xml:space="preserve">-0.115</w:t>
      </w:r>
    </w:p>
    <w:p>
      <w:pPr>
        <w:pStyle w:val="BodyText"/>
      </w:pPr>
      <w:r>
        <w:t xml:space="preserve">0 / 3</w:t>
      </w:r>
    </w:p>
    <w:p>
      <w:pPr>
        <w:pStyle w:val="BodyText"/>
      </w:pPr>
      <w:r>
        <w:t xml:space="preserve">0.248</w:t>
      </w:r>
    </w:p>
    <w:p>
      <w:pPr>
        <w:pStyle w:val="BodyText"/>
      </w:pPr>
      <w:r>
        <w:t xml:space="preserve">U2b vs U3</w:t>
      </w:r>
    </w:p>
    <w:p>
      <w:pPr>
        <w:pStyle w:val="BodyText"/>
      </w:pPr>
      <w:r>
        <w:t xml:space="preserve">26</w:t>
      </w:r>
    </w:p>
    <w:p>
      <w:pPr>
        <w:pStyle w:val="BodyText"/>
      </w:pPr>
      <w:r>
        <w:t xml:space="preserve">0.692</w:t>
      </w:r>
    </w:p>
    <w:p>
      <w:pPr>
        <w:pStyle w:val="BodyText"/>
      </w:pPr>
      <w:r>
        <w:t xml:space="preserve">0.692</w:t>
      </w:r>
    </w:p>
    <w:p>
      <w:pPr>
        <w:pStyle w:val="BodyText"/>
      </w:pPr>
      <w:r>
        <w:t xml:space="preserve">0.000</w:t>
      </w:r>
    </w:p>
    <w:p>
      <w:pPr>
        <w:pStyle w:val="BodyText"/>
      </w:pPr>
      <w:r>
        <w:t xml:space="preserve">2 / 2</w:t>
      </w:r>
    </w:p>
    <w:p>
      <w:pPr>
        <w:pStyle w:val="BodyText"/>
      </w:pPr>
      <w:r>
        <w:t xml:space="preserve">1</w:t>
      </w:r>
    </w:p>
    <w:p>
      <w:pPr>
        <w:pStyle w:val="BodyText"/>
      </w:pPr>
      <w:r>
        <w:t xml:space="preserve">Même conclusions que les graphiques précédents.</w:t>
      </w:r>
    </w:p>
    <w:p>
      <w:pPr>
        <w:pStyle w:val="BodyText"/>
      </w:pPr>
      <w:r>
        <w:t xml:space="preserve">Concernant la sensibilité :</w:t>
      </w:r>
    </w:p>
    <w:p>
      <w:pPr>
        <w:numPr>
          <w:ilvl w:val="0"/>
          <w:numId w:val="1025"/>
        </w:numPr>
      </w:pPr>
      <w:r>
        <w:t xml:space="preserve">Paires significativement différentes : U1 vs U3, U2a vs U3, U2b vs U3</w:t>
      </w:r>
    </w:p>
    <w:p>
      <w:pPr>
        <w:numPr>
          <w:ilvl w:val="0"/>
          <w:numId w:val="1025"/>
        </w:numPr>
      </w:pPr>
      <w:r>
        <w:t xml:space="preserve">Pour la spécificité : aucune paire.</w:t>
      </w:r>
    </w:p>
    <w:p>
      <w:r>
        <w:br w:type="page"/>
      </w:r>
    </w:p>
    <w:bookmarkEnd w:id="87"/>
    <w:bookmarkStart w:id="92" w:name="reproductibilité-inter-évaluateurs"/>
    <w:p>
      <w:pPr>
        <w:pStyle w:val="Heading2"/>
      </w:pPr>
      <w:r>
        <w:t xml:space="preserve">Reproductibilité inter-évaluateurs</w:t>
      </w:r>
    </w:p>
    <w:p>
      <w:pPr>
        <w:pStyle w:val="FirstParagraph"/>
      </w:pPr>
      <w:r>
        <w:t xml:space="preserve">Par interprétation d’un coefficient de Kappa de Cohen selon les seuils de Landis &amp; Koch (1977)</w:t>
      </w:r>
      <w:r>
        <w:t xml:space="preserve"> </w:t>
      </w:r>
      <w:r>
        <w:t xml:space="preserve">(Landis and Koch 1977)</w:t>
      </w:r>
    </w:p>
    <w:p>
      <w:pPr>
        <w:pStyle w:val="BodyText"/>
      </w:pPr>
      <w:r>
        <w:t xml:space="preserve">Le coefficient de Kappa de Cohen correspond à la concordance corrigée entre deux évaluateurs, c’est à dire le pourcentage d’accord entre les évaluateurs corrigé par le taux d’accord attendu par hasard (le taux attendu par hasard correspond à la probabilité que les deux évaluateurs soient d’accord simplement par hasard, en fonction de la distribution des réponses).</w:t>
      </w:r>
    </w:p>
    <w:p>
      <w:pPr>
        <w:pStyle w:val="TableCaption"/>
      </w:pPr>
      <w:r>
        <w:t xml:space="preserve">Inter-observer agreement for each ultrasound test</w:t>
      </w:r>
    </w:p>
    <w:tbl>
      <w:tblPr>
        <w:tblStyle w:val="Table"/>
        <w:tblW w:type="auto" w:w="0"/>
        <w:tblLook w:firstRow="1" w:lastRow="0" w:firstColumn="0" w:lastColumn="0" w:noHBand="0" w:noVBand="0" w:val="0020"/>
        <w:tblCaption w:val="Inter-observer agreement for each ultrasound test"/>
      </w:tblPr>
      <w:tblGrid>
        <w:gridCol w:w="1131"/>
        <w:gridCol w:w="1131"/>
        <w:gridCol w:w="1131"/>
        <w:gridCol w:w="1131"/>
        <w:gridCol w:w="1131"/>
        <w:gridCol w:w="1131"/>
        <w:gridCol w:w="1131"/>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Accord</w:t>
            </w:r>
          </w:p>
        </w:tc>
        <w:tc>
          <w:tcPr/>
          <w:p>
            <w:pPr>
              <w:pStyle w:val="Compact"/>
              <w:jc w:val="center"/>
            </w:pPr>
            <w:r>
              <w:t xml:space="preserve">Kappa</w:t>
            </w:r>
          </w:p>
        </w:tc>
        <w:tc>
          <w:tcPr/>
          <w:p>
            <w:pPr>
              <w:pStyle w:val="Compact"/>
              <w:jc w:val="center"/>
            </w:pPr>
            <w:r>
              <w:t xml:space="preserve">IC95% bas</w:t>
            </w:r>
          </w:p>
        </w:tc>
        <w:tc>
          <w:tcPr/>
          <w:p>
            <w:pPr>
              <w:pStyle w:val="Compact"/>
              <w:jc w:val="center"/>
            </w:pPr>
            <w:r>
              <w:t xml:space="preserve">IC95% haut</w:t>
            </w:r>
          </w:p>
        </w:tc>
        <w:tc>
          <w:tcPr/>
          <w:p>
            <w:pPr>
              <w:pStyle w:val="Compact"/>
              <w:jc w:val="center"/>
            </w:pPr>
            <w:r>
              <w:t xml:space="preserve">Interpretation</w:t>
            </w:r>
          </w:p>
        </w:tc>
      </w:tr>
      <w:tr>
        <w:tc>
          <w:tcPr/>
          <w:p>
            <w:pPr>
              <w:pStyle w:val="Compact"/>
              <w:jc w:val="center"/>
            </w:pPr>
            <w:r>
              <w:t xml:space="preserve">U1</w:t>
            </w:r>
          </w:p>
        </w:tc>
        <w:tc>
          <w:tcPr/>
          <w:p>
            <w:pPr>
              <w:pStyle w:val="Compact"/>
              <w:jc w:val="center"/>
            </w:pPr>
            <w:r>
              <w:t xml:space="preserve">61</w:t>
            </w:r>
          </w:p>
        </w:tc>
        <w:tc>
          <w:tcPr/>
          <w:p>
            <w:pPr>
              <w:pStyle w:val="Compact"/>
              <w:jc w:val="center"/>
            </w:pPr>
            <w:r>
              <w:t xml:space="preserve">0.885</w:t>
            </w:r>
          </w:p>
        </w:tc>
        <w:tc>
          <w:tcPr/>
          <w:p>
            <w:pPr>
              <w:pStyle w:val="Compact"/>
              <w:jc w:val="center"/>
            </w:pPr>
            <w:r>
              <w:t xml:space="preserve">0.698</w:t>
            </w:r>
          </w:p>
        </w:tc>
        <w:tc>
          <w:tcPr/>
          <w:p>
            <w:pPr>
              <w:pStyle w:val="Compact"/>
              <w:jc w:val="center"/>
            </w:pPr>
            <w:r>
              <w:t xml:space="preserve">0.492</w:t>
            </w:r>
          </w:p>
        </w:tc>
        <w:tc>
          <w:tcPr/>
          <w:p>
            <w:pPr>
              <w:pStyle w:val="Compact"/>
              <w:jc w:val="center"/>
            </w:pPr>
            <w:r>
              <w:t xml:space="preserve">0.905</w:t>
            </w:r>
          </w:p>
        </w:tc>
        <w:tc>
          <w:tcPr/>
          <w:p>
            <w:pPr>
              <w:pStyle w:val="Compact"/>
              <w:jc w:val="center"/>
            </w:pPr>
            <w:r>
              <w:t xml:space="preserve">substantielle</w:t>
            </w:r>
          </w:p>
        </w:tc>
      </w:tr>
      <w:tr>
        <w:tc>
          <w:tcPr/>
          <w:p>
            <w:pPr>
              <w:pStyle w:val="Compact"/>
              <w:jc w:val="center"/>
            </w:pPr>
            <w:r>
              <w:t xml:space="preserve">U2a</w:t>
            </w:r>
          </w:p>
        </w:tc>
        <w:tc>
          <w:tcPr/>
          <w:p>
            <w:pPr>
              <w:pStyle w:val="Compact"/>
              <w:jc w:val="center"/>
            </w:pPr>
            <w:r>
              <w:t xml:space="preserve">61</w:t>
            </w:r>
          </w:p>
        </w:tc>
        <w:tc>
          <w:tcPr/>
          <w:p>
            <w:pPr>
              <w:pStyle w:val="Compact"/>
              <w:jc w:val="center"/>
            </w:pPr>
            <w:r>
              <w:t xml:space="preserve">0.836</w:t>
            </w:r>
          </w:p>
        </w:tc>
        <w:tc>
          <w:tcPr/>
          <w:p>
            <w:pPr>
              <w:pStyle w:val="Compact"/>
              <w:jc w:val="center"/>
            </w:pPr>
            <w:r>
              <w:t xml:space="preserve">0.618</w:t>
            </w:r>
          </w:p>
        </w:tc>
        <w:tc>
          <w:tcPr/>
          <w:p>
            <w:pPr>
              <w:pStyle w:val="Compact"/>
              <w:jc w:val="center"/>
            </w:pPr>
            <w:r>
              <w:t xml:space="preserve">0.405</w:t>
            </w:r>
          </w:p>
        </w:tc>
        <w:tc>
          <w:tcPr/>
          <w:p>
            <w:pPr>
              <w:pStyle w:val="Compact"/>
              <w:jc w:val="center"/>
            </w:pPr>
            <w:r>
              <w:t xml:space="preserve">0.831</w:t>
            </w:r>
          </w:p>
        </w:tc>
        <w:tc>
          <w:tcPr/>
          <w:p>
            <w:pPr>
              <w:pStyle w:val="Compact"/>
              <w:jc w:val="center"/>
            </w:pPr>
            <w:r>
              <w:t xml:space="preserve">substantielle</w:t>
            </w:r>
          </w:p>
        </w:tc>
      </w:tr>
      <w:tr>
        <w:tc>
          <w:tcPr/>
          <w:p>
            <w:pPr>
              <w:pStyle w:val="Compact"/>
              <w:jc w:val="center"/>
            </w:pPr>
            <w:r>
              <w:t xml:space="preserve">U2b</w:t>
            </w:r>
          </w:p>
        </w:tc>
        <w:tc>
          <w:tcPr/>
          <w:p>
            <w:pPr>
              <w:pStyle w:val="Compact"/>
              <w:jc w:val="center"/>
            </w:pPr>
            <w:r>
              <w:t xml:space="preserve">61</w:t>
            </w:r>
          </w:p>
        </w:tc>
        <w:tc>
          <w:tcPr/>
          <w:p>
            <w:pPr>
              <w:pStyle w:val="Compact"/>
              <w:jc w:val="center"/>
            </w:pPr>
            <w:r>
              <w:t xml:space="preserve">0.820</w:t>
            </w:r>
          </w:p>
        </w:tc>
        <w:tc>
          <w:tcPr/>
          <w:p>
            <w:pPr>
              <w:pStyle w:val="Compact"/>
              <w:jc w:val="center"/>
            </w:pPr>
            <w:r>
              <w:t xml:space="preserve">0.605</w:t>
            </w:r>
          </w:p>
        </w:tc>
        <w:tc>
          <w:tcPr/>
          <w:p>
            <w:pPr>
              <w:pStyle w:val="Compact"/>
              <w:jc w:val="center"/>
            </w:pPr>
            <w:r>
              <w:t xml:space="preserve">0.396</w:t>
            </w:r>
          </w:p>
        </w:tc>
        <w:tc>
          <w:tcPr/>
          <w:p>
            <w:pPr>
              <w:pStyle w:val="Compact"/>
              <w:jc w:val="center"/>
            </w:pPr>
            <w:r>
              <w:t xml:space="preserve">0.814</w:t>
            </w:r>
          </w:p>
        </w:tc>
        <w:tc>
          <w:tcPr/>
          <w:p>
            <w:pPr>
              <w:pStyle w:val="Compact"/>
              <w:jc w:val="center"/>
            </w:pPr>
            <w:r>
              <w:t xml:space="preserve">substantielle</w:t>
            </w:r>
          </w:p>
        </w:tc>
      </w:tr>
      <w:tr>
        <w:tc>
          <w:tcPr/>
          <w:p>
            <w:pPr>
              <w:pStyle w:val="Compact"/>
              <w:jc w:val="center"/>
            </w:pPr>
            <w:r>
              <w:t xml:space="preserve">U3</w:t>
            </w:r>
          </w:p>
        </w:tc>
        <w:tc>
          <w:tcPr/>
          <w:p>
            <w:pPr>
              <w:pStyle w:val="Compact"/>
              <w:jc w:val="center"/>
            </w:pPr>
            <w:r>
              <w:t xml:space="preserve">61</w:t>
            </w:r>
          </w:p>
        </w:tc>
        <w:tc>
          <w:tcPr/>
          <w:p>
            <w:pPr>
              <w:pStyle w:val="Compact"/>
              <w:jc w:val="center"/>
            </w:pPr>
            <w:r>
              <w:t xml:space="preserve">0.820</w:t>
            </w:r>
          </w:p>
        </w:tc>
        <w:tc>
          <w:tcPr/>
          <w:p>
            <w:pPr>
              <w:pStyle w:val="Compact"/>
              <w:jc w:val="center"/>
            </w:pPr>
            <w:r>
              <w:t xml:space="preserve">0.629</w:t>
            </w:r>
          </w:p>
        </w:tc>
        <w:tc>
          <w:tcPr/>
          <w:p>
            <w:pPr>
              <w:pStyle w:val="Compact"/>
              <w:jc w:val="center"/>
            </w:pPr>
            <w:r>
              <w:t xml:space="preserve">0.432</w:t>
            </w:r>
          </w:p>
        </w:tc>
        <w:tc>
          <w:tcPr/>
          <w:p>
            <w:pPr>
              <w:pStyle w:val="Compact"/>
              <w:jc w:val="center"/>
            </w:pPr>
            <w:r>
              <w:t xml:space="preserve">0.827</w:t>
            </w:r>
          </w:p>
        </w:tc>
        <w:tc>
          <w:tcPr/>
          <w:p>
            <w:pPr>
              <w:pStyle w:val="Compact"/>
              <w:jc w:val="center"/>
            </w:pPr>
            <w:r>
              <w:t xml:space="preserve">substantielle</w:t>
            </w:r>
          </w:p>
        </w:tc>
      </w:tr>
    </w:tbl>
    <w:tbl>
      <w:tblPr>
        <w:tblStyle w:val="Table"/>
        <w:tblW w:type="pct" w:w="5000"/>
        <w:tblLayout w:type="fixed"/>
        <w:tblLook w:firstRow="0" w:lastRow="0" w:firstColumn="0" w:lastColumn="0" w:noHBand="0" w:noVBand="0" w:val="0000"/>
      </w:tblPr>
      <w:tblGrid>
        <w:gridCol w:w="7920"/>
      </w:tblGrid>
      <w:tr>
        <w:tc>
          <w:tcPr/>
          <w:bookmarkStart w:id="91" w:name="fig-kappa-interobserver"/>
          <w:p>
            <w:pPr>
              <w:pStyle w:val="Compact"/>
              <w:jc w:val="center"/>
            </w:pPr>
            <w:r>
              <w:drawing>
                <wp:inline>
                  <wp:extent cx="5334000" cy="3556000"/>
                  <wp:effectExtent b="0" l="0" r="0" t="0"/>
                  <wp:docPr descr="" title="" id="89" name="Picture"/>
                  <a:graphic>
                    <a:graphicData uri="http://schemas.openxmlformats.org/drawingml/2006/picture">
                      <pic:pic>
                        <pic:nvPicPr>
                          <pic:cNvPr descr="these_brieuc_last_recueil_files/figure-docx/fig-kappa-interobserver-1.png" id="90" name="Picture"/>
                          <pic:cNvPicPr>
                            <a:picLocks noChangeArrowheads="1" noChangeAspect="1"/>
                          </pic:cNvPicPr>
                        </pic:nvPicPr>
                        <pic:blipFill>
                          <a:blip r:embed="rId8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Kappa inter-observer agreement for each ultrasound test.</w:t>
            </w:r>
          </w:p>
          <w:bookmarkEnd w:id="91"/>
        </w:tc>
      </w:tr>
    </w:tbl>
    <w:p>
      <w:pPr>
        <w:pStyle w:val="BodyText"/>
      </w:pPr>
      <w:r>
        <w:t xml:space="preserve">Interprétation : les coefficients sont dans la classe substantielle.</w:t>
      </w:r>
      <w:r>
        <w:t xml:space="preserve"> </w:t>
      </w:r>
      <w:r>
        <w:rPr>
          <w:rStyle w:val="VerbatimChar"/>
        </w:rPr>
        <w:t xml:space="preserve">ULNT1</w:t>
      </w:r>
      <w:r>
        <w:t xml:space="preserve"> </w:t>
      </w:r>
      <w:r>
        <w:t xml:space="preserve">est le plus reproductible.</w:t>
      </w:r>
    </w:p>
    <w:p>
      <w:pPr>
        <w:pStyle w:val="Compact"/>
        <w:numPr>
          <w:ilvl w:val="0"/>
          <w:numId w:val="1026"/>
        </w:numPr>
      </w:pPr>
      <w:r>
        <w:t xml:space="preserve">&lt; 0 : pas d’accord</w:t>
      </w:r>
    </w:p>
    <w:p>
      <w:pPr>
        <w:pStyle w:val="Compact"/>
        <w:numPr>
          <w:ilvl w:val="0"/>
          <w:numId w:val="1026"/>
        </w:numPr>
      </w:pPr>
      <w:r>
        <w:t xml:space="preserve">0.00–0.20 : accord faible</w:t>
      </w:r>
    </w:p>
    <w:p>
      <w:pPr>
        <w:pStyle w:val="Compact"/>
        <w:numPr>
          <w:ilvl w:val="0"/>
          <w:numId w:val="1026"/>
        </w:numPr>
      </w:pPr>
      <w:r>
        <w:t xml:space="preserve">0.21–0.40 : accord passable</w:t>
      </w:r>
    </w:p>
    <w:p>
      <w:pPr>
        <w:pStyle w:val="Compact"/>
        <w:numPr>
          <w:ilvl w:val="0"/>
          <w:numId w:val="1026"/>
        </w:numPr>
      </w:pPr>
      <w:r>
        <w:t xml:space="preserve">0.41–0.60 : accord modéré</w:t>
      </w:r>
    </w:p>
    <w:p>
      <w:pPr>
        <w:pStyle w:val="Compact"/>
        <w:numPr>
          <w:ilvl w:val="0"/>
          <w:numId w:val="1026"/>
        </w:numPr>
      </w:pPr>
      <w:r>
        <w:t xml:space="preserve">0.61–0.80 : accord substantiel</w:t>
      </w:r>
    </w:p>
    <w:p>
      <w:pPr>
        <w:pStyle w:val="Compact"/>
        <w:numPr>
          <w:ilvl w:val="0"/>
          <w:numId w:val="1026"/>
        </w:numPr>
      </w:pPr>
      <w:r>
        <w:t xml:space="preserve">0.81–1.00 : accord presque parfait</w:t>
      </w:r>
    </w:p>
    <w:p>
      <w:r>
        <w:br w:type="page"/>
      </w:r>
    </w:p>
    <w:bookmarkEnd w:id="92"/>
    <w:bookmarkStart w:id="109" w:name="combinaisons-et-score-de-positivité-ulnt"/>
    <w:p>
      <w:pPr>
        <w:pStyle w:val="Heading2"/>
      </w:pPr>
      <w:r>
        <w:t xml:space="preserve">Combinaisons et score de positivité ULNT</w:t>
      </w:r>
    </w:p>
    <w:p>
      <w:pPr>
        <w:pStyle w:val="FirstParagraph"/>
      </w:pPr>
      <w:r>
        <w:t xml:space="preserve">Le protocole prévoyait une exploration des associations entre tests.</w:t>
      </w:r>
    </w:p>
    <w:p>
      <w:pPr>
        <w:pStyle w:val="BodyText"/>
      </w:pPr>
      <w:r>
        <w:t xml:space="preserve">2 approches sont possibles :</w:t>
      </w:r>
    </w:p>
    <w:p>
      <w:pPr>
        <w:numPr>
          <w:ilvl w:val="0"/>
          <w:numId w:val="1027"/>
        </w:numPr>
      </w:pPr>
      <w:r>
        <w:t xml:space="preserve">Des combinaisons</w:t>
      </w:r>
      <w:r>
        <w:t xml:space="preserve"> </w:t>
      </w:r>
      <w:r>
        <w:t xml:space="preserve">“conjonctives”</w:t>
      </w:r>
      <w:r>
        <w:t xml:space="preserve"> </w:t>
      </w:r>
      <w:r>
        <w:t xml:space="preserve">: combinaisons exactes de 2 à 4 tests, pour lesquelles le résultat est positif seulement si</w:t>
      </w:r>
      <w:r>
        <w:t xml:space="preserve"> </w:t>
      </w:r>
      <w:r>
        <w:rPr>
          <w:b/>
          <w:bCs/>
        </w:rPr>
        <w:t xml:space="preserve">tous</w:t>
      </w:r>
      <w:r>
        <w:t xml:space="preserve"> </w:t>
      </w:r>
      <w:r>
        <w:t xml:space="preserve">les tests de la combinaison sont positifs ;</w:t>
      </w:r>
    </w:p>
    <w:p>
      <w:pPr>
        <w:numPr>
          <w:ilvl w:val="0"/>
          <w:numId w:val="1027"/>
        </w:numPr>
      </w:pPr>
      <w:r>
        <w:t xml:space="preserve">Un</w:t>
      </w:r>
      <w:r>
        <w:t xml:space="preserve"> </w:t>
      </w:r>
      <w:r>
        <w:t xml:space="preserve">“score de positivité”</w:t>
      </w:r>
      <w:r>
        <w:t xml:space="preserve">, qui correspond simplement au</w:t>
      </w:r>
      <w:r>
        <w:t xml:space="preserve"> </w:t>
      </w:r>
      <w:r>
        <w:rPr>
          <w:b/>
          <w:bCs/>
        </w:rPr>
        <w:t xml:space="preserve">nombre total</w:t>
      </w:r>
      <w:r>
        <w:t xml:space="preserve"> </w:t>
      </w:r>
      <w:r>
        <w:t xml:space="preserve">de tests positifs, puis à des seuils du type</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w:t>
      </w:r>
      <w:r>
        <w:t xml:space="preserve">ou</w:t>
      </w:r>
      <w:r>
        <w:t xml:space="preserve"> </w:t>
      </w:r>
      <w:r>
        <w:rPr>
          <w:rStyle w:val="VerbatimChar"/>
        </w:rPr>
        <w:t xml:space="preserve">=4</w:t>
      </w:r>
      <w:r>
        <w:t xml:space="preserve">.</w:t>
      </w:r>
    </w:p>
    <w:p>
      <w:pPr>
        <w:pStyle w:val="FirstParagraph"/>
      </w:pPr>
      <w:r>
        <w:t xml:space="preserve">Exemple :</w:t>
      </w:r>
      <w:r>
        <w:t xml:space="preserve"> </w:t>
      </w:r>
      <w:r>
        <w:rPr>
          <w:rStyle w:val="VerbatimChar"/>
        </w:rPr>
        <w:t xml:space="preserve">≥2 positifs</w:t>
      </w:r>
      <w:r>
        <w:t xml:space="preserve"> </w:t>
      </w:r>
      <w:r>
        <w:t xml:space="preserve">correspond à aux moins 2 tests quelqu’ils soient, alors qu’une combinaison conjonctive</w:t>
      </w:r>
      <w:r>
        <w:t xml:space="preserve"> </w:t>
      </w:r>
      <w:r>
        <w:rPr>
          <w:rStyle w:val="VerbatimChar"/>
        </w:rPr>
        <w:t xml:space="preserve">U2b + U3</w:t>
      </w:r>
      <w:r>
        <w:t xml:space="preserve"> </w:t>
      </w:r>
      <w:r>
        <w:t xml:space="preserve">impose précisément quels tests doivent être positifs.</w:t>
      </w:r>
    </w:p>
    <w:bookmarkStart w:id="93" w:name="combinaisons-conjonctives-prédéfinies"/>
    <w:p>
      <w:pPr>
        <w:pStyle w:val="Heading3"/>
      </w:pPr>
      <w:r>
        <w:t xml:space="preserve">Combinaisons conjonctives prédéfinies</w:t>
      </w:r>
    </w:p>
    <w:p>
      <w:pPr>
        <w:numPr>
          <w:ilvl w:val="0"/>
          <w:numId w:val="1028"/>
        </w:numPr>
      </w:pPr>
      <w:r>
        <w:t xml:space="preserve">Combinaison la plus sensible : U1 (Se = 0.844, Sp = 0.615).</w:t>
      </w:r>
    </w:p>
    <w:p>
      <w:pPr>
        <w:numPr>
          <w:ilvl w:val="0"/>
          <w:numId w:val="1028"/>
        </w:numPr>
      </w:pPr>
      <w:r>
        <w:t xml:space="preserve">Combinaison(s) la/les plus spécifique(s) : U2b + U3, U2a + U2b + U3, U1 + U2b + U3 et U1 + U2a + U2b + U3, avec Sp = 0.769. La combinaison retenue pour la meilleure spécificité est U2b + U3, car elle conserve la meilleure sensibilité parmi les ex aequo (Se = 0.267) puis la meilleure parcimonie (2 tests).</w:t>
      </w:r>
    </w:p>
    <w:p>
      <w:pPr>
        <w:pStyle w:val="TableCaption"/>
      </w:pPr>
      <w:r>
        <w:t xml:space="preserve">Combinaisons des ULNT avec définition positive conjonctive</w:t>
      </w:r>
    </w:p>
    <w:tbl>
      <w:tblPr>
        <w:tblStyle w:val="Table"/>
        <w:tblW w:type="pct" w:w="5000"/>
        <w:tblLayout w:type="fixed"/>
        <w:tblLook w:firstRow="1" w:lastRow="0" w:firstColumn="0" w:lastColumn="0" w:noHBand="0" w:noVBand="0" w:val="0020"/>
        <w:tblCaption w:val="Combinaisons des ULNT avec définition positive conjonctive"/>
      </w:tblPr>
      <w:tblGrid>
        <w:gridCol w:w="1033"/>
        <w:gridCol w:w="836"/>
        <w:gridCol w:w="541"/>
        <w:gridCol w:w="1131"/>
        <w:gridCol w:w="1131"/>
        <w:gridCol w:w="1131"/>
        <w:gridCol w:w="1131"/>
        <w:gridCol w:w="295"/>
        <w:gridCol w:w="295"/>
        <w:gridCol w:w="393"/>
      </w:tblGrid>
      <w:tr>
        <w:trPr>
          <w:tblHeader w:val="on"/>
        </w:trPr>
        <w:tc>
          <w:tcPr/>
          <w:p>
            <w:pPr>
              <w:pStyle w:val="Compact"/>
              <w:jc w:val="center"/>
            </w:pPr>
            <w:r>
              <w:t xml:space="preserve">Combinaison</w:t>
            </w:r>
          </w:p>
        </w:tc>
        <w:tc>
          <w:tcPr/>
          <w:p>
            <w:pPr>
              <w:pStyle w:val="Compact"/>
              <w:jc w:val="center"/>
            </w:pPr>
            <w:r>
              <w:t xml:space="preserve">Nombre de tests</w:t>
            </w:r>
          </w:p>
        </w:tc>
        <w:tc>
          <w:tcPr/>
          <w:p>
            <w:pPr>
              <w:pStyle w:val="Compact"/>
              <w:jc w:val="center"/>
            </w:pPr>
            <w:r>
              <w:t xml:space="preserve">N analyse</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r>
      <w:tr>
        <w:tc>
          <w:tcPr/>
          <w:p>
            <w:pPr>
              <w:pStyle w:val="Compact"/>
              <w:jc w:val="center"/>
            </w:pPr>
            <w:r>
              <w:t xml:space="preserve">U1</w:t>
            </w:r>
          </w:p>
        </w:tc>
        <w:tc>
          <w:tcPr/>
          <w:p>
            <w:pPr>
              <w:pStyle w:val="Compact"/>
              <w:jc w:val="center"/>
            </w:pPr>
            <w:r>
              <w:t xml:space="preserve">1</w:t>
            </w:r>
          </w:p>
        </w:tc>
        <w:tc>
          <w:tcPr/>
          <w:p>
            <w:pPr>
              <w:pStyle w:val="Compact"/>
              <w:jc w:val="center"/>
            </w:pPr>
            <w:r>
              <w:t xml:space="preserve">71</w:t>
            </w:r>
          </w:p>
        </w:tc>
        <w:tc>
          <w:tcPr/>
          <w:p>
            <w:pPr>
              <w:pStyle w:val="Compact"/>
              <w:jc w:val="center"/>
            </w:pPr>
            <w:r>
              <w:t xml:space="preserve">0.844 [0.705 ; 0.935]</w:t>
            </w:r>
          </w:p>
        </w:tc>
        <w:tc>
          <w:tcPr/>
          <w:p>
            <w:pPr>
              <w:pStyle w:val="Compact"/>
              <w:jc w:val="center"/>
            </w:pPr>
            <w:r>
              <w:t xml:space="preserve">0.615 [0.406 ; 0.798]</w:t>
            </w:r>
          </w:p>
        </w:tc>
        <w:tc>
          <w:tcPr/>
          <w:p>
            <w:pPr>
              <w:pStyle w:val="Compact"/>
              <w:jc w:val="center"/>
            </w:pPr>
            <w:r>
              <w:t xml:space="preserve">0.792 [0.65 ; 0.895]</w:t>
            </w:r>
          </w:p>
        </w:tc>
        <w:tc>
          <w:tcPr/>
          <w:p>
            <w:pPr>
              <w:pStyle w:val="Compact"/>
              <w:jc w:val="center"/>
            </w:pPr>
            <w:r>
              <w:t xml:space="preserve">0.696 [0.471 ; 0.868]</w:t>
            </w:r>
          </w:p>
        </w:tc>
        <w:tc>
          <w:tcPr/>
          <w:p>
            <w:pPr>
              <w:pStyle w:val="Compact"/>
              <w:jc w:val="center"/>
            </w:pPr>
            <w:r>
              <w:t xml:space="preserve">2.20</w:t>
            </w:r>
          </w:p>
        </w:tc>
        <w:tc>
          <w:tcPr/>
          <w:p>
            <w:pPr>
              <w:pStyle w:val="Compact"/>
              <w:jc w:val="center"/>
            </w:pPr>
            <w:r>
              <w:t xml:space="preserve">0.25</w:t>
            </w:r>
          </w:p>
        </w:tc>
        <w:tc>
          <w:tcPr/>
          <w:p>
            <w:pPr>
              <w:pStyle w:val="Compact"/>
              <w:jc w:val="center"/>
            </w:pPr>
            <w:r>
              <w:t xml:space="preserve">0.460</w:t>
            </w:r>
          </w:p>
        </w:tc>
      </w:tr>
      <w:tr>
        <w:tc>
          <w:tcPr/>
          <w:p>
            <w:pPr>
              <w:pStyle w:val="Compact"/>
              <w:jc w:val="center"/>
            </w:pPr>
            <w:r>
              <w:t xml:space="preserve">U2b</w:t>
            </w:r>
          </w:p>
        </w:tc>
        <w:tc>
          <w:tcPr/>
          <w:p>
            <w:pPr>
              <w:pStyle w:val="Compact"/>
              <w:jc w:val="center"/>
            </w:pPr>
            <w:r>
              <w:t xml:space="preserve">1</w:t>
            </w:r>
          </w:p>
        </w:tc>
        <w:tc>
          <w:tcPr/>
          <w:p>
            <w:pPr>
              <w:pStyle w:val="Compact"/>
              <w:jc w:val="center"/>
            </w:pPr>
            <w:r>
              <w:t xml:space="preserve">71</w:t>
            </w:r>
          </w:p>
        </w:tc>
        <w:tc>
          <w:tcPr/>
          <w:p>
            <w:pPr>
              <w:pStyle w:val="Compact"/>
              <w:jc w:val="center"/>
            </w:pPr>
            <w:r>
              <w:t xml:space="preserve">0.689 [0.534 ; 0.818]</w:t>
            </w:r>
          </w:p>
        </w:tc>
        <w:tc>
          <w:tcPr/>
          <w:p>
            <w:pPr>
              <w:pStyle w:val="Compact"/>
              <w:jc w:val="center"/>
            </w:pPr>
            <w:r>
              <w:t xml:space="preserve">0.692 [0.482 ; 0.857]</w:t>
            </w:r>
          </w:p>
        </w:tc>
        <w:tc>
          <w:tcPr/>
          <w:p>
            <w:pPr>
              <w:pStyle w:val="Compact"/>
              <w:jc w:val="center"/>
            </w:pPr>
            <w:r>
              <w:t xml:space="preserve">0.795 [0.635 ; 0.907]</w:t>
            </w:r>
          </w:p>
        </w:tc>
        <w:tc>
          <w:tcPr/>
          <w:p>
            <w:pPr>
              <w:pStyle w:val="Compact"/>
              <w:jc w:val="center"/>
            </w:pPr>
            <w:r>
              <w:t xml:space="preserve">0.562 [0.377 ; 0.736]</w:t>
            </w:r>
          </w:p>
        </w:tc>
        <w:tc>
          <w:tcPr/>
          <w:p>
            <w:pPr>
              <w:pStyle w:val="Compact"/>
              <w:jc w:val="center"/>
            </w:pPr>
            <w:r>
              <w:t xml:space="preserve">2.24</w:t>
            </w:r>
          </w:p>
        </w:tc>
        <w:tc>
          <w:tcPr/>
          <w:p>
            <w:pPr>
              <w:pStyle w:val="Compact"/>
              <w:jc w:val="center"/>
            </w:pPr>
            <w:r>
              <w:t xml:space="preserve">0.45</w:t>
            </w:r>
          </w:p>
        </w:tc>
        <w:tc>
          <w:tcPr/>
          <w:p>
            <w:pPr>
              <w:pStyle w:val="Compact"/>
              <w:jc w:val="center"/>
            </w:pPr>
            <w:r>
              <w:t xml:space="preserve">0.381</w:t>
            </w:r>
          </w:p>
        </w:tc>
      </w:tr>
      <w:tr>
        <w:tc>
          <w:tcPr/>
          <w:p>
            <w:pPr>
              <w:pStyle w:val="Compact"/>
              <w:jc w:val="center"/>
            </w:pPr>
            <w:r>
              <w:t xml:space="preserve">U2a</w:t>
            </w:r>
          </w:p>
        </w:tc>
        <w:tc>
          <w:tcPr/>
          <w:p>
            <w:pPr>
              <w:pStyle w:val="Compact"/>
              <w:jc w:val="center"/>
            </w:pPr>
            <w:r>
              <w:t xml:space="preserve">1</w:t>
            </w:r>
          </w:p>
        </w:tc>
        <w:tc>
          <w:tcPr/>
          <w:p>
            <w:pPr>
              <w:pStyle w:val="Compact"/>
              <w:jc w:val="center"/>
            </w:pPr>
            <w:r>
              <w:t xml:space="preserve">71</w:t>
            </w:r>
          </w:p>
        </w:tc>
        <w:tc>
          <w:tcPr/>
          <w:p>
            <w:pPr>
              <w:pStyle w:val="Compact"/>
              <w:jc w:val="center"/>
            </w:pPr>
            <w:r>
              <w:t xml:space="preserve">0.778 [0.629 ; 0.888]</w:t>
            </w:r>
          </w:p>
        </w:tc>
        <w:tc>
          <w:tcPr/>
          <w:p>
            <w:pPr>
              <w:pStyle w:val="Compact"/>
              <w:jc w:val="center"/>
            </w:pPr>
            <w:r>
              <w:t xml:space="preserve">0.577 [0.369 ; 0.766]</w:t>
            </w:r>
          </w:p>
        </w:tc>
        <w:tc>
          <w:tcPr/>
          <w:p>
            <w:pPr>
              <w:pStyle w:val="Compact"/>
              <w:jc w:val="center"/>
            </w:pPr>
            <w:r>
              <w:t xml:space="preserve">0.761 [0.612 ; 0.874]</w:t>
            </w:r>
          </w:p>
        </w:tc>
        <w:tc>
          <w:tcPr/>
          <w:p>
            <w:pPr>
              <w:pStyle w:val="Compact"/>
              <w:jc w:val="center"/>
            </w:pPr>
            <w:r>
              <w:t xml:space="preserve">0.6 [0.387 ; 0.789]</w:t>
            </w:r>
          </w:p>
        </w:tc>
        <w:tc>
          <w:tcPr/>
          <w:p>
            <w:pPr>
              <w:pStyle w:val="Compact"/>
              <w:jc w:val="center"/>
            </w:pPr>
            <w:r>
              <w:t xml:space="preserve">1.84</w:t>
            </w:r>
          </w:p>
        </w:tc>
        <w:tc>
          <w:tcPr/>
          <w:p>
            <w:pPr>
              <w:pStyle w:val="Compact"/>
              <w:jc w:val="center"/>
            </w:pPr>
            <w:r>
              <w:t xml:space="preserve">0.39</w:t>
            </w:r>
          </w:p>
        </w:tc>
        <w:tc>
          <w:tcPr/>
          <w:p>
            <w:pPr>
              <w:pStyle w:val="Compact"/>
              <w:jc w:val="center"/>
            </w:pPr>
            <w:r>
              <w:t xml:space="preserve">0.355</w:t>
            </w:r>
          </w:p>
        </w:tc>
      </w:tr>
      <w:tr>
        <w:tc>
          <w:tcPr/>
          <w:p>
            <w:pPr>
              <w:pStyle w:val="Compact"/>
              <w:jc w:val="center"/>
            </w:pPr>
            <w:r>
              <w:t xml:space="preserve">U2a + U2b</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0.6 [0.443 ; 0.743]</w:t>
            </w:r>
          </w:p>
        </w:tc>
        <w:tc>
          <w:tcPr/>
          <w:p>
            <w:pPr>
              <w:pStyle w:val="Compact"/>
              <w:jc w:val="center"/>
            </w:pPr>
            <w:r>
              <w:t xml:space="preserve">0.731 [0.522 ; 0.884]</w:t>
            </w:r>
          </w:p>
        </w:tc>
        <w:tc>
          <w:tcPr/>
          <w:p>
            <w:pPr>
              <w:pStyle w:val="Compact"/>
              <w:jc w:val="center"/>
            </w:pPr>
            <w:r>
              <w:t xml:space="preserve">0.794 [0.621 ; 0.913]</w:t>
            </w:r>
          </w:p>
        </w:tc>
        <w:tc>
          <w:tcPr/>
          <w:p>
            <w:pPr>
              <w:pStyle w:val="Compact"/>
              <w:jc w:val="center"/>
            </w:pPr>
            <w:r>
              <w:t xml:space="preserve">0.514 [0.344 ; 0.681]</w:t>
            </w:r>
          </w:p>
        </w:tc>
        <w:tc>
          <w:tcPr/>
          <w:p>
            <w:pPr>
              <w:pStyle w:val="Compact"/>
              <w:jc w:val="center"/>
            </w:pPr>
            <w:r>
              <w:t xml:space="preserve">2.23</w:t>
            </w:r>
          </w:p>
        </w:tc>
        <w:tc>
          <w:tcPr/>
          <w:p>
            <w:pPr>
              <w:pStyle w:val="Compact"/>
              <w:jc w:val="center"/>
            </w:pPr>
            <w:r>
              <w:t xml:space="preserve">0.55</w:t>
            </w:r>
          </w:p>
        </w:tc>
        <w:tc>
          <w:tcPr/>
          <w:p>
            <w:pPr>
              <w:pStyle w:val="Compact"/>
              <w:jc w:val="center"/>
            </w:pPr>
            <w:r>
              <w:t xml:space="preserve">0.331</w:t>
            </w:r>
          </w:p>
        </w:tc>
      </w:tr>
      <w:tr>
        <w:tc>
          <w:tcPr/>
          <w:p>
            <w:pPr>
              <w:pStyle w:val="Compact"/>
              <w:jc w:val="center"/>
            </w:pPr>
            <w:r>
              <w:t xml:space="preserve">U1 + U2b</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0.578 [0.422 ; 0.723]</w:t>
            </w:r>
          </w:p>
        </w:tc>
        <w:tc>
          <w:tcPr/>
          <w:p>
            <w:pPr>
              <w:pStyle w:val="Compact"/>
              <w:jc w:val="center"/>
            </w:pPr>
            <w:r>
              <w:t xml:space="preserve">0.731 [0.522 ; 0.884]</w:t>
            </w:r>
          </w:p>
        </w:tc>
        <w:tc>
          <w:tcPr/>
          <w:p>
            <w:pPr>
              <w:pStyle w:val="Compact"/>
              <w:jc w:val="center"/>
            </w:pPr>
            <w:r>
              <w:t xml:space="preserve">0.788 [0.611 ; 0.91]</w:t>
            </w:r>
          </w:p>
        </w:tc>
        <w:tc>
          <w:tcPr/>
          <w:p>
            <w:pPr>
              <w:pStyle w:val="Compact"/>
              <w:jc w:val="center"/>
            </w:pPr>
            <w:r>
              <w:t xml:space="preserve">0.5 [0.334 ; 0.666]</w:t>
            </w:r>
          </w:p>
        </w:tc>
        <w:tc>
          <w:tcPr/>
          <w:p>
            <w:pPr>
              <w:pStyle w:val="Compact"/>
              <w:jc w:val="center"/>
            </w:pPr>
            <w:r>
              <w:t xml:space="preserve">2.15</w:t>
            </w:r>
          </w:p>
        </w:tc>
        <w:tc>
          <w:tcPr/>
          <w:p>
            <w:pPr>
              <w:pStyle w:val="Compact"/>
              <w:jc w:val="center"/>
            </w:pPr>
            <w:r>
              <w:t xml:space="preserve">0.58</w:t>
            </w:r>
          </w:p>
        </w:tc>
        <w:tc>
          <w:tcPr/>
          <w:p>
            <w:pPr>
              <w:pStyle w:val="Compact"/>
              <w:jc w:val="center"/>
            </w:pPr>
            <w:r>
              <w:t xml:space="preserve">0.309</w:t>
            </w:r>
          </w:p>
        </w:tc>
      </w:tr>
      <w:tr>
        <w:tc>
          <w:tcPr/>
          <w:p>
            <w:pPr>
              <w:pStyle w:val="Compact"/>
              <w:jc w:val="center"/>
            </w:pPr>
            <w:r>
              <w:t xml:space="preserve">U1 + U2a</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0.689 [0.534 ; 0.818]</w:t>
            </w:r>
          </w:p>
        </w:tc>
        <w:tc>
          <w:tcPr/>
          <w:p>
            <w:pPr>
              <w:pStyle w:val="Compact"/>
              <w:jc w:val="center"/>
            </w:pPr>
            <w:r>
              <w:t xml:space="preserve">0.615 [0.406 ; 0.798]</w:t>
            </w:r>
          </w:p>
        </w:tc>
        <w:tc>
          <w:tcPr/>
          <w:p>
            <w:pPr>
              <w:pStyle w:val="Compact"/>
              <w:jc w:val="center"/>
            </w:pPr>
            <w:r>
              <w:t xml:space="preserve">0.756 [0.597 ; 0.876]</w:t>
            </w:r>
          </w:p>
        </w:tc>
        <w:tc>
          <w:tcPr/>
          <w:p>
            <w:pPr>
              <w:pStyle w:val="Compact"/>
              <w:jc w:val="center"/>
            </w:pPr>
            <w:r>
              <w:t xml:space="preserve">0.533 [0.343 ; 0.717]</w:t>
            </w:r>
          </w:p>
        </w:tc>
        <w:tc>
          <w:tcPr/>
          <w:p>
            <w:pPr>
              <w:pStyle w:val="Compact"/>
              <w:jc w:val="center"/>
            </w:pPr>
            <w:r>
              <w:t xml:space="preserve">1.79</w:t>
            </w:r>
          </w:p>
        </w:tc>
        <w:tc>
          <w:tcPr/>
          <w:p>
            <w:pPr>
              <w:pStyle w:val="Compact"/>
              <w:jc w:val="center"/>
            </w:pPr>
            <w:r>
              <w:t xml:space="preserve">0.51</w:t>
            </w:r>
          </w:p>
        </w:tc>
        <w:tc>
          <w:tcPr/>
          <w:p>
            <w:pPr>
              <w:pStyle w:val="Compact"/>
              <w:jc w:val="center"/>
            </w:pPr>
            <w:r>
              <w:t xml:space="preserve">0.304</w:t>
            </w:r>
          </w:p>
        </w:tc>
      </w:tr>
      <w:tr>
        <w:tc>
          <w:tcPr/>
          <w:p>
            <w:pPr>
              <w:pStyle w:val="Compact"/>
              <w:jc w:val="center"/>
            </w:pPr>
            <w:r>
              <w:t xml:space="preserve">U1 + U2a + U2b</w:t>
            </w:r>
          </w:p>
        </w:tc>
        <w:tc>
          <w:tcPr/>
          <w:p>
            <w:pPr>
              <w:pStyle w:val="Compact"/>
              <w:jc w:val="center"/>
            </w:pPr>
            <w:r>
              <w:t xml:space="preserve">3</w:t>
            </w:r>
          </w:p>
        </w:tc>
        <w:tc>
          <w:tcPr/>
          <w:p>
            <w:pPr>
              <w:pStyle w:val="Compact"/>
              <w:jc w:val="center"/>
            </w:pPr>
            <w:r>
              <w:t xml:space="preserve">71</w:t>
            </w:r>
          </w:p>
        </w:tc>
        <w:tc>
          <w:tcPr/>
          <w:p>
            <w:pPr>
              <w:pStyle w:val="Compact"/>
              <w:jc w:val="center"/>
            </w:pPr>
            <w:r>
              <w:t xml:space="preserve">0.511 [0.358 ; 0.663]</w:t>
            </w:r>
          </w:p>
        </w:tc>
        <w:tc>
          <w:tcPr/>
          <w:p>
            <w:pPr>
              <w:pStyle w:val="Compact"/>
              <w:jc w:val="center"/>
            </w:pPr>
            <w:r>
              <w:t xml:space="preserve">0.731 [0.522 ; 0.884]</w:t>
            </w:r>
          </w:p>
        </w:tc>
        <w:tc>
          <w:tcPr/>
          <w:p>
            <w:pPr>
              <w:pStyle w:val="Compact"/>
              <w:jc w:val="center"/>
            </w:pPr>
            <w:r>
              <w:t xml:space="preserve">0.767 [0.577 ; 0.901]</w:t>
            </w:r>
          </w:p>
        </w:tc>
        <w:tc>
          <w:tcPr/>
          <w:p>
            <w:pPr>
              <w:pStyle w:val="Compact"/>
              <w:jc w:val="center"/>
            </w:pPr>
            <w:r>
              <w:t xml:space="preserve">0.463 [0.307 ; 0.626]</w:t>
            </w:r>
          </w:p>
        </w:tc>
        <w:tc>
          <w:tcPr/>
          <w:p>
            <w:pPr>
              <w:pStyle w:val="Compact"/>
              <w:jc w:val="center"/>
            </w:pPr>
            <w:r>
              <w:t xml:space="preserve">1.90</w:t>
            </w:r>
          </w:p>
        </w:tc>
        <w:tc>
          <w:tcPr/>
          <w:p>
            <w:pPr>
              <w:pStyle w:val="Compact"/>
              <w:jc w:val="center"/>
            </w:pPr>
            <w:r>
              <w:t xml:space="preserve">0.67</w:t>
            </w:r>
          </w:p>
        </w:tc>
        <w:tc>
          <w:tcPr/>
          <w:p>
            <w:pPr>
              <w:pStyle w:val="Compact"/>
              <w:jc w:val="center"/>
            </w:pPr>
            <w:r>
              <w:t xml:space="preserve">0.242</w:t>
            </w:r>
          </w:p>
        </w:tc>
      </w:tr>
      <w:tr>
        <w:tc>
          <w:tcPr/>
          <w:p>
            <w:pPr>
              <w:pStyle w:val="Compact"/>
              <w:jc w:val="center"/>
            </w:pPr>
            <w:r>
              <w:t xml:space="preserve">U3</w:t>
            </w:r>
          </w:p>
        </w:tc>
        <w:tc>
          <w:tcPr/>
          <w:p>
            <w:pPr>
              <w:pStyle w:val="Compact"/>
              <w:jc w:val="center"/>
            </w:pPr>
            <w:r>
              <w:t xml:space="preserve">1</w:t>
            </w:r>
          </w:p>
        </w:tc>
        <w:tc>
          <w:tcPr/>
          <w:p>
            <w:pPr>
              <w:pStyle w:val="Compact"/>
              <w:jc w:val="center"/>
            </w:pPr>
            <w:r>
              <w:t xml:space="preserve">71</w:t>
            </w:r>
          </w:p>
        </w:tc>
        <w:tc>
          <w:tcPr/>
          <w:p>
            <w:pPr>
              <w:pStyle w:val="Compact"/>
              <w:jc w:val="center"/>
            </w:pPr>
            <w:r>
              <w:t xml:space="preserve">0.378 [0.238 ; 0.535]</w:t>
            </w:r>
          </w:p>
        </w:tc>
        <w:tc>
          <w:tcPr/>
          <w:p>
            <w:pPr>
              <w:pStyle w:val="Compact"/>
              <w:jc w:val="center"/>
            </w:pPr>
            <w:r>
              <w:t xml:space="preserve">0.692 [0.482 ; 0.857]</w:t>
            </w:r>
          </w:p>
        </w:tc>
        <w:tc>
          <w:tcPr/>
          <w:p>
            <w:pPr>
              <w:pStyle w:val="Compact"/>
              <w:jc w:val="center"/>
            </w:pPr>
            <w:r>
              <w:t xml:space="preserve">0.68 [0.465 ; 0.851]</w:t>
            </w:r>
          </w:p>
        </w:tc>
        <w:tc>
          <w:tcPr/>
          <w:p>
            <w:pPr>
              <w:pStyle w:val="Compact"/>
              <w:jc w:val="center"/>
            </w:pPr>
            <w:r>
              <w:t xml:space="preserve">0.391 [0.251 ; 0.546]</w:t>
            </w:r>
          </w:p>
        </w:tc>
        <w:tc>
          <w:tcPr/>
          <w:p>
            <w:pPr>
              <w:pStyle w:val="Compact"/>
              <w:jc w:val="center"/>
            </w:pPr>
            <w:r>
              <w:t xml:space="preserve">1.23</w:t>
            </w:r>
          </w:p>
        </w:tc>
        <w:tc>
          <w:tcPr/>
          <w:p>
            <w:pPr>
              <w:pStyle w:val="Compact"/>
              <w:jc w:val="center"/>
            </w:pPr>
            <w:r>
              <w:t xml:space="preserve">0.90</w:t>
            </w:r>
          </w:p>
        </w:tc>
        <w:tc>
          <w:tcPr/>
          <w:p>
            <w:pPr>
              <w:pStyle w:val="Compact"/>
              <w:jc w:val="center"/>
            </w:pPr>
            <w:r>
              <w:t xml:space="preserve">0.070</w:t>
            </w:r>
          </w:p>
        </w:tc>
      </w:tr>
      <w:tr>
        <w:tc>
          <w:tcPr/>
          <w:p>
            <w:pPr>
              <w:pStyle w:val="Compact"/>
              <w:jc w:val="center"/>
            </w:pPr>
            <w:r>
              <w:t xml:space="preserve">U2a + U3</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0.378 [0.238 ; 0.535]</w:t>
            </w:r>
          </w:p>
        </w:tc>
        <w:tc>
          <w:tcPr/>
          <w:p>
            <w:pPr>
              <w:pStyle w:val="Compact"/>
              <w:jc w:val="center"/>
            </w:pPr>
            <w:r>
              <w:t xml:space="preserve">0.692 [0.482 ; 0.857]</w:t>
            </w:r>
          </w:p>
        </w:tc>
        <w:tc>
          <w:tcPr/>
          <w:p>
            <w:pPr>
              <w:pStyle w:val="Compact"/>
              <w:jc w:val="center"/>
            </w:pPr>
            <w:r>
              <w:t xml:space="preserve">0.68 [0.465 ; 0.851]</w:t>
            </w:r>
          </w:p>
        </w:tc>
        <w:tc>
          <w:tcPr/>
          <w:p>
            <w:pPr>
              <w:pStyle w:val="Compact"/>
              <w:jc w:val="center"/>
            </w:pPr>
            <w:r>
              <w:t xml:space="preserve">0.391 [0.251 ; 0.546]</w:t>
            </w:r>
          </w:p>
        </w:tc>
        <w:tc>
          <w:tcPr/>
          <w:p>
            <w:pPr>
              <w:pStyle w:val="Compact"/>
              <w:jc w:val="center"/>
            </w:pPr>
            <w:r>
              <w:t xml:space="preserve">1.23</w:t>
            </w:r>
          </w:p>
        </w:tc>
        <w:tc>
          <w:tcPr/>
          <w:p>
            <w:pPr>
              <w:pStyle w:val="Compact"/>
              <w:jc w:val="center"/>
            </w:pPr>
            <w:r>
              <w:t xml:space="preserve">0.90</w:t>
            </w:r>
          </w:p>
        </w:tc>
        <w:tc>
          <w:tcPr/>
          <w:p>
            <w:pPr>
              <w:pStyle w:val="Compact"/>
              <w:jc w:val="center"/>
            </w:pPr>
            <w:r>
              <w:t xml:space="preserve">0.070</w:t>
            </w:r>
          </w:p>
        </w:tc>
      </w:tr>
      <w:tr>
        <w:tc>
          <w:tcPr/>
          <w:p>
            <w:pPr>
              <w:pStyle w:val="Compact"/>
              <w:jc w:val="center"/>
            </w:pPr>
            <w:r>
              <w:t xml:space="preserve">U1 + U3</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0.356 [0.219 ; 0.512]</w:t>
            </w:r>
          </w:p>
        </w:tc>
        <w:tc>
          <w:tcPr/>
          <w:p>
            <w:pPr>
              <w:pStyle w:val="Compact"/>
              <w:jc w:val="center"/>
            </w:pPr>
            <w:r>
              <w:t xml:space="preserve">0.692 [0.482 ; 0.857]</w:t>
            </w:r>
          </w:p>
        </w:tc>
        <w:tc>
          <w:tcPr/>
          <w:p>
            <w:pPr>
              <w:pStyle w:val="Compact"/>
              <w:jc w:val="center"/>
            </w:pPr>
            <w:r>
              <w:t xml:space="preserve">0.667 [0.447 ; 0.844]</w:t>
            </w:r>
          </w:p>
        </w:tc>
        <w:tc>
          <w:tcPr/>
          <w:p>
            <w:pPr>
              <w:pStyle w:val="Compact"/>
              <w:jc w:val="center"/>
            </w:pPr>
            <w:r>
              <w:t xml:space="preserve">0.383 [0.245 ; 0.536]</w:t>
            </w:r>
          </w:p>
        </w:tc>
        <w:tc>
          <w:tcPr/>
          <w:p>
            <w:pPr>
              <w:pStyle w:val="Compact"/>
              <w:jc w:val="center"/>
            </w:pPr>
            <w:r>
              <w:t xml:space="preserve">1.16</w:t>
            </w:r>
          </w:p>
        </w:tc>
        <w:tc>
          <w:tcPr/>
          <w:p>
            <w:pPr>
              <w:pStyle w:val="Compact"/>
              <w:jc w:val="center"/>
            </w:pPr>
            <w:r>
              <w:t xml:space="preserve">0.93</w:t>
            </w:r>
          </w:p>
        </w:tc>
        <w:tc>
          <w:tcPr/>
          <w:p>
            <w:pPr>
              <w:pStyle w:val="Compact"/>
              <w:jc w:val="center"/>
            </w:pPr>
            <w:r>
              <w:t xml:space="preserve">0.048</w:t>
            </w:r>
          </w:p>
        </w:tc>
      </w:tr>
      <w:tr>
        <w:tc>
          <w:tcPr/>
          <w:p>
            <w:pPr>
              <w:pStyle w:val="Compact"/>
              <w:jc w:val="center"/>
            </w:pPr>
            <w:r>
              <w:t xml:space="preserve">U1 + U2a + U3</w:t>
            </w:r>
          </w:p>
        </w:tc>
        <w:tc>
          <w:tcPr/>
          <w:p>
            <w:pPr>
              <w:pStyle w:val="Compact"/>
              <w:jc w:val="center"/>
            </w:pPr>
            <w:r>
              <w:t xml:space="preserve">3</w:t>
            </w:r>
          </w:p>
        </w:tc>
        <w:tc>
          <w:tcPr/>
          <w:p>
            <w:pPr>
              <w:pStyle w:val="Compact"/>
              <w:jc w:val="center"/>
            </w:pPr>
            <w:r>
              <w:t xml:space="preserve">71</w:t>
            </w:r>
          </w:p>
        </w:tc>
        <w:tc>
          <w:tcPr/>
          <w:p>
            <w:pPr>
              <w:pStyle w:val="Compact"/>
              <w:jc w:val="center"/>
            </w:pPr>
            <w:r>
              <w:t xml:space="preserve">0.356 [0.219 ; 0.512]</w:t>
            </w:r>
          </w:p>
        </w:tc>
        <w:tc>
          <w:tcPr/>
          <w:p>
            <w:pPr>
              <w:pStyle w:val="Compact"/>
              <w:jc w:val="center"/>
            </w:pPr>
            <w:r>
              <w:t xml:space="preserve">0.692 [0.482 ; 0.857]</w:t>
            </w:r>
          </w:p>
        </w:tc>
        <w:tc>
          <w:tcPr/>
          <w:p>
            <w:pPr>
              <w:pStyle w:val="Compact"/>
              <w:jc w:val="center"/>
            </w:pPr>
            <w:r>
              <w:t xml:space="preserve">0.667 [0.447 ; 0.844]</w:t>
            </w:r>
          </w:p>
        </w:tc>
        <w:tc>
          <w:tcPr/>
          <w:p>
            <w:pPr>
              <w:pStyle w:val="Compact"/>
              <w:jc w:val="center"/>
            </w:pPr>
            <w:r>
              <w:t xml:space="preserve">0.383 [0.245 ; 0.536]</w:t>
            </w:r>
          </w:p>
        </w:tc>
        <w:tc>
          <w:tcPr/>
          <w:p>
            <w:pPr>
              <w:pStyle w:val="Compact"/>
              <w:jc w:val="center"/>
            </w:pPr>
            <w:r>
              <w:t xml:space="preserve">1.16</w:t>
            </w:r>
          </w:p>
        </w:tc>
        <w:tc>
          <w:tcPr/>
          <w:p>
            <w:pPr>
              <w:pStyle w:val="Compact"/>
              <w:jc w:val="center"/>
            </w:pPr>
            <w:r>
              <w:t xml:space="preserve">0.93</w:t>
            </w:r>
          </w:p>
        </w:tc>
        <w:tc>
          <w:tcPr/>
          <w:p>
            <w:pPr>
              <w:pStyle w:val="Compact"/>
              <w:jc w:val="center"/>
            </w:pPr>
            <w:r>
              <w:t xml:space="preserve">0.048</w:t>
            </w:r>
          </w:p>
        </w:tc>
      </w:tr>
      <w:tr>
        <w:tc>
          <w:tcPr/>
          <w:p>
            <w:pPr>
              <w:pStyle w:val="Compact"/>
              <w:jc w:val="center"/>
            </w:pPr>
            <w:r>
              <w:t xml:space="preserve">U2b + U3</w:t>
            </w:r>
          </w:p>
        </w:tc>
        <w:tc>
          <w:tcPr/>
          <w:p>
            <w:pPr>
              <w:pStyle w:val="Compact"/>
              <w:jc w:val="center"/>
            </w:pPr>
            <w:r>
              <w:t xml:space="preserve">2</w:t>
            </w:r>
          </w:p>
        </w:tc>
        <w:tc>
          <w:tcPr/>
          <w:p>
            <w:pPr>
              <w:pStyle w:val="Compact"/>
              <w:jc w:val="center"/>
            </w:pPr>
            <w:r>
              <w:t xml:space="preserve">71</w:t>
            </w:r>
          </w:p>
        </w:tc>
        <w:tc>
          <w:tcPr/>
          <w:p>
            <w:pPr>
              <w:pStyle w:val="Compact"/>
              <w:jc w:val="center"/>
            </w:pPr>
            <w:r>
              <w:t xml:space="preserve">0.267 [0.146 ; 0.419]</w:t>
            </w:r>
          </w:p>
        </w:tc>
        <w:tc>
          <w:tcPr/>
          <w:p>
            <w:pPr>
              <w:pStyle w:val="Compact"/>
              <w:jc w:val="center"/>
            </w:pPr>
            <w:r>
              <w:t xml:space="preserve">0.769 [0.564 ; 0.91]</w:t>
            </w:r>
          </w:p>
        </w:tc>
        <w:tc>
          <w:tcPr/>
          <w:p>
            <w:pPr>
              <w:pStyle w:val="Compact"/>
              <w:jc w:val="center"/>
            </w:pPr>
            <w:r>
              <w:t xml:space="preserve">0.667 [0.41 ; 0.867]</w:t>
            </w:r>
          </w:p>
        </w:tc>
        <w:tc>
          <w:tcPr/>
          <w:p>
            <w:pPr>
              <w:pStyle w:val="Compact"/>
              <w:jc w:val="center"/>
            </w:pPr>
            <w:r>
              <w:t xml:space="preserve">0.377 [0.248 ; 0.521]</w:t>
            </w:r>
          </w:p>
        </w:tc>
        <w:tc>
          <w:tcPr/>
          <w:p>
            <w:pPr>
              <w:pStyle w:val="Compact"/>
              <w:jc w:val="center"/>
            </w:pPr>
            <w:r>
              <w:t xml:space="preserve">1.16</w:t>
            </w:r>
          </w:p>
        </w:tc>
        <w:tc>
          <w:tcPr/>
          <w:p>
            <w:pPr>
              <w:pStyle w:val="Compact"/>
              <w:jc w:val="center"/>
            </w:pPr>
            <w:r>
              <w:t xml:space="preserve">0.95</w:t>
            </w:r>
          </w:p>
        </w:tc>
        <w:tc>
          <w:tcPr/>
          <w:p>
            <w:pPr>
              <w:pStyle w:val="Compact"/>
              <w:jc w:val="center"/>
            </w:pPr>
            <w:r>
              <w:t xml:space="preserve">0.036</w:t>
            </w:r>
          </w:p>
        </w:tc>
      </w:tr>
      <w:tr>
        <w:tc>
          <w:tcPr/>
          <w:p>
            <w:pPr>
              <w:pStyle w:val="Compact"/>
              <w:jc w:val="center"/>
            </w:pPr>
            <w:r>
              <w:t xml:space="preserve">U2a + U2b + U3</w:t>
            </w:r>
          </w:p>
        </w:tc>
        <w:tc>
          <w:tcPr/>
          <w:p>
            <w:pPr>
              <w:pStyle w:val="Compact"/>
              <w:jc w:val="center"/>
            </w:pPr>
            <w:r>
              <w:t xml:space="preserve">3</w:t>
            </w:r>
          </w:p>
        </w:tc>
        <w:tc>
          <w:tcPr/>
          <w:p>
            <w:pPr>
              <w:pStyle w:val="Compact"/>
              <w:jc w:val="center"/>
            </w:pPr>
            <w:r>
              <w:t xml:space="preserve">71</w:t>
            </w:r>
          </w:p>
        </w:tc>
        <w:tc>
          <w:tcPr/>
          <w:p>
            <w:pPr>
              <w:pStyle w:val="Compact"/>
              <w:jc w:val="center"/>
            </w:pPr>
            <w:r>
              <w:t xml:space="preserve">0.267 [0.146 ; 0.419]</w:t>
            </w:r>
          </w:p>
        </w:tc>
        <w:tc>
          <w:tcPr/>
          <w:p>
            <w:pPr>
              <w:pStyle w:val="Compact"/>
              <w:jc w:val="center"/>
            </w:pPr>
            <w:r>
              <w:t xml:space="preserve">0.769 [0.564 ; 0.91]</w:t>
            </w:r>
          </w:p>
        </w:tc>
        <w:tc>
          <w:tcPr/>
          <w:p>
            <w:pPr>
              <w:pStyle w:val="Compact"/>
              <w:jc w:val="center"/>
            </w:pPr>
            <w:r>
              <w:t xml:space="preserve">0.667 [0.41 ; 0.867]</w:t>
            </w:r>
          </w:p>
        </w:tc>
        <w:tc>
          <w:tcPr/>
          <w:p>
            <w:pPr>
              <w:pStyle w:val="Compact"/>
              <w:jc w:val="center"/>
            </w:pPr>
            <w:r>
              <w:t xml:space="preserve">0.377 [0.248 ; 0.521]</w:t>
            </w:r>
          </w:p>
        </w:tc>
        <w:tc>
          <w:tcPr/>
          <w:p>
            <w:pPr>
              <w:pStyle w:val="Compact"/>
              <w:jc w:val="center"/>
            </w:pPr>
            <w:r>
              <w:t xml:space="preserve">1.16</w:t>
            </w:r>
          </w:p>
        </w:tc>
        <w:tc>
          <w:tcPr/>
          <w:p>
            <w:pPr>
              <w:pStyle w:val="Compact"/>
              <w:jc w:val="center"/>
            </w:pPr>
            <w:r>
              <w:t xml:space="preserve">0.95</w:t>
            </w:r>
          </w:p>
        </w:tc>
        <w:tc>
          <w:tcPr/>
          <w:p>
            <w:pPr>
              <w:pStyle w:val="Compact"/>
              <w:jc w:val="center"/>
            </w:pPr>
            <w:r>
              <w:t xml:space="preserve">0.036</w:t>
            </w:r>
          </w:p>
        </w:tc>
      </w:tr>
      <w:tr>
        <w:tc>
          <w:tcPr/>
          <w:p>
            <w:pPr>
              <w:pStyle w:val="Compact"/>
              <w:jc w:val="center"/>
            </w:pPr>
            <w:r>
              <w:t xml:space="preserve">U1 + U2b + U3</w:t>
            </w:r>
          </w:p>
        </w:tc>
        <w:tc>
          <w:tcPr/>
          <w:p>
            <w:pPr>
              <w:pStyle w:val="Compact"/>
              <w:jc w:val="center"/>
            </w:pPr>
            <w:r>
              <w:t xml:space="preserve">3</w:t>
            </w:r>
          </w:p>
        </w:tc>
        <w:tc>
          <w:tcPr/>
          <w:p>
            <w:pPr>
              <w:pStyle w:val="Compact"/>
              <w:jc w:val="center"/>
            </w:pPr>
            <w:r>
              <w:t xml:space="preserve">71</w:t>
            </w:r>
          </w:p>
        </w:tc>
        <w:tc>
          <w:tcPr/>
          <w:p>
            <w:pPr>
              <w:pStyle w:val="Compact"/>
              <w:jc w:val="center"/>
            </w:pPr>
            <w:r>
              <w:t xml:space="preserve">0.244 [0.129 ; 0.395]</w:t>
            </w:r>
          </w:p>
        </w:tc>
        <w:tc>
          <w:tcPr/>
          <w:p>
            <w:pPr>
              <w:pStyle w:val="Compact"/>
              <w:jc w:val="center"/>
            </w:pPr>
            <w:r>
              <w:t xml:space="preserve">0.769 [0.564 ; 0.91]</w:t>
            </w:r>
          </w:p>
        </w:tc>
        <w:tc>
          <w:tcPr/>
          <w:p>
            <w:pPr>
              <w:pStyle w:val="Compact"/>
              <w:jc w:val="center"/>
            </w:pPr>
            <w:r>
              <w:t xml:space="preserve">0.647 [0.383 ; 0.858]</w:t>
            </w:r>
          </w:p>
        </w:tc>
        <w:tc>
          <w:tcPr/>
          <w:p>
            <w:pPr>
              <w:pStyle w:val="Compact"/>
              <w:jc w:val="center"/>
            </w:pPr>
            <w:r>
              <w:t xml:space="preserve">0.37 [0.243 ; 0.513]</w:t>
            </w:r>
          </w:p>
        </w:tc>
        <w:tc>
          <w:tcPr/>
          <w:p>
            <w:pPr>
              <w:pStyle w:val="Compact"/>
              <w:jc w:val="center"/>
            </w:pPr>
            <w:r>
              <w:t xml:space="preserve">1.06</w:t>
            </w:r>
          </w:p>
        </w:tc>
        <w:tc>
          <w:tcPr/>
          <w:p>
            <w:pPr>
              <w:pStyle w:val="Compact"/>
              <w:jc w:val="center"/>
            </w:pPr>
            <w:r>
              <w:t xml:space="preserve">0.98</w:t>
            </w:r>
          </w:p>
        </w:tc>
        <w:tc>
          <w:tcPr/>
          <w:p>
            <w:pPr>
              <w:pStyle w:val="Compact"/>
              <w:jc w:val="center"/>
            </w:pPr>
            <w:r>
              <w:t xml:space="preserve">0.014</w:t>
            </w:r>
          </w:p>
        </w:tc>
      </w:tr>
      <w:tr>
        <w:tc>
          <w:tcPr/>
          <w:p>
            <w:pPr>
              <w:pStyle w:val="Compact"/>
              <w:jc w:val="center"/>
            </w:pPr>
            <w:r>
              <w:t xml:space="preserve">U1 + U2a + U2b + U3</w:t>
            </w:r>
          </w:p>
        </w:tc>
        <w:tc>
          <w:tcPr/>
          <w:p>
            <w:pPr>
              <w:pStyle w:val="Compact"/>
              <w:jc w:val="center"/>
            </w:pPr>
            <w:r>
              <w:t xml:space="preserve">4</w:t>
            </w:r>
          </w:p>
        </w:tc>
        <w:tc>
          <w:tcPr/>
          <w:p>
            <w:pPr>
              <w:pStyle w:val="Compact"/>
              <w:jc w:val="center"/>
            </w:pPr>
            <w:r>
              <w:t xml:space="preserve">71</w:t>
            </w:r>
          </w:p>
        </w:tc>
        <w:tc>
          <w:tcPr/>
          <w:p>
            <w:pPr>
              <w:pStyle w:val="Compact"/>
              <w:jc w:val="center"/>
            </w:pPr>
            <w:r>
              <w:t xml:space="preserve">0.244 [0.129 ; 0.395]</w:t>
            </w:r>
          </w:p>
        </w:tc>
        <w:tc>
          <w:tcPr/>
          <w:p>
            <w:pPr>
              <w:pStyle w:val="Compact"/>
              <w:jc w:val="center"/>
            </w:pPr>
            <w:r>
              <w:t xml:space="preserve">0.769 [0.564 ; 0.91]</w:t>
            </w:r>
          </w:p>
        </w:tc>
        <w:tc>
          <w:tcPr/>
          <w:p>
            <w:pPr>
              <w:pStyle w:val="Compact"/>
              <w:jc w:val="center"/>
            </w:pPr>
            <w:r>
              <w:t xml:space="preserve">0.647 [0.383 ; 0.858]</w:t>
            </w:r>
          </w:p>
        </w:tc>
        <w:tc>
          <w:tcPr/>
          <w:p>
            <w:pPr>
              <w:pStyle w:val="Compact"/>
              <w:jc w:val="center"/>
            </w:pPr>
            <w:r>
              <w:t xml:space="preserve">0.37 [0.243 ; 0.513]</w:t>
            </w:r>
          </w:p>
        </w:tc>
        <w:tc>
          <w:tcPr/>
          <w:p>
            <w:pPr>
              <w:pStyle w:val="Compact"/>
              <w:jc w:val="center"/>
            </w:pPr>
            <w:r>
              <w:t xml:space="preserve">1.06</w:t>
            </w:r>
          </w:p>
        </w:tc>
        <w:tc>
          <w:tcPr/>
          <w:p>
            <w:pPr>
              <w:pStyle w:val="Compact"/>
              <w:jc w:val="center"/>
            </w:pPr>
            <w:r>
              <w:t xml:space="preserve">0.98</w:t>
            </w:r>
          </w:p>
        </w:tc>
        <w:tc>
          <w:tcPr/>
          <w:p>
            <w:pPr>
              <w:pStyle w:val="Compact"/>
              <w:jc w:val="center"/>
            </w:pPr>
            <w:r>
              <w:t xml:space="preserve">0.014</w:t>
            </w:r>
          </w:p>
        </w:tc>
      </w:tr>
    </w:tbl>
    <w:p>
      <w:r>
        <w:br w:type="page"/>
      </w:r>
    </w:p>
    <w:bookmarkEnd w:id="93"/>
    <w:bookmarkStart w:id="108" w:name="X03dbcbbf9db0121bf925d0d666616bf3a5f62d7"/>
    <w:p>
      <w:pPr>
        <w:pStyle w:val="Heading3"/>
      </w:pPr>
      <w:r>
        <w:t xml:space="preserve">“Score de positivité”</w:t>
      </w:r>
      <w:r>
        <w:t xml:space="preserve"> </w:t>
      </w:r>
      <w:r>
        <w:t xml:space="preserve">: performances selon le nombre de tests positifs</w:t>
      </w:r>
    </w:p>
    <w:p>
      <w:pPr>
        <w:pStyle w:val="FirstParagraph"/>
      </w:pPr>
      <w:r>
        <w:t xml:space="preserve">L’objectif ici est de calculer les performances diagnostiques (sensibilité, spécificité, LR+, LR-, Youden, DOR) pour différents seuils de score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w:t>
      </w:r>
      <w:r>
        <w:t xml:space="preserve"> </w:t>
      </w:r>
      <w:r>
        <w:rPr>
          <w:rStyle w:val="VerbatimChar"/>
        </w:rPr>
        <w:t xml:space="preserve">≥4</w:t>
      </w:r>
      <w:r>
        <w:t xml:space="preserve"> </w:t>
      </w:r>
      <w:r>
        <w:t xml:space="preserve">tests positifs).</w:t>
      </w:r>
    </w:p>
    <w:p>
      <w:pPr>
        <w:pStyle w:val="BodyText"/>
      </w:pPr>
      <w:r>
        <w:t xml:space="preserve">Cela revient à demander si un seuil du type</w:t>
      </w:r>
      <w:r>
        <w:t xml:space="preserve"> </w:t>
      </w:r>
      <w:r>
        <w:t xml:space="preserve">“au moins 2 tests positifs”</w:t>
      </w:r>
      <w:r>
        <w:t xml:space="preserve"> </w:t>
      </w:r>
      <w:r>
        <w:t xml:space="preserve">est plus utile qu’un test isolé. Cette logique reste différente de celle des combinaisons conjonctives :</w:t>
      </w:r>
      <w:r>
        <w:t xml:space="preserve"> </w:t>
      </w:r>
      <w:r>
        <w:rPr>
          <w:rStyle w:val="VerbatimChar"/>
        </w:rPr>
        <w:t xml:space="preserve">≥3 positifs</w:t>
      </w:r>
      <w:r>
        <w:t xml:space="preserve"> </w:t>
      </w:r>
      <w:r>
        <w:t xml:space="preserve">ne précise pas quels tests sont positifs, alors que</w:t>
      </w:r>
      <w:r>
        <w:t xml:space="preserve"> </w:t>
      </w:r>
      <w:r>
        <w:rPr>
          <w:rStyle w:val="VerbatimChar"/>
        </w:rPr>
        <w:t xml:space="preserve">U2b + U3</w:t>
      </w:r>
      <w:r>
        <w:t xml:space="preserve"> </w:t>
      </w:r>
      <w:r>
        <w:t xml:space="preserve">impose une paire fixe de tests positifs.</w:t>
      </w:r>
    </w:p>
    <w:p>
      <w:pPr>
        <w:pStyle w:val="BodyText"/>
      </w:pPr>
      <w:r>
        <w:t xml:space="preserve">Le score correspond simplement au</w:t>
      </w:r>
      <w:r>
        <w:t xml:space="preserve"> </w:t>
      </w:r>
      <w:r>
        <w:rPr>
          <w:b/>
          <w:bCs/>
        </w:rPr>
        <w:t xml:space="preserve">nombre de tests ULNT positifs</w:t>
      </w:r>
      <w:r>
        <w:t xml:space="preserve"> </w:t>
      </w:r>
      <w:r>
        <w:t xml:space="preserve">chez un même patient ; un test peut donc être très spécifique pris isolément, mais modifie peu le score si les rares patients qu’il rend positifs le sont déjà par d’autres ULNT.</w:t>
      </w:r>
    </w:p>
    <w:p>
      <w:pPr>
        <w:pStyle w:val="TableCaption"/>
      </w:pPr>
      <w:r>
        <w:t xml:space="preserve">Performances diagnostiques selon le seuil du score</w:t>
      </w:r>
    </w:p>
    <w:tbl>
      <w:tblPr>
        <w:tblStyle w:val="Table"/>
        <w:tblW w:type="pct" w:w="5000"/>
        <w:tblLayout w:type="fixed"/>
        <w:tblLook w:firstRow="1" w:lastRow="0" w:firstColumn="0" w:lastColumn="0" w:noHBand="0" w:noVBand="0" w:val="0020"/>
        <w:tblCaption w:val="Performances diagnostiques selon le seuil du score"/>
      </w:tblPr>
      <w:tblGrid>
        <w:gridCol w:w="1026"/>
        <w:gridCol w:w="1686"/>
        <w:gridCol w:w="1686"/>
        <w:gridCol w:w="513"/>
        <w:gridCol w:w="513"/>
        <w:gridCol w:w="586"/>
        <w:gridCol w:w="1906"/>
      </w:tblGrid>
      <w:tr>
        <w:trPr>
          <w:tblHeader w:val="on"/>
        </w:trPr>
        <w:tc>
          <w:tcPr/>
          <w:p>
            <w:pPr>
              <w:pStyle w:val="Compact"/>
              <w:jc w:val="center"/>
            </w:pPr>
            <w:r>
              <w:t xml:space="preserve">Seuil</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DOR [IC95%]</w:t>
            </w:r>
          </w:p>
        </w:tc>
      </w:tr>
      <w:tr>
        <w:tc>
          <w:tcPr/>
          <w:p>
            <w:pPr>
              <w:pStyle w:val="Compact"/>
              <w:jc w:val="center"/>
            </w:pPr>
            <w:r>
              <w:t xml:space="preserve">&gt;=1 positif</w:t>
            </w:r>
          </w:p>
        </w:tc>
        <w:tc>
          <w:tcPr/>
          <w:p>
            <w:pPr>
              <w:pStyle w:val="Compact"/>
              <w:jc w:val="center"/>
            </w:pPr>
            <w:r>
              <w:t xml:space="preserve">0.956 [0.849 ; 0.995]</w:t>
            </w:r>
          </w:p>
        </w:tc>
        <w:tc>
          <w:tcPr/>
          <w:p>
            <w:pPr>
              <w:pStyle w:val="Compact"/>
              <w:jc w:val="center"/>
            </w:pPr>
            <w:r>
              <w:t xml:space="preserve">0.538 [0.334 ; 0.734]</w:t>
            </w:r>
          </w:p>
        </w:tc>
        <w:tc>
          <w:tcPr/>
          <w:p>
            <w:pPr>
              <w:pStyle w:val="Compact"/>
              <w:jc w:val="center"/>
            </w:pPr>
            <w:r>
              <w:t xml:space="preserve">2.070</w:t>
            </w:r>
          </w:p>
        </w:tc>
        <w:tc>
          <w:tcPr/>
          <w:p>
            <w:pPr>
              <w:pStyle w:val="Compact"/>
              <w:jc w:val="center"/>
            </w:pPr>
            <w:r>
              <w:t xml:space="preserve">0.083</w:t>
            </w:r>
          </w:p>
        </w:tc>
        <w:tc>
          <w:tcPr/>
          <w:p>
            <w:pPr>
              <w:pStyle w:val="Compact"/>
              <w:jc w:val="center"/>
            </w:pPr>
            <w:r>
              <w:t xml:space="preserve">0.494</w:t>
            </w:r>
          </w:p>
        </w:tc>
        <w:tc>
          <w:tcPr/>
          <w:p>
            <w:pPr>
              <w:pStyle w:val="Compact"/>
              <w:jc w:val="center"/>
            </w:pPr>
            <w:r>
              <w:t xml:space="preserve">25.083 [4.994 ; 125.974]</w:t>
            </w:r>
          </w:p>
        </w:tc>
      </w:tr>
      <w:tr>
        <w:tc>
          <w:tcPr/>
          <w:p>
            <w:pPr>
              <w:pStyle w:val="Compact"/>
              <w:jc w:val="center"/>
            </w:pPr>
            <w:r>
              <w:t xml:space="preserve">&gt;=2 positifs</w:t>
            </w:r>
          </w:p>
        </w:tc>
        <w:tc>
          <w:tcPr/>
          <w:p>
            <w:pPr>
              <w:pStyle w:val="Compact"/>
              <w:jc w:val="center"/>
            </w:pPr>
            <w:r>
              <w:t xml:space="preserve">0.844 [0.705 ; 0.935]</w:t>
            </w:r>
          </w:p>
        </w:tc>
        <w:tc>
          <w:tcPr/>
          <w:p>
            <w:pPr>
              <w:pStyle w:val="Compact"/>
              <w:jc w:val="center"/>
            </w:pPr>
            <w:r>
              <w:t xml:space="preserve">0.615 [0.406 ; 0.798]</w:t>
            </w:r>
          </w:p>
        </w:tc>
        <w:tc>
          <w:tcPr/>
          <w:p>
            <w:pPr>
              <w:pStyle w:val="Compact"/>
              <w:jc w:val="center"/>
            </w:pPr>
            <w:r>
              <w:t xml:space="preserve">2.196</w:t>
            </w:r>
          </w:p>
        </w:tc>
        <w:tc>
          <w:tcPr/>
          <w:p>
            <w:pPr>
              <w:pStyle w:val="Compact"/>
              <w:jc w:val="center"/>
            </w:pPr>
            <w:r>
              <w:t xml:space="preserve">0.253</w:t>
            </w:r>
          </w:p>
        </w:tc>
        <w:tc>
          <w:tcPr/>
          <w:p>
            <w:pPr>
              <w:pStyle w:val="Compact"/>
              <w:jc w:val="center"/>
            </w:pPr>
            <w:r>
              <w:t xml:space="preserve">0.460</w:t>
            </w:r>
          </w:p>
        </w:tc>
        <w:tc>
          <w:tcPr/>
          <w:p>
            <w:pPr>
              <w:pStyle w:val="Compact"/>
              <w:jc w:val="center"/>
            </w:pPr>
            <w:r>
              <w:t xml:space="preserve">8.686 [2.809 ; 26.855]</w:t>
            </w:r>
          </w:p>
        </w:tc>
      </w:tr>
      <w:tr>
        <w:tc>
          <w:tcPr/>
          <w:p>
            <w:pPr>
              <w:pStyle w:val="Compact"/>
              <w:jc w:val="center"/>
            </w:pPr>
            <w:r>
              <w:t xml:space="preserve">&gt;=3 positifs</w:t>
            </w:r>
          </w:p>
        </w:tc>
        <w:tc>
          <w:tcPr/>
          <w:p>
            <w:pPr>
              <w:pStyle w:val="Compact"/>
              <w:jc w:val="center"/>
            </w:pPr>
            <w:r>
              <w:t xml:space="preserve">0.644 [0.488 ; 0.781]</w:t>
            </w:r>
          </w:p>
        </w:tc>
        <w:tc>
          <w:tcPr/>
          <w:p>
            <w:pPr>
              <w:pStyle w:val="Compact"/>
              <w:jc w:val="center"/>
            </w:pPr>
            <w:r>
              <w:t xml:space="preserve">0.654 [0.443 ; 0.828]</w:t>
            </w:r>
          </w:p>
        </w:tc>
        <w:tc>
          <w:tcPr/>
          <w:p>
            <w:pPr>
              <w:pStyle w:val="Compact"/>
              <w:jc w:val="center"/>
            </w:pPr>
            <w:r>
              <w:t xml:space="preserve">1.862</w:t>
            </w:r>
          </w:p>
        </w:tc>
        <w:tc>
          <w:tcPr/>
          <w:p>
            <w:pPr>
              <w:pStyle w:val="Compact"/>
              <w:jc w:val="center"/>
            </w:pPr>
            <w:r>
              <w:t xml:space="preserve">0.544</w:t>
            </w:r>
          </w:p>
        </w:tc>
        <w:tc>
          <w:tcPr/>
          <w:p>
            <w:pPr>
              <w:pStyle w:val="Compact"/>
              <w:jc w:val="center"/>
            </w:pPr>
            <w:r>
              <w:t xml:space="preserve">0.298</w:t>
            </w:r>
          </w:p>
        </w:tc>
        <w:tc>
          <w:tcPr/>
          <w:p>
            <w:pPr>
              <w:pStyle w:val="Compact"/>
              <w:jc w:val="center"/>
            </w:pPr>
            <w:r>
              <w:t xml:space="preserve">3.424 [1.244 ; 9.424]</w:t>
            </w:r>
          </w:p>
        </w:tc>
      </w:tr>
      <w:tr>
        <w:tc>
          <w:tcPr/>
          <w:p>
            <w:pPr>
              <w:pStyle w:val="Compact"/>
              <w:jc w:val="center"/>
            </w:pPr>
            <w:r>
              <w:t xml:space="preserve">&gt;=4 positifs</w:t>
            </w:r>
          </w:p>
        </w:tc>
        <w:tc>
          <w:tcPr/>
          <w:p>
            <w:pPr>
              <w:pStyle w:val="Compact"/>
              <w:jc w:val="center"/>
            </w:pPr>
            <w:r>
              <w:t xml:space="preserve">0.244 [0.129 ; 0.395]</w:t>
            </w:r>
          </w:p>
        </w:tc>
        <w:tc>
          <w:tcPr/>
          <w:p>
            <w:pPr>
              <w:pStyle w:val="Compact"/>
              <w:jc w:val="center"/>
            </w:pPr>
            <w:r>
              <w:t xml:space="preserve">0.769 [0.564 ; 0.91]</w:t>
            </w:r>
          </w:p>
        </w:tc>
        <w:tc>
          <w:tcPr/>
          <w:p>
            <w:pPr>
              <w:pStyle w:val="Compact"/>
              <w:jc w:val="center"/>
            </w:pPr>
            <w:r>
              <w:t xml:space="preserve">1.059</w:t>
            </w:r>
          </w:p>
        </w:tc>
        <w:tc>
          <w:tcPr/>
          <w:p>
            <w:pPr>
              <w:pStyle w:val="Compact"/>
              <w:jc w:val="center"/>
            </w:pPr>
            <w:r>
              <w:t xml:space="preserve">0.982</w:t>
            </w:r>
          </w:p>
        </w:tc>
        <w:tc>
          <w:tcPr/>
          <w:p>
            <w:pPr>
              <w:pStyle w:val="Compact"/>
              <w:jc w:val="center"/>
            </w:pPr>
            <w:r>
              <w:t xml:space="preserve">0.014</w:t>
            </w:r>
          </w:p>
        </w:tc>
        <w:tc>
          <w:tcPr/>
          <w:p>
            <w:pPr>
              <w:pStyle w:val="Compact"/>
              <w:jc w:val="center"/>
            </w:pPr>
            <w:r>
              <w:t xml:space="preserve">1.078 [0.346 ; 3.364]</w:t>
            </w:r>
          </w:p>
        </w:tc>
      </w:tr>
    </w:tbl>
    <w:p>
      <w:pPr>
        <w:pStyle w:val="BodyText"/>
      </w:pPr>
      <w:r>
        <w:t xml:space="preserve">NB :</w:t>
      </w:r>
      <w:r>
        <w:t xml:space="preserve"> </w:t>
      </w:r>
      <w:r>
        <w:rPr>
          <w:i/>
          <w:iCs/>
        </w:rPr>
        <w:t xml:space="preserve">Le</w:t>
      </w:r>
      <w:r>
        <w:rPr>
          <w:i/>
          <w:iCs/>
        </w:rPr>
        <w:t xml:space="preserve"> </w:t>
      </w:r>
      <w:r>
        <w:rPr>
          <w:b/>
          <w:bCs/>
          <w:i/>
          <w:iCs/>
        </w:rPr>
        <w:t xml:space="preserve">DOR</w:t>
      </w:r>
      <w:r>
        <w:rPr>
          <w:i/>
          <w:iCs/>
        </w:rPr>
        <w:t xml:space="preserve"> </w:t>
      </w:r>
      <w:r>
        <w:rPr>
          <w:i/>
          <w:iCs/>
        </w:rPr>
        <w:t xml:space="preserve">(diagnostic odds ratio) résume en un seul chiffre la capacité globale du score à distinguer les patients</w:t>
      </w:r>
      <w:r>
        <w:rPr>
          <w:i/>
          <w:iCs/>
        </w:rPr>
        <w:t xml:space="preserve"> </w:t>
      </w:r>
      <w:r>
        <w:rPr>
          <w:rStyle w:val="VerbatimChar"/>
          <w:i/>
          <w:iCs/>
        </w:rPr>
        <w:t xml:space="preserve">G+</w:t>
      </w:r>
      <w:r>
        <w:rPr>
          <w:i/>
          <w:iCs/>
        </w:rPr>
        <w:t xml:space="preserve"> </w:t>
      </w:r>
      <w:r>
        <w:rPr>
          <w:i/>
          <w:iCs/>
        </w:rPr>
        <w:t xml:space="preserve">des</w:t>
      </w:r>
      <w:r>
        <w:rPr>
          <w:i/>
          <w:iCs/>
        </w:rPr>
        <w:t xml:space="preserve"> </w:t>
      </w:r>
      <w:r>
        <w:rPr>
          <w:rStyle w:val="VerbatimChar"/>
          <w:i/>
          <w:iCs/>
        </w:rPr>
        <w:t xml:space="preserve">G-</w:t>
      </w:r>
      <w:r>
        <w:rPr>
          <w:i/>
          <w:iCs/>
        </w:rPr>
        <w:t xml:space="preserve"> </w:t>
      </w:r>
      <w:r>
        <w:rPr>
          <w:i/>
          <w:iCs/>
        </w:rPr>
        <w:t xml:space="preserve">(se calcule en faisant le rapport entre le LR+ et le LR-), mais il reste ici secondaire car moins intuitif cliniquement que la sensibilité, la spécificité et les rapports de vraisemblance. En plus, les IC du DOR sont ici très larges et se chevauchent largement, donc ils ne sont pas vraiment interprétables.</w:t>
      </w:r>
    </w:p>
    <w:p>
      <w:pPr>
        <w:pStyle w:val="BodyText"/>
      </w:pPr>
      <w:r>
        <w:t xml:space="preserve">Pour interpréter ces résultats, on peut raisonner</w:t>
      </w:r>
      <w:r>
        <w:t xml:space="preserve"> </w:t>
      </w:r>
      <w:r>
        <w:rPr>
          <w:b/>
          <w:bCs/>
        </w:rPr>
        <w:t xml:space="preserve">par addition</w:t>
      </w:r>
      <w:r>
        <w:t xml:space="preserve"> </w:t>
      </w:r>
      <w:r>
        <w:t xml:space="preserve">(approche de type Shapley value par permutation de l’ordre d’inclusion des tests et estimation de leur contribution) : on calcule la</w:t>
      </w:r>
      <w:r>
        <w:t xml:space="preserve"> </w:t>
      </w:r>
      <w:r>
        <w:rPr>
          <w:b/>
          <w:bCs/>
        </w:rPr>
        <w:t xml:space="preserve">contribution moyenne</w:t>
      </w:r>
      <w:r>
        <w:t xml:space="preserve"> </w:t>
      </w:r>
      <w:r>
        <w:t xml:space="preserve">de chaque test au gain de performance du score global.</w:t>
      </w:r>
    </w:p>
    <w:bookmarkStart w:id="97" w:name="gain-de-sensibilité"/>
    <w:p>
      <w:pPr>
        <w:pStyle w:val="Heading4"/>
      </w:pPr>
      <w:r>
        <w:t xml:space="preserve">Gain de Sensibilité</w:t>
      </w:r>
    </w:p>
    <w:p>
      <w:pPr>
        <w:pStyle w:val="TableCaption"/>
      </w:pPr>
      <w:r>
        <w:t xml:space="preserve">Contribution moyenne de chaque test a la sensibilite du score : gain de Se</w:t>
      </w:r>
    </w:p>
    <w:tbl>
      <w:tblPr>
        <w:tblStyle w:val="Table"/>
        <w:tblW w:type="auto" w:w="0"/>
        <w:tblLook w:firstRow="1" w:lastRow="0" w:firstColumn="0" w:lastColumn="0" w:noHBand="0" w:noVBand="0" w:val="0020"/>
        <w:tblCaption w:val="Contribution moyenne de chaque test a la sensibilite du score : gain de Se"/>
      </w:tblPr>
      <w:tblGrid>
        <w:gridCol w:w="1584"/>
        <w:gridCol w:w="1584"/>
        <w:gridCol w:w="1584"/>
        <w:gridCol w:w="1584"/>
        <w:gridCol w:w="1584"/>
      </w:tblGrid>
      <w:tr>
        <w:trPr>
          <w:tblHeader w:val="on"/>
        </w:trPr>
        <w:tc>
          <w:tcPr/>
          <w:p>
            <w:pPr>
              <w:pStyle w:val="Compact"/>
              <w:jc w:val="center"/>
            </w:pPr>
            <w:r>
              <w:t xml:space="preserve">Seuil</w:t>
            </w:r>
          </w:p>
        </w:tc>
        <w:tc>
          <w:tcPr/>
          <w:p>
            <w:pPr>
              <w:pStyle w:val="Compact"/>
              <w:jc w:val="center"/>
            </w:pPr>
            <w:r>
              <w:t xml:space="preserve">ULNT1</w:t>
            </w:r>
          </w:p>
        </w:tc>
        <w:tc>
          <w:tcPr/>
          <w:p>
            <w:pPr>
              <w:pStyle w:val="Compact"/>
              <w:jc w:val="center"/>
            </w:pPr>
            <w:r>
              <w:t xml:space="preserve">ULNT2a</w:t>
            </w:r>
          </w:p>
        </w:tc>
        <w:tc>
          <w:tcPr/>
          <w:p>
            <w:pPr>
              <w:pStyle w:val="Compact"/>
              <w:jc w:val="center"/>
            </w:pPr>
            <w:r>
              <w:t xml:space="preserve">ULNT2b</w:t>
            </w:r>
          </w:p>
        </w:tc>
        <w:tc>
          <w:tcPr/>
          <w:p>
            <w:pPr>
              <w:pStyle w:val="Compact"/>
              <w:jc w:val="center"/>
            </w:pPr>
            <w:r>
              <w:t xml:space="preserve">ULNT3</w:t>
            </w:r>
          </w:p>
        </w:tc>
      </w:tr>
      <w:tr>
        <w:tc>
          <w:tcPr/>
          <w:p>
            <w:pPr>
              <w:pStyle w:val="Compact"/>
              <w:jc w:val="center"/>
            </w:pPr>
            <w:r>
              <w:t xml:space="preserve">&gt;=1 positif</w:t>
            </w:r>
          </w:p>
        </w:tc>
        <w:tc>
          <w:tcPr/>
          <w:p>
            <w:pPr>
              <w:pStyle w:val="Compact"/>
              <w:jc w:val="center"/>
            </w:pPr>
            <w:r>
              <w:t xml:space="preserve">+0.343</w:t>
            </w:r>
          </w:p>
        </w:tc>
        <w:tc>
          <w:tcPr/>
          <w:p>
            <w:pPr>
              <w:pStyle w:val="Compact"/>
              <w:jc w:val="center"/>
            </w:pPr>
            <w:r>
              <w:t xml:space="preserve">+0.261</w:t>
            </w:r>
          </w:p>
        </w:tc>
        <w:tc>
          <w:tcPr/>
          <w:p>
            <w:pPr>
              <w:pStyle w:val="Compact"/>
              <w:jc w:val="center"/>
            </w:pPr>
            <w:r>
              <w:t xml:space="preserve">+0.246</w:t>
            </w:r>
          </w:p>
        </w:tc>
        <w:tc>
          <w:tcPr/>
          <w:p>
            <w:pPr>
              <w:pStyle w:val="Compact"/>
              <w:jc w:val="center"/>
            </w:pPr>
            <w:r>
              <w:t xml:space="preserve">+0.106</w:t>
            </w:r>
          </w:p>
        </w:tc>
      </w:tr>
      <w:tr>
        <w:tc>
          <w:tcPr/>
          <w:p>
            <w:pPr>
              <w:pStyle w:val="Compact"/>
              <w:jc w:val="center"/>
            </w:pPr>
            <w:r>
              <w:t xml:space="preserve">&gt;=2 positifs</w:t>
            </w:r>
          </w:p>
        </w:tc>
        <w:tc>
          <w:tcPr/>
          <w:p>
            <w:pPr>
              <w:pStyle w:val="Compact"/>
              <w:jc w:val="center"/>
            </w:pPr>
            <w:r>
              <w:t xml:space="preserve">+0.254</w:t>
            </w:r>
          </w:p>
        </w:tc>
        <w:tc>
          <w:tcPr/>
          <w:p>
            <w:pPr>
              <w:pStyle w:val="Compact"/>
              <w:jc w:val="center"/>
            </w:pPr>
            <w:r>
              <w:t xml:space="preserve">+0.261</w:t>
            </w:r>
          </w:p>
        </w:tc>
        <w:tc>
          <w:tcPr/>
          <w:p>
            <w:pPr>
              <w:pStyle w:val="Compact"/>
              <w:jc w:val="center"/>
            </w:pPr>
            <w:r>
              <w:t xml:space="preserve">+0.224</w:t>
            </w:r>
          </w:p>
        </w:tc>
        <w:tc>
          <w:tcPr/>
          <w:p>
            <w:pPr>
              <w:pStyle w:val="Compact"/>
              <w:jc w:val="center"/>
            </w:pPr>
            <w:r>
              <w:t xml:space="preserve">+0.106</w:t>
            </w:r>
          </w:p>
        </w:tc>
      </w:tr>
      <w:tr>
        <w:tc>
          <w:tcPr/>
          <w:p>
            <w:pPr>
              <w:pStyle w:val="Compact"/>
              <w:jc w:val="center"/>
            </w:pPr>
            <w:r>
              <w:t xml:space="preserve">&gt;=3 positifs</w:t>
            </w:r>
          </w:p>
        </w:tc>
        <w:tc>
          <w:tcPr/>
          <w:p>
            <w:pPr>
              <w:pStyle w:val="Compact"/>
              <w:jc w:val="center"/>
            </w:pPr>
            <w:r>
              <w:t xml:space="preserve">+0.187</w:t>
            </w:r>
          </w:p>
        </w:tc>
        <w:tc>
          <w:tcPr/>
          <w:p>
            <w:pPr>
              <w:pStyle w:val="Compact"/>
              <w:jc w:val="center"/>
            </w:pPr>
            <w:r>
              <w:t xml:space="preserve">+0.194</w:t>
            </w:r>
          </w:p>
        </w:tc>
        <w:tc>
          <w:tcPr/>
          <w:p>
            <w:pPr>
              <w:pStyle w:val="Compact"/>
              <w:jc w:val="center"/>
            </w:pPr>
            <w:r>
              <w:t xml:space="preserve">+0.157</w:t>
            </w:r>
          </w:p>
        </w:tc>
        <w:tc>
          <w:tcPr/>
          <w:p>
            <w:pPr>
              <w:pStyle w:val="Compact"/>
              <w:jc w:val="center"/>
            </w:pPr>
            <w:r>
              <w:t xml:space="preserve">+0.106</w:t>
            </w:r>
          </w:p>
        </w:tc>
      </w:tr>
      <w:tr>
        <w:tc>
          <w:tcPr/>
          <w:p>
            <w:pPr>
              <w:pStyle w:val="Compact"/>
              <w:jc w:val="center"/>
            </w:pPr>
            <w:r>
              <w:t xml:space="preserve">&gt;=4 positifs</w:t>
            </w:r>
          </w:p>
        </w:tc>
        <w:tc>
          <w:tcPr/>
          <w:p>
            <w:pPr>
              <w:pStyle w:val="Compact"/>
              <w:jc w:val="center"/>
            </w:pPr>
            <w:r>
              <w:t xml:space="preserve">+0.061</w:t>
            </w:r>
          </w:p>
        </w:tc>
        <w:tc>
          <w:tcPr/>
          <w:p>
            <w:pPr>
              <w:pStyle w:val="Compact"/>
              <w:jc w:val="center"/>
            </w:pPr>
            <w:r>
              <w:t xml:space="preserve">+0.061</w:t>
            </w:r>
          </w:p>
        </w:tc>
        <w:tc>
          <w:tcPr/>
          <w:p>
            <w:pPr>
              <w:pStyle w:val="Compact"/>
              <w:jc w:val="center"/>
            </w:pPr>
            <w:r>
              <w:t xml:space="preserve">+0.061</w:t>
            </w:r>
          </w:p>
        </w:tc>
        <w:tc>
          <w:tcPr/>
          <w:p>
            <w:pPr>
              <w:pStyle w:val="Compact"/>
              <w:jc w:val="center"/>
            </w:pPr>
            <w:r>
              <w:t xml:space="preserve">+0.061</w:t>
            </w:r>
          </w:p>
        </w:tc>
      </w:tr>
    </w:tbl>
    <w:p>
      <w:pPr>
        <w:pStyle w:val="CaptionedFigure"/>
      </w:pPr>
      <w:r>
        <w:drawing>
          <wp:inline>
            <wp:extent cx="5334000" cy="3333750"/>
            <wp:effectExtent b="0" l="0" r="0" t="0"/>
            <wp:docPr descr="Contribution de chaque test au gain de sensibilité du score" title="" id="95" name="Picture"/>
            <a:graphic>
              <a:graphicData uri="http://schemas.openxmlformats.org/drawingml/2006/picture">
                <pic:pic>
                  <pic:nvPicPr>
                    <pic:cNvPr descr="these_brieuc_last_recueil_files/figure-docx/score-contribution-se-plot-1.png" id="96" name="Picture"/>
                    <pic:cNvPicPr>
                      <a:picLocks noChangeArrowheads="1" noChangeAspect="1"/>
                    </pic:cNvPicPr>
                  </pic:nvPicPr>
                  <pic:blipFill>
                    <a:blip r:embed="rId9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Contribution de chaque test au gain de sensibilité du score</w:t>
      </w:r>
    </w:p>
    <w:p>
      <w:pPr>
        <w:pStyle w:val="Compact"/>
        <w:numPr>
          <w:ilvl w:val="0"/>
          <w:numId w:val="1029"/>
        </w:numPr>
      </w:pPr>
      <w:r>
        <w:t xml:space="preserve">Pour le seuil</w:t>
      </w:r>
      <w:r>
        <w:t xml:space="preserve"> </w:t>
      </w:r>
      <w:r>
        <w:rPr>
          <w:rStyle w:val="VerbatimChar"/>
        </w:rPr>
        <w:t xml:space="preserve">≥1</w:t>
      </w:r>
      <w:r>
        <w:t xml:space="preserve">,</w:t>
      </w:r>
      <w:r>
        <w:t xml:space="preserve"> </w:t>
      </w:r>
      <w:r>
        <w:rPr>
          <w:rStyle w:val="VerbatimChar"/>
        </w:rPr>
        <w:t xml:space="preserve">ULNT1</w:t>
      </w:r>
      <w:r>
        <w:t xml:space="preserve"> </w:t>
      </w:r>
      <w:r>
        <w:t xml:space="preserve">a la contribution moyenne la plus forte au gain de sensibilité, cela signifie qu’il porte la plus grande part de la capacité de dépistage du score. L’ajout des autres tests n’apporte qu’un gain marginal par rapport à l’ULNT1 seul.</w:t>
      </w:r>
    </w:p>
    <w:bookmarkEnd w:id="97"/>
    <w:bookmarkStart w:id="107" w:name="gain-de-spécificité"/>
    <w:p>
      <w:pPr>
        <w:pStyle w:val="Heading4"/>
      </w:pPr>
      <w:r>
        <w:t xml:space="preserve">Gain de Spécificité</w:t>
      </w:r>
    </w:p>
    <w:p>
      <w:pPr>
        <w:pStyle w:val="TableCaption"/>
      </w:pPr>
      <w:r>
        <w:t xml:space="preserve">Contribution moyenne de chaque test a la specificite du score</w:t>
      </w:r>
    </w:p>
    <w:tbl>
      <w:tblPr>
        <w:tblStyle w:val="Table"/>
        <w:tblW w:type="auto" w:w="0"/>
        <w:tblLook w:firstRow="1" w:lastRow="0" w:firstColumn="0" w:lastColumn="0" w:noHBand="0" w:noVBand="0" w:val="0020"/>
        <w:tblCaption w:val="Contribution moyenne de chaque test a la specificite du score"/>
      </w:tblPr>
      <w:tblGrid>
        <w:gridCol w:w="1584"/>
        <w:gridCol w:w="1584"/>
        <w:gridCol w:w="1584"/>
        <w:gridCol w:w="1584"/>
        <w:gridCol w:w="1584"/>
      </w:tblGrid>
      <w:tr>
        <w:trPr>
          <w:tblHeader w:val="on"/>
        </w:trPr>
        <w:tc>
          <w:tcPr/>
          <w:p>
            <w:pPr>
              <w:pStyle w:val="Compact"/>
              <w:jc w:val="center"/>
            </w:pPr>
            <w:r>
              <w:t xml:space="preserve">Seuil</w:t>
            </w:r>
          </w:p>
        </w:tc>
        <w:tc>
          <w:tcPr/>
          <w:p>
            <w:pPr>
              <w:pStyle w:val="Compact"/>
              <w:jc w:val="center"/>
            </w:pPr>
            <w:r>
              <w:t xml:space="preserve">ULNT1</w:t>
            </w:r>
          </w:p>
        </w:tc>
        <w:tc>
          <w:tcPr/>
          <w:p>
            <w:pPr>
              <w:pStyle w:val="Compact"/>
              <w:jc w:val="center"/>
            </w:pPr>
            <w:r>
              <w:t xml:space="preserve">ULNT2a</w:t>
            </w:r>
          </w:p>
        </w:tc>
        <w:tc>
          <w:tcPr/>
          <w:p>
            <w:pPr>
              <w:pStyle w:val="Compact"/>
              <w:jc w:val="center"/>
            </w:pPr>
            <w:r>
              <w:t xml:space="preserve">ULNT2b</w:t>
            </w:r>
          </w:p>
        </w:tc>
        <w:tc>
          <w:tcPr/>
          <w:p>
            <w:pPr>
              <w:pStyle w:val="Compact"/>
              <w:jc w:val="center"/>
            </w:pPr>
            <w:r>
              <w:t xml:space="preserve">ULNT3</w:t>
            </w:r>
          </w:p>
        </w:tc>
      </w:tr>
      <w:tr>
        <w:tc>
          <w:tcPr/>
          <w:p>
            <w:pPr>
              <w:pStyle w:val="Compact"/>
              <w:jc w:val="center"/>
            </w:pPr>
            <w:r>
              <w:t xml:space="preserve">&gt;=1 positif</w:t>
            </w:r>
          </w:p>
        </w:tc>
        <w:tc>
          <w:tcPr/>
          <w:p>
            <w:pPr>
              <w:pStyle w:val="Compact"/>
              <w:jc w:val="center"/>
            </w:pPr>
            <w:r>
              <w:t xml:space="preserve">-0.115</w:t>
            </w:r>
          </w:p>
        </w:tc>
        <w:tc>
          <w:tcPr/>
          <w:p>
            <w:pPr>
              <w:pStyle w:val="Compact"/>
              <w:jc w:val="center"/>
            </w:pPr>
            <w:r>
              <w:t xml:space="preserve">-0.154</w:t>
            </w:r>
          </w:p>
        </w:tc>
        <w:tc>
          <w:tcPr/>
          <w:p>
            <w:pPr>
              <w:pStyle w:val="Compact"/>
              <w:jc w:val="center"/>
            </w:pPr>
            <w:r>
              <w:t xml:space="preserve">-0.109</w:t>
            </w:r>
          </w:p>
        </w:tc>
        <w:tc>
          <w:tcPr/>
          <w:p>
            <w:pPr>
              <w:pStyle w:val="Compact"/>
              <w:jc w:val="center"/>
            </w:pPr>
            <w:r>
              <w:t xml:space="preserve">-0.083</w:t>
            </w:r>
          </w:p>
        </w:tc>
      </w:tr>
      <w:tr>
        <w:tc>
          <w:tcPr/>
          <w:p>
            <w:pPr>
              <w:pStyle w:val="Compact"/>
              <w:jc w:val="center"/>
            </w:pPr>
            <w:r>
              <w:t xml:space="preserve">&gt;=2 positifs</w:t>
            </w:r>
          </w:p>
        </w:tc>
        <w:tc>
          <w:tcPr/>
          <w:p>
            <w:pPr>
              <w:pStyle w:val="Compact"/>
              <w:jc w:val="center"/>
            </w:pPr>
            <w:r>
              <w:t xml:space="preserve">-0.115</w:t>
            </w:r>
          </w:p>
        </w:tc>
        <w:tc>
          <w:tcPr/>
          <w:p>
            <w:pPr>
              <w:pStyle w:val="Compact"/>
              <w:jc w:val="center"/>
            </w:pPr>
            <w:r>
              <w:t xml:space="preserve">-0.115</w:t>
            </w:r>
          </w:p>
        </w:tc>
        <w:tc>
          <w:tcPr/>
          <w:p>
            <w:pPr>
              <w:pStyle w:val="Compact"/>
              <w:jc w:val="center"/>
            </w:pPr>
            <w:r>
              <w:t xml:space="preserve">-0.071</w:t>
            </w:r>
          </w:p>
        </w:tc>
        <w:tc>
          <w:tcPr/>
          <w:p>
            <w:pPr>
              <w:pStyle w:val="Compact"/>
              <w:jc w:val="center"/>
            </w:pPr>
            <w:r>
              <w:t xml:space="preserve">-0.083</w:t>
            </w:r>
          </w:p>
        </w:tc>
      </w:tr>
      <w:tr>
        <w:tc>
          <w:tcPr/>
          <w:p>
            <w:pPr>
              <w:pStyle w:val="Compact"/>
              <w:jc w:val="center"/>
            </w:pPr>
            <w:r>
              <w:t xml:space="preserve">&gt;=3 positifs</w:t>
            </w:r>
          </w:p>
        </w:tc>
        <w:tc>
          <w:tcPr/>
          <w:p>
            <w:pPr>
              <w:pStyle w:val="Compact"/>
              <w:jc w:val="center"/>
            </w:pPr>
            <w:r>
              <w:t xml:space="preserve">-0.096</w:t>
            </w:r>
          </w:p>
        </w:tc>
        <w:tc>
          <w:tcPr/>
          <w:p>
            <w:pPr>
              <w:pStyle w:val="Compact"/>
              <w:jc w:val="center"/>
            </w:pPr>
            <w:r>
              <w:t xml:space="preserve">-0.096</w:t>
            </w:r>
          </w:p>
        </w:tc>
        <w:tc>
          <w:tcPr/>
          <w:p>
            <w:pPr>
              <w:pStyle w:val="Compact"/>
              <w:jc w:val="center"/>
            </w:pPr>
            <w:r>
              <w:t xml:space="preserve">-0.071</w:t>
            </w:r>
          </w:p>
        </w:tc>
        <w:tc>
          <w:tcPr/>
          <w:p>
            <w:pPr>
              <w:pStyle w:val="Compact"/>
              <w:jc w:val="center"/>
            </w:pPr>
            <w:r>
              <w:t xml:space="preserve">-0.083</w:t>
            </w:r>
          </w:p>
        </w:tc>
      </w:tr>
      <w:tr>
        <w:tc>
          <w:tcPr/>
          <w:p>
            <w:pPr>
              <w:pStyle w:val="Compact"/>
              <w:jc w:val="center"/>
            </w:pPr>
            <w:r>
              <w:t xml:space="preserve">&gt;=4 positifs</w:t>
            </w:r>
          </w:p>
        </w:tc>
        <w:tc>
          <w:tcPr/>
          <w:p>
            <w:pPr>
              <w:pStyle w:val="Compact"/>
              <w:jc w:val="center"/>
            </w:pPr>
            <w:r>
              <w:t xml:space="preserve">-0.058</w:t>
            </w:r>
          </w:p>
        </w:tc>
        <w:tc>
          <w:tcPr/>
          <w:p>
            <w:pPr>
              <w:pStyle w:val="Compact"/>
              <w:jc w:val="center"/>
            </w:pPr>
            <w:r>
              <w:t xml:space="preserve">-0.058</w:t>
            </w:r>
          </w:p>
        </w:tc>
        <w:tc>
          <w:tcPr/>
          <w:p>
            <w:pPr>
              <w:pStyle w:val="Compact"/>
              <w:jc w:val="center"/>
            </w:pPr>
            <w:r>
              <w:t xml:space="preserve">-0.058</w:t>
            </w:r>
          </w:p>
        </w:tc>
        <w:tc>
          <w:tcPr/>
          <w:p>
            <w:pPr>
              <w:pStyle w:val="Compact"/>
              <w:jc w:val="center"/>
            </w:pPr>
            <w:r>
              <w:t xml:space="preserve">-0.058</w:t>
            </w:r>
          </w:p>
        </w:tc>
      </w:tr>
    </w:tbl>
    <w:p>
      <w:pPr>
        <w:pStyle w:val="CaptionedFigure"/>
      </w:pPr>
      <w:r>
        <w:drawing>
          <wp:inline>
            <wp:extent cx="5334000" cy="3333750"/>
            <wp:effectExtent b="0" l="0" r="0" t="0"/>
            <wp:docPr descr="Contribution de chaque test au pouvoir d’exclusion (Spécificité)" title="" id="99" name="Picture"/>
            <a:graphic>
              <a:graphicData uri="http://schemas.openxmlformats.org/drawingml/2006/picture">
                <pic:pic>
                  <pic:nvPicPr>
                    <pic:cNvPr descr="these_brieuc_last_recueil_files/figure-docx/score-contribution-sp-plot-1.png" id="100" name="Picture"/>
                    <pic:cNvPicPr>
                      <a:picLocks noChangeArrowheads="1" noChangeAspect="1"/>
                    </pic:cNvPicPr>
                  </pic:nvPicPr>
                  <pic:blipFill>
                    <a:blip r:embed="rId9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Contribution de chaque test au pouvoir d’exclusion (Spécificité)</w:t>
      </w:r>
    </w:p>
    <w:p>
      <w:pPr>
        <w:numPr>
          <w:ilvl w:val="0"/>
          <w:numId w:val="1030"/>
        </w:numPr>
      </w:pPr>
      <w:r>
        <w:t xml:space="preserve">Pour la spécificité, aucun test ne ressort clairement avec cette méthode de calcul, car les contributions restent assez proches entre les tests.</w:t>
      </w:r>
    </w:p>
    <w:p>
      <w:pPr>
        <w:numPr>
          <w:ilvl w:val="0"/>
          <w:numId w:val="1030"/>
        </w:numPr>
      </w:pPr>
      <w:r>
        <w:t xml:space="preserve">Au seuil</w:t>
      </w:r>
      <w:r>
        <w:t xml:space="preserve"> </w:t>
      </w:r>
      <w:r>
        <w:rPr>
          <w:rStyle w:val="VerbatimChar"/>
        </w:rPr>
        <w:t xml:space="preserve">≥4</w:t>
      </w:r>
      <w:r>
        <w:t xml:space="preserve">, les</w:t>
      </w:r>
      <w:r>
        <w:t xml:space="preserve"> </w:t>
      </w:r>
      <w:r>
        <w:rPr>
          <w:rStyle w:val="VerbatimChar"/>
        </w:rPr>
        <w:t xml:space="preserve">4</w:t>
      </w:r>
      <w:r>
        <w:t xml:space="preserve"> </w:t>
      </w:r>
      <w:r>
        <w:t xml:space="preserve">tests ont exactement la meme contribution car il n’y a qu’une seule combinaison possible :</w:t>
      </w:r>
      <w:r>
        <w:t xml:space="preserve"> </w:t>
      </w:r>
      <w:r>
        <w:rPr>
          <w:rStyle w:val="VerbatimChar"/>
        </w:rPr>
        <w:t xml:space="preserve">ULNT1 + ULNT2a + ULNT2b + ULNT3</w:t>
      </w:r>
      <w:r>
        <w:t xml:space="preserve"> </w:t>
      </w:r>
      <w:r>
        <w:t xml:space="preserve">et chaque test est nécessaire pour que le score soit positif.</w:t>
      </w:r>
    </w:p>
    <w:p>
      <w:pPr>
        <w:pStyle w:val="CaptionedFigure"/>
      </w:pPr>
      <w:r>
        <w:drawing>
          <wp:inline>
            <wp:extent cx="5334000" cy="4267200"/>
            <wp:effectExtent b="0" l="0" r="0" t="0"/>
            <wp:docPr descr="Arbitrage Sensibilité / Spécificité par seuil de score" title="" id="102" name="Picture"/>
            <a:graphic>
              <a:graphicData uri="http://schemas.openxmlformats.org/drawingml/2006/picture">
                <pic:pic>
                  <pic:nvPicPr>
                    <pic:cNvPr descr="these_brieuc_last_recueil_files/figure-docx/score-thresholds-plot-1.png" id="103" name="Picture"/>
                    <pic:cNvPicPr>
                      <a:picLocks noChangeArrowheads="1" noChangeAspect="1"/>
                    </pic:cNvPicPr>
                  </pic:nvPicPr>
                  <pic:blipFill>
                    <a:blip r:embed="rId10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Arbitrage Sensibilité / Spécificité par seuil de score</w:t>
      </w:r>
    </w:p>
    <w:p>
      <w:pPr>
        <w:pStyle w:val="CaptionedFigure"/>
      </w:pPr>
      <w:r>
        <w:drawing>
          <wp:inline>
            <wp:extent cx="5334000" cy="5334000"/>
            <wp:effectExtent b="0" l="0" r="0" t="0"/>
            <wp:docPr descr="Courbe ROC du score global (Nombre de tests positifs)" title="" id="105" name="Picture"/>
            <a:graphic>
              <a:graphicData uri="http://schemas.openxmlformats.org/drawingml/2006/picture">
                <pic:pic>
                  <pic:nvPicPr>
                    <pic:cNvPr descr="these_brieuc_last_recueil_files/figure-docx/score-roc-curve-1.png" id="106" name="Picture"/>
                    <pic:cNvPicPr>
                      <a:picLocks noChangeArrowheads="1" noChangeAspect="1"/>
                    </pic:cNvPicPr>
                  </pic:nvPicPr>
                  <pic:blipFill>
                    <a:blip r:embed="rId10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Courbe ROC du score global (Nombre de tests positifs)</w:t>
      </w:r>
    </w:p>
    <w:p>
      <w:r>
        <w:br w:type="page"/>
      </w:r>
    </w:p>
    <w:bookmarkEnd w:id="107"/>
    <w:bookmarkEnd w:id="108"/>
    <w:bookmarkEnd w:id="109"/>
    <w:bookmarkStart w:id="137" w:name="Xd9c2445cfe2dcec6a85ff49d15ae9240c0cf3af"/>
    <w:p>
      <w:pPr>
        <w:pStyle w:val="Heading2"/>
      </w:pPr>
      <w:r>
        <w:t xml:space="preserve">Analyses par niveau métamérique (par niveau)</w:t>
      </w:r>
    </w:p>
    <w:p>
      <w:pPr>
        <w:pStyle w:val="FirstParagraph"/>
      </w:pPr>
      <w:r>
        <w:t xml:space="preserve">Résultats par niveau métamérique, exploratoires du fait des effectifs très faibles à certains niveaux.</w:t>
      </w:r>
    </w:p>
    <w:bookmarkStart w:id="116" w:name="résumé-descriptif-par-niveau-métamérique"/>
    <w:p>
      <w:pPr>
        <w:pStyle w:val="Heading3"/>
      </w:pPr>
      <w:r>
        <w:t xml:space="preserve">Résumé descriptif par niveau métamérique</w:t>
      </w:r>
    </w:p>
    <w:p>
      <w:pPr>
        <w:pStyle w:val="TableCaption"/>
      </w:pPr>
      <w:r>
        <w:t xml:space="preserve">Résumé descriptif par niveau métamérique</w:t>
      </w:r>
    </w:p>
    <w:tbl>
      <w:tblPr>
        <w:tblStyle w:val="Table"/>
        <w:tblW w:type="pct" w:w="5000"/>
        <w:tblLayout w:type="fixed"/>
        <w:tblLook w:firstRow="1" w:lastRow="0" w:firstColumn="0" w:lastColumn="0" w:noHBand="0" w:noVBand="0" w:val="0020"/>
        <w:tblCaption w:val="Résumé descriptif par niveau métamérique"/>
      </w:tblPr>
      <w:tblGrid>
        <w:gridCol w:w="627"/>
        <w:gridCol w:w="862"/>
        <w:gridCol w:w="1019"/>
        <w:gridCol w:w="1019"/>
        <w:gridCol w:w="2038"/>
        <w:gridCol w:w="2352"/>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NCB positif</w:t>
            </w:r>
          </w:p>
        </w:tc>
        <w:tc>
          <w:tcPr/>
          <w:p>
            <w:pPr>
              <w:pStyle w:val="Compact"/>
              <w:jc w:val="center"/>
            </w:pPr>
            <w:r>
              <w:t xml:space="preserve">NCB negatif</w:t>
            </w:r>
          </w:p>
        </w:tc>
        <w:tc>
          <w:tcPr/>
          <w:p>
            <w:pPr>
              <w:pStyle w:val="Compact"/>
              <w:jc w:val="center"/>
            </w:pPr>
            <w:r>
              <w:t xml:space="preserve">Effectif total du niveau</w:t>
            </w:r>
          </w:p>
        </w:tc>
        <w:tc>
          <w:tcPr/>
          <w:p>
            <w:pPr>
              <w:pStyle w:val="Compact"/>
              <w:jc w:val="center"/>
            </w:pPr>
            <w:r>
              <w:t xml:space="preserve">Mediane score ULNT [Q1 ; Q3]</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w:t>
            </w:r>
          </w:p>
        </w:tc>
      </w:tr>
      <w:tr>
        <w:tc>
          <w:tcPr/>
          <w:p>
            <w:pPr>
              <w:pStyle w:val="Compact"/>
              <w:jc w:val="center"/>
            </w:pPr>
            <w:r>
              <w:t xml:space="preserve">C5</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6</w:t>
            </w:r>
          </w:p>
        </w:tc>
        <w:tc>
          <w:tcPr/>
          <w:p>
            <w:pPr>
              <w:pStyle w:val="Compact"/>
              <w:jc w:val="center"/>
            </w:pPr>
            <w:r>
              <w:t xml:space="preserve">9</w:t>
            </w:r>
          </w:p>
        </w:tc>
        <w:tc>
          <w:tcPr/>
          <w:p>
            <w:pPr>
              <w:pStyle w:val="Compact"/>
              <w:jc w:val="center"/>
            </w:pPr>
            <w:r>
              <w:t xml:space="preserve">0 [0 ; 3]</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20</w:t>
            </w:r>
          </w:p>
        </w:tc>
        <w:tc>
          <w:tcPr/>
          <w:p>
            <w:pPr>
              <w:pStyle w:val="Compact"/>
              <w:jc w:val="center"/>
            </w:pPr>
            <w:r>
              <w:t xml:space="preserve">7</w:t>
            </w:r>
          </w:p>
        </w:tc>
        <w:tc>
          <w:tcPr/>
          <w:p>
            <w:pPr>
              <w:pStyle w:val="Compact"/>
              <w:jc w:val="center"/>
            </w:pPr>
            <w:r>
              <w:t xml:space="preserve">27</w:t>
            </w:r>
          </w:p>
        </w:tc>
        <w:tc>
          <w:tcPr/>
          <w:p>
            <w:pPr>
              <w:pStyle w:val="Compact"/>
              <w:jc w:val="center"/>
            </w:pPr>
            <w:r>
              <w:t xml:space="preserve">3 [2 ; 3]</w:t>
            </w:r>
          </w:p>
        </w:tc>
      </w:tr>
      <w:tr>
        <w:tc>
          <w:tcPr/>
          <w:p>
            <w:pPr>
              <w:pStyle w:val="Compact"/>
              <w:jc w:val="center"/>
            </w:pPr>
            <w:r>
              <w:t xml:space="preserve">C7</w:t>
            </w:r>
          </w:p>
        </w:tc>
        <w:tc>
          <w:tcPr/>
          <w:p>
            <w:pPr>
              <w:pStyle w:val="Compact"/>
              <w:jc w:val="center"/>
            </w:pPr>
            <w:r>
              <w:t xml:space="preserve">23</w:t>
            </w:r>
          </w:p>
        </w:tc>
        <w:tc>
          <w:tcPr/>
          <w:p>
            <w:pPr>
              <w:pStyle w:val="Compact"/>
              <w:jc w:val="center"/>
            </w:pPr>
            <w:r>
              <w:t xml:space="preserve">16</w:t>
            </w:r>
          </w:p>
        </w:tc>
        <w:tc>
          <w:tcPr/>
          <w:p>
            <w:pPr>
              <w:pStyle w:val="Compact"/>
              <w:jc w:val="center"/>
            </w:pPr>
            <w:r>
              <w:t xml:space="preserve">7</w:t>
            </w:r>
          </w:p>
        </w:tc>
        <w:tc>
          <w:tcPr/>
          <w:p>
            <w:pPr>
              <w:pStyle w:val="Compact"/>
              <w:jc w:val="center"/>
            </w:pPr>
            <w:r>
              <w:t xml:space="preserve">23</w:t>
            </w:r>
          </w:p>
        </w:tc>
        <w:tc>
          <w:tcPr/>
          <w:p>
            <w:pPr>
              <w:pStyle w:val="Compact"/>
              <w:jc w:val="center"/>
            </w:pPr>
            <w:r>
              <w:t xml:space="preserve">3 [1 ; 4]</w:t>
            </w:r>
          </w:p>
        </w:tc>
      </w:tr>
      <w:tr>
        <w:tc>
          <w:tcPr/>
          <w:p>
            <w:pPr>
              <w:pStyle w:val="Compact"/>
              <w:jc w:val="center"/>
            </w:pPr>
            <w:r>
              <w:t xml:space="preserve">C8</w:t>
            </w:r>
          </w:p>
        </w:tc>
        <w:tc>
          <w:tcPr/>
          <w:p>
            <w:pPr>
              <w:pStyle w:val="Compact"/>
              <w:jc w:val="center"/>
            </w:pPr>
            <w:r>
              <w:t xml:space="preserve">11</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11</w:t>
            </w:r>
          </w:p>
        </w:tc>
        <w:tc>
          <w:tcPr/>
          <w:p>
            <w:pPr>
              <w:pStyle w:val="Compact"/>
              <w:jc w:val="center"/>
            </w:pPr>
            <w:r>
              <w:t xml:space="preserve">1 [0 ; 3]</w:t>
            </w:r>
          </w:p>
        </w:tc>
      </w:tr>
    </w:tbl>
    <w:p>
      <w:pPr>
        <w:pStyle w:val="CaptionedFigure"/>
      </w:pPr>
      <w:r>
        <w:drawing>
          <wp:inline>
            <wp:extent cx="5334000" cy="4267200"/>
            <wp:effectExtent b="0" l="0" r="0" t="0"/>
            <wp:docPr descr="Effectif de NCB par niveau métamérique" title="" id="111" name="Picture"/>
            <a:graphic>
              <a:graphicData uri="http://schemas.openxmlformats.org/drawingml/2006/picture">
                <pic:pic>
                  <pic:nvPicPr>
                    <pic:cNvPr descr="these_brieuc_last_recueil_files/figure-docx/results-by-level-rate-1.png" id="112" name="Picture"/>
                    <pic:cNvPicPr>
                      <a:picLocks noChangeArrowheads="1" noChangeAspect="1"/>
                    </pic:cNvPicPr>
                  </pic:nvPicPr>
                  <pic:blipFill>
                    <a:blip r:embed="rId11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Effectif de NCB par niveau métamérique</w:t>
      </w:r>
    </w:p>
    <w:p>
      <w:pPr>
        <w:pStyle w:val="CaptionedFigure"/>
      </w:pPr>
      <w:r>
        <w:drawing>
          <wp:inline>
            <wp:extent cx="5334000" cy="4267200"/>
            <wp:effectExtent b="0" l="0" r="0" t="0"/>
            <wp:docPr descr="Distribution du score ULNT selon le niveau métamérique" title="" id="114" name="Picture"/>
            <a:graphic>
              <a:graphicData uri="http://schemas.openxmlformats.org/drawingml/2006/picture">
                <pic:pic>
                  <pic:nvPicPr>
                    <pic:cNvPr descr="these_brieuc_last_recueil_files/figure-docx/results-by-level-count-1.png" id="115" name="Picture"/>
                    <pic:cNvPicPr>
                      <a:picLocks noChangeArrowheads="1" noChangeAspect="1"/>
                    </pic:cNvPicPr>
                  </pic:nvPicPr>
                  <pic:blipFill>
                    <a:blip r:embed="rId11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Distribution du score ULNT selon le niveau métamérique</w:t>
      </w:r>
    </w:p>
    <w:p>
      <w:pPr>
        <w:numPr>
          <w:ilvl w:val="0"/>
          <w:numId w:val="1031"/>
        </w:numPr>
      </w:pPr>
      <w:r>
        <w:t xml:space="preserve">Distribution du</w:t>
      </w:r>
      <w:r>
        <w:t xml:space="preserve"> </w:t>
      </w:r>
      <w:r>
        <w:t xml:space="preserve">“score de positivité”</w:t>
      </w:r>
      <w:r>
        <w:t xml:space="preserve"> </w:t>
      </w:r>
      <w:r>
        <w:t xml:space="preserve">de 0 a 4.</w:t>
      </w:r>
      <w:r>
        <w:t xml:space="preserve"> </w:t>
      </w:r>
      <w:r>
        <w:rPr>
          <w:rStyle w:val="VerbatimChar"/>
        </w:rPr>
        <w:t xml:space="preserve">C4</w:t>
      </w:r>
      <w:r>
        <w:t xml:space="preserve"> </w:t>
      </w:r>
      <w:r>
        <w:t xml:space="preserve">y apparait avec un unique patient de</w:t>
      </w:r>
      <w:r>
        <w:t xml:space="preserve"> </w:t>
      </w:r>
      <w:r>
        <w:rPr>
          <w:b/>
          <w:bCs/>
        </w:rPr>
        <w:t xml:space="preserve">score 0</w:t>
      </w:r>
      <w:r>
        <w:t xml:space="preserve">, ce qui explique le</w:t>
      </w:r>
      <w:r>
        <w:t xml:space="preserve"> </w:t>
      </w:r>
      <w:r>
        <w:rPr>
          <w:rStyle w:val="VerbatimChar"/>
        </w:rPr>
        <w:t xml:space="preserve">0</w:t>
      </w:r>
      <w:r>
        <w:t xml:space="preserve"> </w:t>
      </w:r>
      <w:r>
        <w:t xml:space="preserve">vu auparavant sur le graphique de moyenne.</w:t>
      </w:r>
    </w:p>
    <w:p>
      <w:pPr>
        <w:numPr>
          <w:ilvl w:val="0"/>
          <w:numId w:val="1031"/>
        </w:numPr>
      </w:pPr>
      <w:r>
        <w:t xml:space="preserve">Graphique peu interprétable pour les niveaux peu représentés. À C6 et C7, les patients ont</w:t>
      </w:r>
      <w:r>
        <w:t xml:space="preserve"> </w:t>
      </w:r>
      <w:r>
        <w:rPr>
          <w:rStyle w:val="VerbatimChar"/>
        </w:rPr>
        <w:t xml:space="preserve">≥ 3</w:t>
      </w:r>
      <w:r>
        <w:t xml:space="preserve"> </w:t>
      </w:r>
      <w:r>
        <w:t xml:space="preserve">tests positifs dans respectivement 70.4 % et 52.2 % des cas.</w:t>
      </w:r>
    </w:p>
    <w:p>
      <w:r>
        <w:br w:type="page"/>
      </w:r>
    </w:p>
    <w:bookmarkEnd w:id="116"/>
    <w:bookmarkStart w:id="125" w:name="X24df2f30bf32bdef8b2f19a40875147e62cc664"/>
    <w:p>
      <w:pPr>
        <w:pStyle w:val="Heading3"/>
      </w:pPr>
      <w:r>
        <w:t xml:space="preserve">Focus sur les cas confirmés (Gold Standard Positif)</w:t>
      </w:r>
    </w:p>
    <w:p>
      <w:pPr>
        <w:pStyle w:val="FirstParagraph"/>
      </w:pPr>
      <w:r>
        <w:t xml:space="preserve">Afin d’affiner la compréhension clinique, nous isolons ici les patients confirmés comme étant réellement atteints d’une NCB (Gold Standard positif, N = 45).</w:t>
      </w:r>
    </w:p>
    <w:tbl>
      <w:tblPr>
        <w:tblStyle w:val="Table"/>
        <w:tblW w:type="pct" w:w="5000"/>
        <w:tblLayout w:type="fixed"/>
        <w:tblLook w:firstRow="0" w:lastRow="0" w:firstColumn="0" w:lastColumn="0" w:noHBand="0" w:noVBand="0" w:val="0000"/>
      </w:tblPr>
      <w:tblGrid>
        <w:gridCol w:w="7920"/>
      </w:tblGrid>
      <w:tr>
        <w:tc>
          <w:tcPr/>
          <w:bookmarkStart w:id="120" w:name="fig-gs-positive-level"/>
          <w:p>
            <w:pPr>
              <w:pStyle w:val="Compact"/>
              <w:jc w:val="center"/>
            </w:pPr>
            <w:r>
              <w:drawing>
                <wp:inline>
                  <wp:extent cx="5334000" cy="4267200"/>
                  <wp:effectExtent b="0" l="0" r="0" t="0"/>
                  <wp:docPr descr="" title="" id="118" name="Picture"/>
                  <a:graphic>
                    <a:graphicData uri="http://schemas.openxmlformats.org/drawingml/2006/picture">
                      <pic:pic>
                        <pic:nvPicPr>
                          <pic:cNvPr descr="these_brieuc_last_recueil_files/figure-docx/fig-gs-positive-level-1.png" id="119" name="Picture"/>
                          <pic:cNvPicPr>
                            <a:picLocks noChangeArrowheads="1" noChangeAspect="1"/>
                          </pic:cNvPicPr>
                        </pic:nvPicPr>
                        <pic:blipFill>
                          <a:blip r:embed="rId11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Répartition des niveaux métamériques uniquement chez les cas confirmés</w:t>
            </w:r>
          </w:p>
          <w:bookmarkEnd w:id="120"/>
        </w:tc>
      </w:tr>
    </w:tbl>
    <w:tbl>
      <w:tblPr>
        <w:tblStyle w:val="Table"/>
        <w:tblW w:type="pct" w:w="5000"/>
        <w:tblLayout w:type="fixed"/>
        <w:tblLook w:firstRow="0" w:lastRow="0" w:firstColumn="0" w:lastColumn="0" w:noHBand="0" w:noVBand="0" w:val="0000"/>
      </w:tblPr>
      <w:tblGrid>
        <w:gridCol w:w="7920"/>
      </w:tblGrid>
      <w:tr>
        <w:tc>
          <w:tcPr/>
          <w:bookmarkStart w:id="124" w:name="fig-gs-positive-score"/>
          <w:p>
            <w:pPr>
              <w:pStyle w:val="Compact"/>
              <w:jc w:val="center"/>
            </w:pPr>
            <w:r>
              <w:drawing>
                <wp:inline>
                  <wp:extent cx="5334000" cy="4267200"/>
                  <wp:effectExtent b="0" l="0" r="0" t="0"/>
                  <wp:docPr descr="" title="" id="122" name="Picture"/>
                  <a:graphic>
                    <a:graphicData uri="http://schemas.openxmlformats.org/drawingml/2006/picture">
                      <pic:pic>
                        <pic:nvPicPr>
                          <pic:cNvPr descr="these_brieuc_last_recueil_files/figure-docx/fig-gs-positive-score-1.png" id="123" name="Picture"/>
                          <pic:cNvPicPr>
                            <a:picLocks noChangeArrowheads="1" noChangeAspect="1"/>
                          </pic:cNvPicPr>
                        </pic:nvPicPr>
                        <pic:blipFill>
                          <a:blip r:embed="rId12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Score ULNT par niveau chez les patients confirmés</w:t>
            </w:r>
          </w:p>
          <w:bookmarkEnd w:id="124"/>
        </w:tc>
      </w:tr>
    </w:tbl>
    <w:bookmarkEnd w:id="125"/>
    <w:bookmarkStart w:id="131" w:name="X703fe49374d10f2f062ed2a4e9ff6878570202b"/>
    <w:p>
      <w:pPr>
        <w:pStyle w:val="Heading3"/>
      </w:pPr>
      <w:r>
        <w:t xml:space="preserve">Performance des tests par niveau (VP, FP, FN, VN)</w:t>
      </w:r>
    </w:p>
    <w:p>
      <w:pPr>
        <w:pStyle w:val="FirstParagraph"/>
      </w:pPr>
      <w:r>
        <w:t xml:space="preserve">Ce graphique permet de visualiser pour chaque étage métamérique la répartition des résultats pour les 4 tests ULNT.</w:t>
      </w:r>
    </w:p>
    <w:tbl>
      <w:tblPr>
        <w:tblStyle w:val="Table"/>
        <w:tblW w:type="pct" w:w="5000"/>
        <w:tblLayout w:type="fixed"/>
        <w:tblLook w:firstRow="0" w:lastRow="0" w:firstColumn="0" w:lastColumn="0" w:noHBand="0" w:noVBand="0" w:val="0000"/>
      </w:tblPr>
      <w:tblGrid>
        <w:gridCol w:w="7920"/>
      </w:tblGrid>
      <w:tr>
        <w:tc>
          <w:tcPr/>
          <w:bookmarkStart w:id="130" w:name="fig-level-performance-individual"/>
          <w:p>
            <w:pPr>
              <w:pStyle w:val="Compact"/>
              <w:jc w:val="center"/>
            </w:pPr>
            <w:bookmarkStart w:id="129" w:name="fig-level-performance-individual"/>
            <w:r>
              <w:drawing>
                <wp:inline>
                  <wp:extent cx="5334000" cy="7467600"/>
                  <wp:effectExtent b="0" l="0" r="0" t="0"/>
                  <wp:docPr descr="" title="" id="127" name="Picture"/>
                  <a:graphic>
                    <a:graphicData uri="http://schemas.openxmlformats.org/drawingml/2006/picture">
                      <pic:pic>
                        <pic:nvPicPr>
                          <pic:cNvPr descr="these_brieuc_last_recueil_files/figure-docx/fig-level-performance-individual-1.png" id="128" name="Picture"/>
                          <pic:cNvPicPr>
                            <a:picLocks noChangeArrowheads="1" noChangeAspect="1"/>
                          </pic:cNvPicPr>
                        </pic:nvPicPr>
                        <pic:blipFill>
                          <a:blip r:embed="rId126"/>
                          <a:stretch>
                            <a:fillRect/>
                          </a:stretch>
                        </pic:blipFill>
                        <pic:spPr bwMode="auto">
                          <a:xfrm>
                            <a:off x="0" y="0"/>
                            <a:ext cx="5334000" cy="7467600"/>
                          </a:xfrm>
                          <a:prstGeom prst="rect">
                            <a:avLst/>
                          </a:prstGeom>
                          <a:noFill/>
                          <a:ln w="9525">
                            <a:noFill/>
                            <a:headEnd/>
                            <a:tailEnd/>
                          </a:ln>
                        </pic:spPr>
                      </pic:pic>
                    </a:graphicData>
                  </a:graphic>
                </wp:inline>
              </w:drawing>
            </w:r>
            <w:bookmarkEnd w:id="129"/>
          </w:p>
          <w:p>
            <w:pPr>
              <w:jc w:val="center"/>
            </w:pPr>
            <w:pPr>
              <w:jc w:val="left"/>
              <w:spacing w:before="200"/>
              <w:pStyle w:val="ImageCaption"/>
            </w:pPr>
            <w:r>
              <w:t xml:space="preserve">Figure 4</w:t>
            </w:r>
          </w:p>
          <w:bookmarkEnd w:id="130"/>
        </w:tc>
      </w:tr>
    </w:tbl>
    <w:p>
      <w:r>
        <w:br w:type="page"/>
      </w:r>
    </w:p>
    <w:bookmarkEnd w:id="131"/>
    <w:bookmarkStart w:id="132" w:name="X764f10c84694496ac6af7847083466b3b77ca36"/>
    <w:p>
      <w:pPr>
        <w:pStyle w:val="Heading3"/>
      </w:pPr>
      <w:r>
        <w:t xml:space="preserve">Détail exploratoire test par test et niveau par niveau</w:t>
      </w:r>
    </w:p>
    <w:p>
      <w:pPr>
        <w:pStyle w:val="TableCaption"/>
      </w:pPr>
      <w:r>
        <w:t xml:space="preserve">Performances diagnostiques exploratoires des ULNT selon le niveau métamérique</w:t>
      </w:r>
    </w:p>
    <w:tbl>
      <w:tblPr>
        <w:tblStyle w:val="Table"/>
        <w:tblW w:type="pct" w:w="5000"/>
        <w:tblLayout w:type="fixed"/>
        <w:tblLook w:firstRow="1" w:lastRow="0" w:firstColumn="0" w:lastColumn="0" w:noHBand="0" w:noVBand="0" w:val="0020"/>
        <w:tblCaption w:val="Performances diagnostiques exploratoires des ULNT selon le niveau métamérique"/>
      </w:tblPr>
      <w:tblGrid>
        <w:gridCol w:w="728"/>
        <w:gridCol w:w="546"/>
        <w:gridCol w:w="1001"/>
        <w:gridCol w:w="364"/>
        <w:gridCol w:w="364"/>
        <w:gridCol w:w="364"/>
        <w:gridCol w:w="364"/>
        <w:gridCol w:w="2093"/>
        <w:gridCol w:w="2093"/>
      </w:tblGrid>
      <w:tr>
        <w:trPr>
          <w:tblHeader w:val="on"/>
        </w:trPr>
        <w:tc>
          <w:tcPr/>
          <w:p>
            <w:pPr>
              <w:pStyle w:val="Compact"/>
              <w:jc w:val="center"/>
            </w:pPr>
            <w:r>
              <w:t xml:space="preserve">Niveau</w:t>
            </w:r>
          </w:p>
        </w:tc>
        <w:tc>
          <w:tcPr/>
          <w:p>
            <w:pPr>
              <w:pStyle w:val="Compact"/>
              <w:jc w:val="center"/>
            </w:pPr>
            <w:r>
              <w:t xml:space="preserve">Test</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U1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C4</w:t>
            </w:r>
          </w:p>
        </w:tc>
        <w:tc>
          <w:tcPr/>
          <w:p>
            <w:pPr>
              <w:pStyle w:val="Compact"/>
              <w:jc w:val="center"/>
            </w:pPr>
            <w:r>
              <w:t xml:space="preserve">U2a</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C4</w:t>
            </w:r>
          </w:p>
        </w:tc>
        <w:tc>
          <w:tcPr/>
          <w:p>
            <w:pPr>
              <w:pStyle w:val="Compact"/>
              <w:jc w:val="center"/>
            </w:pPr>
            <w:r>
              <w:t xml:space="preserve">U2b</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C4</w:t>
            </w:r>
          </w:p>
        </w:tc>
        <w:tc>
          <w:tcPr/>
          <w:p>
            <w:pPr>
              <w:pStyle w:val="Compact"/>
              <w:jc w:val="center"/>
            </w:pPr>
            <w:r>
              <w:t xml:space="preserve">U3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U1</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0.833 [0.359 ; 0.996]</w:t>
            </w:r>
          </w:p>
        </w:tc>
      </w:tr>
      <w:tr>
        <w:tc>
          <w:tcPr/>
          <w:p>
            <w:pPr>
              <w:pStyle w:val="Compact"/>
              <w:jc w:val="center"/>
            </w:pPr>
            <w:r>
              <w:t xml:space="preserve">C5</w:t>
            </w:r>
          </w:p>
        </w:tc>
        <w:tc>
          <w:tcPr/>
          <w:p>
            <w:pPr>
              <w:pStyle w:val="Compact"/>
              <w:jc w:val="center"/>
            </w:pPr>
            <w:r>
              <w:t xml:space="preserve">U2a</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0.833 [0.359 ; 0.996]</w:t>
            </w:r>
          </w:p>
        </w:tc>
      </w:tr>
      <w:tr>
        <w:tc>
          <w:tcPr/>
          <w:p>
            <w:pPr>
              <w:pStyle w:val="Compact"/>
              <w:jc w:val="center"/>
            </w:pPr>
            <w:r>
              <w:t xml:space="preserve">C5</w:t>
            </w:r>
          </w:p>
        </w:tc>
        <w:tc>
          <w:tcPr/>
          <w:p>
            <w:pPr>
              <w:pStyle w:val="Compact"/>
              <w:jc w:val="center"/>
            </w:pPr>
            <w:r>
              <w:t xml:space="preserve">U2b</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1 [0.541 ; 1]</w:t>
            </w:r>
          </w:p>
        </w:tc>
      </w:tr>
      <w:tr>
        <w:tc>
          <w:tcPr/>
          <w:p>
            <w:pPr>
              <w:pStyle w:val="Compact"/>
              <w:jc w:val="center"/>
            </w:pPr>
            <w:r>
              <w:t xml:space="preserve">C5</w:t>
            </w:r>
          </w:p>
        </w:tc>
        <w:tc>
          <w:tcPr/>
          <w:p>
            <w:pPr>
              <w:pStyle w:val="Compact"/>
              <w:jc w:val="center"/>
            </w:pPr>
            <w:r>
              <w:t xml:space="preserve">U3</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0.667 [0.094 ; 0.992]</w:t>
            </w:r>
          </w:p>
        </w:tc>
        <w:tc>
          <w:tcPr/>
          <w:p>
            <w:pPr>
              <w:pStyle w:val="Compact"/>
              <w:jc w:val="center"/>
            </w:pPr>
            <w:r>
              <w:t xml:space="preserve">1 [0.541 ; 1]</w:t>
            </w:r>
          </w:p>
        </w:tc>
      </w:tr>
      <w:tr>
        <w:tc>
          <w:tcPr/>
          <w:p>
            <w:pPr>
              <w:pStyle w:val="Compact"/>
              <w:jc w:val="center"/>
            </w:pPr>
            <w:r>
              <w:t xml:space="preserve">C6</w:t>
            </w:r>
          </w:p>
        </w:tc>
        <w:tc>
          <w:tcPr/>
          <w:p>
            <w:pPr>
              <w:pStyle w:val="Compact"/>
              <w:jc w:val="center"/>
            </w:pPr>
            <w:r>
              <w:t xml:space="preserve">U1</w:t>
            </w:r>
          </w:p>
        </w:tc>
        <w:tc>
          <w:tcPr/>
          <w:p>
            <w:pPr>
              <w:pStyle w:val="Compact"/>
              <w:jc w:val="center"/>
            </w:pPr>
            <w:r>
              <w:t xml:space="preserve">27</w:t>
            </w:r>
          </w:p>
        </w:tc>
        <w:tc>
          <w:tcPr/>
          <w:p>
            <w:pPr>
              <w:pStyle w:val="Compact"/>
              <w:jc w:val="center"/>
            </w:pPr>
            <w:r>
              <w:t xml:space="preserve">17</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0.85 [0.621 ; 0.968]</w:t>
            </w:r>
          </w:p>
        </w:tc>
        <w:tc>
          <w:tcPr/>
          <w:p>
            <w:pPr>
              <w:pStyle w:val="Compact"/>
              <w:jc w:val="center"/>
            </w:pPr>
            <w:r>
              <w:t xml:space="preserve">0.143 [0.004 ; 0.579]</w:t>
            </w:r>
          </w:p>
        </w:tc>
      </w:tr>
      <w:tr>
        <w:tc>
          <w:tcPr/>
          <w:p>
            <w:pPr>
              <w:pStyle w:val="Compact"/>
              <w:jc w:val="center"/>
            </w:pPr>
            <w:r>
              <w:t xml:space="preserve">C6</w:t>
            </w:r>
          </w:p>
        </w:tc>
        <w:tc>
          <w:tcPr/>
          <w:p>
            <w:pPr>
              <w:pStyle w:val="Compact"/>
              <w:jc w:val="center"/>
            </w:pPr>
            <w:r>
              <w:t xml:space="preserve">U2a</w:t>
            </w:r>
          </w:p>
        </w:tc>
        <w:tc>
          <w:tcPr/>
          <w:p>
            <w:pPr>
              <w:pStyle w:val="Compact"/>
              <w:jc w:val="center"/>
            </w:pPr>
            <w:r>
              <w:t xml:space="preserve">27</w:t>
            </w:r>
          </w:p>
        </w:tc>
        <w:tc>
          <w:tcPr/>
          <w:p>
            <w:pPr>
              <w:pStyle w:val="Compact"/>
              <w:jc w:val="center"/>
            </w:pPr>
            <w:r>
              <w:t xml:space="preserve">16</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0.8 [0.563 ; 0.943]</w:t>
            </w:r>
          </w:p>
        </w:tc>
        <w:tc>
          <w:tcPr/>
          <w:p>
            <w:pPr>
              <w:pStyle w:val="Compact"/>
              <w:jc w:val="center"/>
            </w:pPr>
            <w:r>
              <w:t xml:space="preserve">0.143 [0.004 ; 0.579]</w:t>
            </w:r>
          </w:p>
        </w:tc>
      </w:tr>
      <w:tr>
        <w:tc>
          <w:tcPr/>
          <w:p>
            <w:pPr>
              <w:pStyle w:val="Compact"/>
              <w:jc w:val="center"/>
            </w:pPr>
            <w:r>
              <w:t xml:space="preserve">C6</w:t>
            </w:r>
          </w:p>
        </w:tc>
        <w:tc>
          <w:tcPr/>
          <w:p>
            <w:pPr>
              <w:pStyle w:val="Compact"/>
              <w:jc w:val="center"/>
            </w:pPr>
            <w:r>
              <w:t xml:space="preserve">U2b</w:t>
            </w:r>
          </w:p>
        </w:tc>
        <w:tc>
          <w:tcPr/>
          <w:p>
            <w:pPr>
              <w:pStyle w:val="Compact"/>
              <w:jc w:val="center"/>
            </w:pPr>
            <w:r>
              <w:t xml:space="preserve">27</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9</w:t>
            </w:r>
          </w:p>
        </w:tc>
        <w:tc>
          <w:tcPr/>
          <w:p>
            <w:pPr>
              <w:pStyle w:val="Compact"/>
              <w:jc w:val="center"/>
            </w:pPr>
            <w:r>
              <w:t xml:space="preserve">0.55 [0.315 ; 0.769]</w:t>
            </w:r>
          </w:p>
        </w:tc>
        <w:tc>
          <w:tcPr/>
          <w:p>
            <w:pPr>
              <w:pStyle w:val="Compact"/>
              <w:jc w:val="center"/>
            </w:pPr>
            <w:r>
              <w:t xml:space="preserve">0.429 [0.099 ; 0.816]</w:t>
            </w:r>
          </w:p>
        </w:tc>
      </w:tr>
      <w:tr>
        <w:tc>
          <w:tcPr/>
          <w:p>
            <w:pPr>
              <w:pStyle w:val="Compact"/>
              <w:jc w:val="center"/>
            </w:pPr>
            <w:r>
              <w:t xml:space="preserve">C6</w:t>
            </w:r>
          </w:p>
        </w:tc>
        <w:tc>
          <w:tcPr/>
          <w:p>
            <w:pPr>
              <w:pStyle w:val="Compact"/>
              <w:jc w:val="center"/>
            </w:pPr>
            <w:r>
              <w:t xml:space="preserve">U3</w:t>
            </w:r>
          </w:p>
        </w:tc>
        <w:tc>
          <w:tcPr/>
          <w:p>
            <w:pPr>
              <w:pStyle w:val="Compact"/>
              <w:jc w:val="center"/>
            </w:pPr>
            <w:r>
              <w:t xml:space="preserve">27</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11</w:t>
            </w:r>
          </w:p>
        </w:tc>
        <w:tc>
          <w:tcPr/>
          <w:p>
            <w:pPr>
              <w:pStyle w:val="Compact"/>
              <w:jc w:val="center"/>
            </w:pPr>
            <w:r>
              <w:t xml:space="preserve">0.45 [0.231 ; 0.685]</w:t>
            </w:r>
          </w:p>
        </w:tc>
        <w:tc>
          <w:tcPr/>
          <w:p>
            <w:pPr>
              <w:pStyle w:val="Compact"/>
              <w:jc w:val="center"/>
            </w:pPr>
            <w:r>
              <w:t xml:space="preserve">0.286 [0.037 ; 0.71]</w:t>
            </w:r>
          </w:p>
        </w:tc>
      </w:tr>
      <w:tr>
        <w:tc>
          <w:tcPr/>
          <w:p>
            <w:pPr>
              <w:pStyle w:val="Compact"/>
              <w:jc w:val="center"/>
            </w:pPr>
            <w:r>
              <w:t xml:space="preserve">C7</w:t>
            </w:r>
          </w:p>
        </w:tc>
        <w:tc>
          <w:tcPr/>
          <w:p>
            <w:pPr>
              <w:pStyle w:val="Compact"/>
              <w:jc w:val="center"/>
            </w:pPr>
            <w:r>
              <w:t xml:space="preserve">U1</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0.857 [0.421 ; 0.996]</w:t>
            </w:r>
          </w:p>
        </w:tc>
      </w:tr>
      <w:tr>
        <w:tc>
          <w:tcPr/>
          <w:p>
            <w:pPr>
              <w:pStyle w:val="Compact"/>
              <w:jc w:val="center"/>
            </w:pPr>
            <w:r>
              <w:t xml:space="preserve">C7</w:t>
            </w:r>
          </w:p>
        </w:tc>
        <w:tc>
          <w:tcPr/>
          <w:p>
            <w:pPr>
              <w:pStyle w:val="Compact"/>
              <w:jc w:val="center"/>
            </w:pPr>
            <w:r>
              <w:t xml:space="preserve">U2a</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0.857 [0.421 ; 0.996]</w:t>
            </w:r>
          </w:p>
        </w:tc>
      </w:tr>
      <w:tr>
        <w:tc>
          <w:tcPr/>
          <w:p>
            <w:pPr>
              <w:pStyle w:val="Compact"/>
              <w:jc w:val="center"/>
            </w:pPr>
            <w:r>
              <w:t xml:space="preserve">C7</w:t>
            </w:r>
          </w:p>
        </w:tc>
        <w:tc>
          <w:tcPr/>
          <w:p>
            <w:pPr>
              <w:pStyle w:val="Compact"/>
              <w:jc w:val="center"/>
            </w:pPr>
            <w:r>
              <w:t xml:space="preserve">U2b</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0.714 [0.29 ; 0.963]</w:t>
            </w:r>
          </w:p>
        </w:tc>
      </w:tr>
      <w:tr>
        <w:tc>
          <w:tcPr/>
          <w:p>
            <w:pPr>
              <w:pStyle w:val="Compact"/>
              <w:jc w:val="center"/>
            </w:pPr>
            <w:r>
              <w:t xml:space="preserve">C7</w:t>
            </w:r>
          </w:p>
        </w:tc>
        <w:tc>
          <w:tcPr/>
          <w:p>
            <w:pPr>
              <w:pStyle w:val="Compact"/>
              <w:jc w:val="center"/>
            </w:pPr>
            <w:r>
              <w:t xml:space="preserve">U3</w:t>
            </w:r>
          </w:p>
        </w:tc>
        <w:tc>
          <w:tcPr/>
          <w:p>
            <w:pPr>
              <w:pStyle w:val="Compact"/>
              <w:jc w:val="center"/>
            </w:pPr>
            <w:r>
              <w:t xml:space="preserve">23</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10</w:t>
            </w:r>
          </w:p>
        </w:tc>
        <w:tc>
          <w:tcPr/>
          <w:p>
            <w:pPr>
              <w:pStyle w:val="Compact"/>
              <w:jc w:val="center"/>
            </w:pPr>
            <w:r>
              <w:t xml:space="preserve">0.375 [0.152 ; 0.646]</w:t>
            </w:r>
          </w:p>
        </w:tc>
        <w:tc>
          <w:tcPr/>
          <w:p>
            <w:pPr>
              <w:pStyle w:val="Compact"/>
              <w:jc w:val="center"/>
            </w:pPr>
            <w:r>
              <w:t xml:space="preserve">0.857 [0.421 ; 0.996]</w:t>
            </w:r>
          </w:p>
        </w:tc>
      </w:tr>
      <w:tr>
        <w:tc>
          <w:tcPr/>
          <w:p>
            <w:pPr>
              <w:pStyle w:val="Compact"/>
              <w:jc w:val="center"/>
            </w:pPr>
            <w:r>
              <w:t xml:space="preserve">C8</w:t>
            </w:r>
          </w:p>
        </w:tc>
        <w:tc>
          <w:tcPr/>
          <w:p>
            <w:pPr>
              <w:pStyle w:val="Compact"/>
              <w:jc w:val="center"/>
            </w:pPr>
            <w:r>
              <w:t xml:space="preserve">U1</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0.8 [0.284 ; 0.995]</w:t>
            </w:r>
          </w:p>
        </w:tc>
        <w:tc>
          <w:tcPr/>
          <w:p>
            <w:pPr>
              <w:pStyle w:val="Compact"/>
              <w:jc w:val="center"/>
            </w:pPr>
            <w:r>
              <w:t xml:space="preserve">0.667 [0.223 ; 0.957]</w:t>
            </w:r>
          </w:p>
        </w:tc>
      </w:tr>
      <w:tr>
        <w:tc>
          <w:tcPr/>
          <w:p>
            <w:pPr>
              <w:pStyle w:val="Compact"/>
              <w:jc w:val="center"/>
            </w:pPr>
            <w:r>
              <w:t xml:space="preserve">C8</w:t>
            </w:r>
          </w:p>
        </w:tc>
        <w:tc>
          <w:tcPr/>
          <w:p>
            <w:pPr>
              <w:pStyle w:val="Compact"/>
              <w:jc w:val="center"/>
            </w:pPr>
            <w:r>
              <w:t xml:space="preserve">U2a</w:t>
            </w:r>
          </w:p>
        </w:tc>
        <w:tc>
          <w:tcPr/>
          <w:p>
            <w:pPr>
              <w:pStyle w:val="Compact"/>
              <w:jc w:val="center"/>
            </w:pPr>
            <w:r>
              <w:t xml:space="preserve">11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0.4 [0.053 ; 0.853]</w:t>
            </w:r>
          </w:p>
        </w:tc>
        <w:tc>
          <w:tcPr/>
          <w:p>
            <w:pPr>
              <w:pStyle w:val="Compact"/>
              <w:jc w:val="center"/>
            </w:pPr>
            <w:r>
              <w:t xml:space="preserve">0.5 [0.118 ; 0.882]</w:t>
            </w:r>
          </w:p>
        </w:tc>
      </w:tr>
      <w:tr>
        <w:tc>
          <w:tcPr/>
          <w:p>
            <w:pPr>
              <w:pStyle w:val="Compact"/>
              <w:jc w:val="center"/>
            </w:pPr>
            <w:r>
              <w:t xml:space="preserve">C8</w:t>
            </w:r>
          </w:p>
        </w:tc>
        <w:tc>
          <w:tcPr/>
          <w:p>
            <w:pPr>
              <w:pStyle w:val="Compact"/>
              <w:jc w:val="center"/>
            </w:pPr>
            <w:r>
              <w:t xml:space="preserve">U2b</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0.6 [0.147 ; 0.947]</w:t>
            </w:r>
          </w:p>
        </w:tc>
        <w:tc>
          <w:tcPr/>
          <w:p>
            <w:pPr>
              <w:pStyle w:val="Compact"/>
              <w:jc w:val="center"/>
            </w:pPr>
            <w:r>
              <w:t xml:space="preserve">0.667 [0.223 ; 0.957]</w:t>
            </w:r>
          </w:p>
        </w:tc>
      </w:tr>
      <w:tr>
        <w:tc>
          <w:tcPr/>
          <w:p>
            <w:pPr>
              <w:pStyle w:val="Compact"/>
              <w:jc w:val="center"/>
            </w:pPr>
            <w:r>
              <w:t xml:space="preserve">C8</w:t>
            </w:r>
          </w:p>
        </w:tc>
        <w:tc>
          <w:tcPr/>
          <w:p>
            <w:pPr>
              <w:pStyle w:val="Compact"/>
              <w:jc w:val="center"/>
            </w:pPr>
            <w:r>
              <w:t xml:space="preserve">U3</w:t>
            </w:r>
          </w:p>
        </w:tc>
        <w:tc>
          <w:tcPr/>
          <w:p>
            <w:pPr>
              <w:pStyle w:val="Compact"/>
              <w:jc w:val="center"/>
            </w:pPr>
            <w:r>
              <w:t xml:space="preserve">11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0 [0 ; 0.522]</w:t>
            </w:r>
          </w:p>
        </w:tc>
        <w:tc>
          <w:tcPr/>
          <w:p>
            <w:pPr>
              <w:pStyle w:val="Compact"/>
              <w:jc w:val="center"/>
            </w:pPr>
            <w:r>
              <w:t xml:space="preserve">0.667 [0.223 ; 0.957]</w:t>
            </w:r>
          </w:p>
        </w:tc>
      </w:tr>
    </w:tbl>
    <w:p>
      <w:pPr>
        <w:numPr>
          <w:ilvl w:val="0"/>
          <w:numId w:val="1032"/>
        </w:numPr>
      </w:pPr>
      <w:r>
        <w:t xml:space="preserve">Les effectifs sont très faibles à certains niveaux, ce qui rend les résultats très instables et peu interprétables.</w:t>
      </w:r>
    </w:p>
    <w:p>
      <w:pPr>
        <w:numPr>
          <w:ilvl w:val="0"/>
          <w:numId w:val="1032"/>
        </w:numPr>
      </w:pPr>
      <w:r>
        <w:t xml:space="preserve">Les plus interprétables sont les niveaux</w:t>
      </w:r>
      <w:r>
        <w:t xml:space="preserve"> </w:t>
      </w:r>
      <w:r>
        <w:rPr>
          <w:rStyle w:val="VerbatimChar"/>
        </w:rPr>
        <w:t xml:space="preserve">C6</w:t>
      </w:r>
      <w:r>
        <w:t xml:space="preserve"> </w:t>
      </w:r>
      <w:r>
        <w:t xml:space="preserve">et</w:t>
      </w:r>
      <w:r>
        <w:t xml:space="preserve"> </w:t>
      </w:r>
      <w:r>
        <w:rPr>
          <w:rStyle w:val="VerbatimChar"/>
        </w:rPr>
        <w:t xml:space="preserve">C7</w:t>
      </w:r>
      <w:r>
        <w:t xml:space="preserve"> </w:t>
      </w:r>
      <w:r>
        <w:t xml:space="preserve">qui sont les plus peuplés.</w:t>
      </w:r>
    </w:p>
    <w:p>
      <w:pPr>
        <w:pStyle w:val="Compact"/>
        <w:numPr>
          <w:ilvl w:val="1"/>
          <w:numId w:val="1033"/>
        </w:numPr>
      </w:pPr>
      <w:r>
        <w:rPr>
          <w:rStyle w:val="VerbatimChar"/>
        </w:rPr>
        <w:t xml:space="preserve">C7</w:t>
      </w:r>
      <w:r>
        <w:t xml:space="preserve"> </w:t>
      </w:r>
      <w:r>
        <w:t xml:space="preserve">semble être le niveau où les tests sont les plus sensibles, notamment</w:t>
      </w:r>
      <w:r>
        <w:t xml:space="preserve"> </w:t>
      </w:r>
      <w:r>
        <w:rPr>
          <w:rStyle w:val="VerbatimChar"/>
        </w:rPr>
        <w:t xml:space="preserve">U2b</w:t>
      </w:r>
      <w:r>
        <w:t xml:space="preserve">, mais la spécificité y reste moyenne.</w:t>
      </w:r>
    </w:p>
    <w:p>
      <w:r>
        <w:br w:type="page"/>
      </w:r>
    </w:p>
    <w:bookmarkEnd w:id="132"/>
    <w:bookmarkStart w:id="136" w:name="Xf6491717f535a2e18f273658a84a918bff84356"/>
    <w:p>
      <w:pPr>
        <w:pStyle w:val="Heading3"/>
      </w:pPr>
      <w:r>
        <w:t xml:space="preserve">Lecture test par test selon le niveau métamérique</w:t>
      </w:r>
    </w:p>
    <w:p>
      <w:pPr>
        <w:pStyle w:val="CaptionedFigure"/>
      </w:pPr>
      <w:r>
        <w:drawing>
          <wp:inline>
            <wp:extent cx="5334000" cy="4267200"/>
            <wp:effectExtent b="0" l="0" r="0" t="0"/>
            <wp:docPr descr="Sensibilité et spécificité par niveau métamérique pour chaque test" title="" id="134" name="Picture"/>
            <a:graphic>
              <a:graphicData uri="http://schemas.openxmlformats.org/drawingml/2006/picture">
                <pic:pic>
                  <pic:nvPicPr>
                    <pic:cNvPr descr="these_brieuc_last_recueil_files/figure-docx/results-by-level-test-metric-plot-1.png" id="135" name="Picture"/>
                    <pic:cNvPicPr>
                      <a:picLocks noChangeArrowheads="1" noChangeAspect="1"/>
                    </pic:cNvPicPr>
                  </pic:nvPicPr>
                  <pic:blipFill>
                    <a:blip r:embed="rId13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Sensibilité et spécificité par niveau métamérique pour chaque test</w:t>
      </w:r>
    </w:p>
    <w:p>
      <w:pPr>
        <w:pStyle w:val="BodyText"/>
      </w:pPr>
      <w:r>
        <w:t xml:space="preserve">Mêmes infos remises en graphique : sensibilité et spécificité, test par test et niveau par niveau.</w:t>
      </w:r>
    </w:p>
    <w:p>
      <w:pPr>
        <w:pStyle w:val="BodyText"/>
      </w:pPr>
      <w:r>
        <w:t xml:space="preserve">Ensuite mêmes infos remises en tableaux par tests.</w:t>
      </w:r>
    </w:p>
    <w:p>
      <w:pPr>
        <w:pStyle w:val="BodyText"/>
      </w:pPr>
      <w:r>
        <w:t xml:space="preserve">Attention à ne pas surinterpréter, les IC sont larges et les effectifs très faibles à certains niveaux.</w:t>
      </w:r>
    </w:p>
    <w:p>
      <w:pPr>
        <w:pStyle w:val="TableCaption"/>
      </w:pPr>
      <w:r>
        <w:t xml:space="preserve">U1 selon le niveau métamérique</w:t>
      </w:r>
    </w:p>
    <w:tbl>
      <w:tblPr>
        <w:tblStyle w:val="Table"/>
        <w:tblW w:type="pct" w:w="5000"/>
        <w:tblLayout w:type="fixed"/>
        <w:tblLook w:firstRow="1" w:lastRow="0" w:firstColumn="0" w:lastColumn="0" w:noHBand="0" w:noVBand="0" w:val="0020"/>
        <w:tblCaption w:val="U1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0.833 [0.359 ; 0.996]</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17</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0.85 [0.621 ; 0.968]</w:t>
            </w:r>
          </w:p>
        </w:tc>
        <w:tc>
          <w:tcPr/>
          <w:p>
            <w:pPr>
              <w:pStyle w:val="Compact"/>
              <w:jc w:val="center"/>
            </w:pPr>
            <w:r>
              <w:t xml:space="preserve">0.143 [0.004 ; 0.579]</w:t>
            </w:r>
          </w:p>
        </w:tc>
      </w:tr>
      <w:tr>
        <w:tc>
          <w:tcPr/>
          <w:p>
            <w:pPr>
              <w:pStyle w:val="Compact"/>
              <w:jc w:val="center"/>
            </w:pPr>
            <w:r>
              <w:t xml:space="preserve">C7</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0.857 [0.421 ; 0.996]</w:t>
            </w:r>
          </w:p>
        </w:tc>
      </w:tr>
      <w:tr>
        <w:tc>
          <w:tcPr/>
          <w:p>
            <w:pPr>
              <w:pStyle w:val="Compact"/>
              <w:jc w:val="center"/>
            </w:pPr>
            <w:r>
              <w:t xml:space="preserve">C8</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0.8 [0.284 ; 0.995]</w:t>
            </w:r>
          </w:p>
        </w:tc>
        <w:tc>
          <w:tcPr/>
          <w:p>
            <w:pPr>
              <w:pStyle w:val="Compact"/>
              <w:jc w:val="center"/>
            </w:pPr>
            <w:r>
              <w:t xml:space="preserve">0.667 [0.223 ; 0.957]</w:t>
            </w:r>
          </w:p>
        </w:tc>
      </w:tr>
    </w:tbl>
    <w:p>
      <w:pPr>
        <w:pStyle w:val="BodyText"/>
      </w:pPr>
      <w:r>
        <w:t xml:space="preserve"> </w:t>
      </w:r>
    </w:p>
    <w:p>
      <w:pPr>
        <w:pStyle w:val="TableCaption"/>
      </w:pPr>
      <w:r>
        <w:t xml:space="preserve">U2a selon le niveau métamérique</w:t>
      </w:r>
    </w:p>
    <w:tbl>
      <w:tblPr>
        <w:tblStyle w:val="Table"/>
        <w:tblW w:type="pct" w:w="5000"/>
        <w:tblLayout w:type="fixed"/>
        <w:tblLook w:firstRow="1" w:lastRow="0" w:firstColumn="0" w:lastColumn="0" w:noHBand="0" w:noVBand="0" w:val="0020"/>
        <w:tblCaption w:val="U2a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0.833 [0.359 ; 0.996]</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16</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0.8 [0.563 ; 0.943]</w:t>
            </w:r>
          </w:p>
        </w:tc>
        <w:tc>
          <w:tcPr/>
          <w:p>
            <w:pPr>
              <w:pStyle w:val="Compact"/>
              <w:jc w:val="center"/>
            </w:pPr>
            <w:r>
              <w:t xml:space="preserve">0.143 [0.004 ; 0.579]</w:t>
            </w:r>
          </w:p>
        </w:tc>
      </w:tr>
      <w:tr>
        <w:tc>
          <w:tcPr/>
          <w:p>
            <w:pPr>
              <w:pStyle w:val="Compact"/>
              <w:jc w:val="center"/>
            </w:pPr>
            <w:r>
              <w:t xml:space="preserve">C7</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0.857 [0.421 ; 0.996]</w:t>
            </w:r>
          </w:p>
        </w:tc>
      </w:tr>
      <w:tr>
        <w:tc>
          <w:tcPr/>
          <w:p>
            <w:pPr>
              <w:pStyle w:val="Compact"/>
              <w:jc w:val="center"/>
            </w:pPr>
            <w:r>
              <w:t xml:space="preserve">C8</w:t>
            </w:r>
          </w:p>
        </w:tc>
        <w:tc>
          <w:tcPr/>
          <w:p>
            <w:pPr>
              <w:pStyle w:val="Compact"/>
              <w:jc w:val="center"/>
            </w:pPr>
            <w:r>
              <w:t xml:space="preserve">11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0.4 [0.053 ; 0.853]</w:t>
            </w:r>
          </w:p>
        </w:tc>
        <w:tc>
          <w:tcPr/>
          <w:p>
            <w:pPr>
              <w:pStyle w:val="Compact"/>
              <w:jc w:val="center"/>
            </w:pPr>
            <w:r>
              <w:t xml:space="preserve">0.5 [0.118 ; 0.882]</w:t>
            </w:r>
          </w:p>
        </w:tc>
      </w:tr>
    </w:tbl>
    <w:p>
      <w:pPr>
        <w:pStyle w:val="BodyText"/>
      </w:pPr>
      <w:r>
        <w:t xml:space="preserve"> </w:t>
      </w:r>
    </w:p>
    <w:p>
      <w:pPr>
        <w:pStyle w:val="TableCaption"/>
      </w:pPr>
      <w:r>
        <w:t xml:space="preserve">U2b selon le niveau métamérique</w:t>
      </w:r>
    </w:p>
    <w:tbl>
      <w:tblPr>
        <w:tblStyle w:val="Table"/>
        <w:tblW w:type="pct" w:w="5000"/>
        <w:tblLayout w:type="fixed"/>
        <w:tblLook w:firstRow="1" w:lastRow="0" w:firstColumn="0" w:lastColumn="0" w:noHBand="0" w:noVBand="0" w:val="0020"/>
        <w:tblCaption w:val="U2b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1 [0.292 ; 1]</w:t>
            </w:r>
          </w:p>
        </w:tc>
        <w:tc>
          <w:tcPr/>
          <w:p>
            <w:pPr>
              <w:pStyle w:val="Compact"/>
              <w:jc w:val="center"/>
            </w:pPr>
            <w:r>
              <w:t xml:space="preserve">1 [0.541 ; 1]</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9</w:t>
            </w:r>
          </w:p>
        </w:tc>
        <w:tc>
          <w:tcPr/>
          <w:p>
            <w:pPr>
              <w:pStyle w:val="Compact"/>
              <w:jc w:val="center"/>
            </w:pPr>
            <w:r>
              <w:t xml:space="preserve">0.55 [0.315 ; 0.769]</w:t>
            </w:r>
          </w:p>
        </w:tc>
        <w:tc>
          <w:tcPr/>
          <w:p>
            <w:pPr>
              <w:pStyle w:val="Compact"/>
              <w:jc w:val="center"/>
            </w:pPr>
            <w:r>
              <w:t xml:space="preserve">0.429 [0.099 ; 0.816]</w:t>
            </w:r>
          </w:p>
        </w:tc>
      </w:tr>
      <w:tr>
        <w:tc>
          <w:tcPr/>
          <w:p>
            <w:pPr>
              <w:pStyle w:val="Compact"/>
              <w:jc w:val="center"/>
            </w:pPr>
            <w:r>
              <w:t xml:space="preserve">C7</w:t>
            </w:r>
          </w:p>
        </w:tc>
        <w:tc>
          <w:tcPr/>
          <w:p>
            <w:pPr>
              <w:pStyle w:val="Compact"/>
              <w:jc w:val="center"/>
            </w:pPr>
            <w:r>
              <w:t xml:space="preserve">23</w:t>
            </w:r>
          </w:p>
        </w:tc>
        <w:tc>
          <w:tcPr/>
          <w:p>
            <w:pPr>
              <w:pStyle w:val="Compact"/>
              <w:jc w:val="center"/>
            </w:pPr>
            <w:r>
              <w:t xml:space="preserve">14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0.875 [0.617 ; 0.984]</w:t>
            </w:r>
          </w:p>
        </w:tc>
        <w:tc>
          <w:tcPr/>
          <w:p>
            <w:pPr>
              <w:pStyle w:val="Compact"/>
              <w:jc w:val="center"/>
            </w:pPr>
            <w:r>
              <w:t xml:space="preserve">0.714 [0.29 ; 0.963]</w:t>
            </w:r>
          </w:p>
        </w:tc>
      </w:tr>
      <w:tr>
        <w:tc>
          <w:tcPr/>
          <w:p>
            <w:pPr>
              <w:pStyle w:val="Compact"/>
              <w:jc w:val="center"/>
            </w:pPr>
            <w:r>
              <w:t xml:space="preserve">C8</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0.6 [0.147 ; 0.947]</w:t>
            </w:r>
          </w:p>
        </w:tc>
        <w:tc>
          <w:tcPr/>
          <w:p>
            <w:pPr>
              <w:pStyle w:val="Compact"/>
              <w:jc w:val="center"/>
            </w:pPr>
            <w:r>
              <w:t xml:space="preserve">0.667 [0.223 ; 0.957]</w:t>
            </w:r>
          </w:p>
        </w:tc>
      </w:tr>
    </w:tbl>
    <w:p>
      <w:pPr>
        <w:pStyle w:val="BodyText"/>
      </w:pPr>
      <w:r>
        <w:t xml:space="preserve"> </w:t>
      </w:r>
    </w:p>
    <w:p>
      <w:pPr>
        <w:pStyle w:val="TableCaption"/>
      </w:pPr>
      <w:r>
        <w:t xml:space="preserve">U3 selon le niveau métamérique</w:t>
      </w:r>
    </w:p>
    <w:tbl>
      <w:tblPr>
        <w:tblStyle w:val="Table"/>
        <w:tblW w:type="pct" w:w="5000"/>
        <w:tblLayout w:type="fixed"/>
        <w:tblLook w:firstRow="1" w:lastRow="0" w:firstColumn="0" w:lastColumn="0" w:noHBand="0" w:noVBand="0" w:val="0020"/>
        <w:tblCaption w:val="U3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0.667 [0.094 ; 0.992]</w:t>
            </w:r>
          </w:p>
        </w:tc>
        <w:tc>
          <w:tcPr/>
          <w:p>
            <w:pPr>
              <w:pStyle w:val="Compact"/>
              <w:jc w:val="center"/>
            </w:pPr>
            <w:r>
              <w:t xml:space="preserve">1 [0.541 ; 1]</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11</w:t>
            </w:r>
          </w:p>
        </w:tc>
        <w:tc>
          <w:tcPr/>
          <w:p>
            <w:pPr>
              <w:pStyle w:val="Compact"/>
              <w:jc w:val="center"/>
            </w:pPr>
            <w:r>
              <w:t xml:space="preserve">0.45 [0.231 ; 0.685]</w:t>
            </w:r>
          </w:p>
        </w:tc>
        <w:tc>
          <w:tcPr/>
          <w:p>
            <w:pPr>
              <w:pStyle w:val="Compact"/>
              <w:jc w:val="center"/>
            </w:pPr>
            <w:r>
              <w:t xml:space="preserve">0.286 [0.037 ; 0.71]</w:t>
            </w:r>
          </w:p>
        </w:tc>
      </w:tr>
      <w:tr>
        <w:tc>
          <w:tcPr/>
          <w:p>
            <w:pPr>
              <w:pStyle w:val="Compact"/>
              <w:jc w:val="center"/>
            </w:pPr>
            <w:r>
              <w:t xml:space="preserve">C7</w:t>
            </w:r>
          </w:p>
        </w:tc>
        <w:tc>
          <w:tcPr/>
          <w:p>
            <w:pPr>
              <w:pStyle w:val="Compact"/>
              <w:jc w:val="center"/>
            </w:pPr>
            <w:r>
              <w:t xml:space="preserve">23</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10</w:t>
            </w:r>
          </w:p>
        </w:tc>
        <w:tc>
          <w:tcPr/>
          <w:p>
            <w:pPr>
              <w:pStyle w:val="Compact"/>
              <w:jc w:val="center"/>
            </w:pPr>
            <w:r>
              <w:t xml:space="preserve">0.375 [0.152 ; 0.646]</w:t>
            </w:r>
          </w:p>
        </w:tc>
        <w:tc>
          <w:tcPr/>
          <w:p>
            <w:pPr>
              <w:pStyle w:val="Compact"/>
              <w:jc w:val="center"/>
            </w:pPr>
            <w:r>
              <w:t xml:space="preserve">0.857 [0.421 ; 0.996]</w:t>
            </w:r>
          </w:p>
        </w:tc>
      </w:tr>
      <w:tr>
        <w:tc>
          <w:tcPr/>
          <w:p>
            <w:pPr>
              <w:pStyle w:val="Compact"/>
              <w:jc w:val="center"/>
            </w:pPr>
            <w:r>
              <w:t xml:space="preserve">C8</w:t>
            </w:r>
          </w:p>
        </w:tc>
        <w:tc>
          <w:tcPr/>
          <w:p>
            <w:pPr>
              <w:pStyle w:val="Compact"/>
              <w:jc w:val="center"/>
            </w:pPr>
            <w:r>
              <w:t xml:space="preserve">11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0 [0 ; 0.522]</w:t>
            </w:r>
          </w:p>
        </w:tc>
        <w:tc>
          <w:tcPr/>
          <w:p>
            <w:pPr>
              <w:pStyle w:val="Compact"/>
              <w:jc w:val="center"/>
            </w:pPr>
            <w:r>
              <w:t xml:space="preserve">0.667 [0.223 ; 0.957]</w:t>
            </w:r>
          </w:p>
        </w:tc>
      </w:tr>
    </w:tbl>
    <w:p>
      <w:pPr>
        <w:pStyle w:val="BodyText"/>
      </w:pPr>
      <w:r>
        <w:t xml:space="preserve">Globalement, il ne paraît pas pertinent de choisir principalement le test en fonction du niveau métamérique. Le message pratique reste surtout que</w:t>
      </w:r>
      <w:r>
        <w:t xml:space="preserve"> </w:t>
      </w:r>
      <w:r>
        <w:rPr>
          <w:rStyle w:val="VerbatimChar"/>
        </w:rPr>
        <w:t xml:space="preserve">U1</w:t>
      </w:r>
      <w:r>
        <w:t xml:space="preserve">,</w:t>
      </w:r>
      <w:r>
        <w:t xml:space="preserve"> </w:t>
      </w:r>
      <w:r>
        <w:rPr>
          <w:rStyle w:val="VerbatimChar"/>
        </w:rPr>
        <w:t xml:space="preserve">U2a</w:t>
      </w:r>
      <w:r>
        <w:t xml:space="preserve"> </w:t>
      </w:r>
      <w:r>
        <w:t xml:space="preserve">et</w:t>
      </w:r>
      <w:r>
        <w:t xml:space="preserve"> </w:t>
      </w:r>
      <w:r>
        <w:rPr>
          <w:rStyle w:val="VerbatimChar"/>
        </w:rPr>
        <w:t xml:space="preserve">U2b</w:t>
      </w:r>
      <w:r>
        <w:t xml:space="preserve"> </w:t>
      </w:r>
      <w:r>
        <w:t xml:space="preserve">gardent plus d’intérêt global que</w:t>
      </w:r>
      <w:r>
        <w:t xml:space="preserve"> </w:t>
      </w:r>
      <w:r>
        <w:rPr>
          <w:rStyle w:val="VerbatimChar"/>
        </w:rPr>
        <w:t xml:space="preserve">U3</w:t>
      </w:r>
      <w:r>
        <w:t xml:space="preserve">.</w:t>
      </w:r>
    </w:p>
    <w:p>
      <w:r>
        <w:br w:type="page"/>
      </w:r>
    </w:p>
    <w:bookmarkEnd w:id="136"/>
    <w:bookmarkEnd w:id="137"/>
    <w:bookmarkStart w:id="141" w:name="analyses-par-niveau-métamérique-regroupé"/>
    <w:p>
      <w:pPr>
        <w:pStyle w:val="Heading2"/>
      </w:pPr>
      <w:r>
        <w:t xml:space="preserve">Analyses par niveau métamérique (regroupé)</w:t>
      </w:r>
    </w:p>
    <w:p>
      <w:pPr>
        <w:pStyle w:val="FirstParagraph"/>
      </w:pPr>
      <w:r>
        <w:t xml:space="preserve">Objectif exploratoire car les effectifs par niveau précis sont trop faibles pour une interprétation robuste. Nous regroupons ici les niveaux en deux étages :</w:t>
      </w:r>
      <w:r>
        <w:t xml:space="preserve"> </w:t>
      </w:r>
      <w:r>
        <w:rPr>
          <w:b/>
          <w:bCs/>
        </w:rPr>
        <w:t xml:space="preserve">Supérieur (C4-C6)</w:t>
      </w:r>
      <w:r>
        <w:t xml:space="preserve"> </w:t>
      </w:r>
      <w:r>
        <w:t xml:space="preserve">et</w:t>
      </w:r>
      <w:r>
        <w:t xml:space="preserve"> </w:t>
      </w:r>
      <w:r>
        <w:rPr>
          <w:b/>
          <w:bCs/>
        </w:rPr>
        <w:t xml:space="preserve">Inférieur (C7-C8)</w:t>
      </w:r>
      <w:r>
        <w:t xml:space="preserve">.</w:t>
      </w:r>
    </w:p>
    <w:p>
      <w:pPr>
        <w:pStyle w:val="TableCaption"/>
      </w:pPr>
      <w:r>
        <w:t xml:space="preserve">Performances de l’ULNT1 par étage métamérique</w:t>
      </w:r>
    </w:p>
    <w:tbl>
      <w:tblPr>
        <w:tblStyle w:val="Table"/>
        <w:tblW w:type="auto" w:w="0"/>
        <w:tblLook w:firstRow="1" w:lastRow="0" w:firstColumn="0" w:lastColumn="0" w:noHBand="0" w:noVBand="0" w:val="0020"/>
        <w:tblCaption w:val="Performances de l’ULNT1 par étage métamérique"/>
      </w:tblPr>
      <w:tblGrid>
        <w:gridCol w:w="1320"/>
        <w:gridCol w:w="1320"/>
        <w:gridCol w:w="1320"/>
        <w:gridCol w:w="1320"/>
        <w:gridCol w:w="1320"/>
        <w:gridCol w:w="1320"/>
      </w:tblGrid>
      <w:tr>
        <w:trPr>
          <w:tblHeader w:val="on"/>
        </w:trPr>
        <w:tc>
          <w:tcPr/>
          <w:p>
            <w:pPr>
              <w:pStyle w:val="Compact"/>
              <w:jc w:val="left"/>
            </w:pPr>
            <w:r>
              <w:t xml:space="preserve">Étage</w:t>
            </w:r>
          </w:p>
        </w:tc>
        <w:tc>
          <w:tcPr/>
          <w:p>
            <w:pPr>
              <w:pStyle w:val="Compact"/>
              <w:jc w:val="right"/>
            </w:pPr>
            <w:r>
              <w:t xml:space="preserve">N</w:t>
            </w:r>
          </w:p>
        </w:tc>
        <w:tc>
          <w:tcPr/>
          <w:p>
            <w:pPr>
              <w:pStyle w:val="Compact"/>
              <w:jc w:val="right"/>
            </w:pPr>
            <w:r>
              <w:t xml:space="preserve">NCB+</w:t>
            </w:r>
          </w:p>
        </w:tc>
        <w:tc>
          <w:tcPr/>
          <w:p>
            <w:pPr>
              <w:pStyle w:val="Compact"/>
              <w:jc w:val="right"/>
            </w:pPr>
            <w:r>
              <w:t xml:space="preserve">NCB-</w:t>
            </w:r>
          </w:p>
        </w:tc>
        <w:tc>
          <w:tcPr/>
          <w:p>
            <w:pPr>
              <w:pStyle w:val="Compact"/>
              <w:jc w:val="right"/>
            </w:pPr>
            <w:r>
              <w:t xml:space="preserve">Sensibilité (U1)</w:t>
            </w:r>
          </w:p>
        </w:tc>
        <w:tc>
          <w:tcPr/>
          <w:p>
            <w:pPr>
              <w:pStyle w:val="Compact"/>
              <w:jc w:val="right"/>
            </w:pPr>
            <w:r>
              <w:t xml:space="preserve">Spécificité (U1)</w:t>
            </w:r>
          </w:p>
        </w:tc>
      </w:tr>
      <w:tr>
        <w:tc>
          <w:tcPr/>
          <w:p>
            <w:pPr>
              <w:pStyle w:val="Compact"/>
              <w:jc w:val="left"/>
            </w:pPr>
            <w:r>
              <w:t xml:space="preserve">C4-C6</w:t>
            </w:r>
          </w:p>
        </w:tc>
        <w:tc>
          <w:tcPr/>
          <w:p>
            <w:pPr>
              <w:pStyle w:val="Compact"/>
              <w:jc w:val="right"/>
            </w:pPr>
            <w:r>
              <w:t xml:space="preserve">37</w:t>
            </w:r>
          </w:p>
        </w:tc>
        <w:tc>
          <w:tcPr/>
          <w:p>
            <w:pPr>
              <w:pStyle w:val="Compact"/>
              <w:jc w:val="right"/>
            </w:pPr>
            <w:r>
              <w:t xml:space="preserve">24</w:t>
            </w:r>
          </w:p>
        </w:tc>
        <w:tc>
          <w:tcPr/>
          <w:p>
            <w:pPr>
              <w:pStyle w:val="Compact"/>
              <w:jc w:val="right"/>
            </w:pPr>
            <w:r>
              <w:t xml:space="preserve">13</w:t>
            </w:r>
          </w:p>
        </w:tc>
        <w:tc>
          <w:tcPr/>
          <w:p>
            <w:pPr>
              <w:pStyle w:val="Compact"/>
              <w:jc w:val="right"/>
            </w:pPr>
            <w:r>
              <w:t xml:space="preserve">0.8333333</w:t>
            </w:r>
          </w:p>
        </w:tc>
        <w:tc>
          <w:tcPr/>
          <w:p>
            <w:pPr>
              <w:pStyle w:val="Compact"/>
              <w:jc w:val="right"/>
            </w:pPr>
            <w:r>
              <w:t xml:space="preserve">0.4615385</w:t>
            </w:r>
          </w:p>
        </w:tc>
      </w:tr>
      <w:tr>
        <w:tc>
          <w:tcPr/>
          <w:p>
            <w:pPr>
              <w:pStyle w:val="Compact"/>
              <w:jc w:val="left"/>
            </w:pPr>
            <w:r>
              <w:t xml:space="preserve">C7-C8</w:t>
            </w:r>
          </w:p>
        </w:tc>
        <w:tc>
          <w:tcPr/>
          <w:p>
            <w:pPr>
              <w:pStyle w:val="Compact"/>
              <w:jc w:val="right"/>
            </w:pPr>
            <w:r>
              <w:t xml:space="preserve">34</w:t>
            </w:r>
          </w:p>
        </w:tc>
        <w:tc>
          <w:tcPr/>
          <w:p>
            <w:pPr>
              <w:pStyle w:val="Compact"/>
              <w:jc w:val="right"/>
            </w:pPr>
            <w:r>
              <w:t xml:space="preserve">21</w:t>
            </w:r>
          </w:p>
        </w:tc>
        <w:tc>
          <w:tcPr/>
          <w:p>
            <w:pPr>
              <w:pStyle w:val="Compact"/>
              <w:jc w:val="right"/>
            </w:pPr>
            <w:r>
              <w:t xml:space="preserve">13</w:t>
            </w:r>
          </w:p>
        </w:tc>
        <w:tc>
          <w:tcPr/>
          <w:p>
            <w:pPr>
              <w:pStyle w:val="Compact"/>
              <w:jc w:val="right"/>
            </w:pPr>
            <w:r>
              <w:t xml:space="preserve">0.8571429</w:t>
            </w:r>
          </w:p>
        </w:tc>
        <w:tc>
          <w:tcPr/>
          <w:p>
            <w:pPr>
              <w:pStyle w:val="Compact"/>
              <w:jc w:val="right"/>
            </w:pPr>
            <w:r>
              <w:t xml:space="preserve">0.7692308</w:t>
            </w:r>
          </w:p>
        </w:tc>
      </w:tr>
    </w:tbl>
    <w:p>
      <w:pPr>
        <w:pStyle w:val="CaptionedFigure"/>
      </w:pPr>
      <w:r>
        <w:drawing>
          <wp:inline>
            <wp:extent cx="5334000" cy="4267200"/>
            <wp:effectExtent b="0" l="0" r="0" t="0"/>
            <wp:docPr descr="Sensibilité et Spécificité (ULNT1) selon l’étage métamérique" title="" id="139" name="Picture"/>
            <a:graphic>
              <a:graphicData uri="http://schemas.openxmlformats.org/drawingml/2006/picture">
                <pic:pic>
                  <pic:nvPicPr>
                    <pic:cNvPr descr="these_brieuc_last_recueil_files/figure-docx/level-grouped-plot-1.png" id="140" name="Picture"/>
                    <pic:cNvPicPr>
                      <a:picLocks noChangeArrowheads="1" noChangeAspect="1"/>
                    </pic:cNvPicPr>
                  </pic:nvPicPr>
                  <pic:blipFill>
                    <a:blip r:embed="rId13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Sensibilité et Spécificité (ULNT1) selon l’étage métamérique</w:t>
      </w:r>
    </w:p>
    <w:p>
      <w:pPr>
        <w:pStyle w:val="BodyText"/>
      </w:pPr>
      <w:r>
        <w:t xml:space="preserve">Globalement, le regroupement confirme la bonne sensibilité de l’ULNT1 sur les deux étages, bien que les effectifs restent limités pour conclure à une différence majeure de performance selon le niveau.</w:t>
      </w:r>
    </w:p>
    <w:p>
      <w:r>
        <w:br w:type="page"/>
      </w:r>
    </w:p>
    <w:bookmarkEnd w:id="141"/>
    <w:bookmarkStart w:id="144" w:name="X5f2088ebd1452b5ba2e72bca91cf173f1488185"/>
    <w:p>
      <w:pPr>
        <w:pStyle w:val="Heading2"/>
      </w:pPr>
      <w:r>
        <w:t xml:space="preserve">Nombre de sujets nécessaires et impact de la prévalence</w:t>
      </w:r>
    </w:p>
    <w:p>
      <w:pPr>
        <w:pStyle w:val="TableCaption"/>
      </w:pPr>
      <w:r>
        <w:t xml:space="preserve">Comparaison entre les objectifs du protocole et les données observées</w:t>
      </w:r>
    </w:p>
    <w:tbl>
      <w:tblPr>
        <w:tblStyle w:val="Table"/>
        <w:tblW w:type="auto" w:w="0"/>
        <w:tblLook w:firstRow="1" w:lastRow="0" w:firstColumn="0" w:lastColumn="0" w:noHBand="0" w:noVBand="0" w:val="0020"/>
        <w:tblCaption w:val="Comparaison entre les objectifs du protocole et les données observées"/>
      </w:tblPr>
      <w:tblGrid>
        <w:gridCol w:w="2640"/>
        <w:gridCol w:w="2640"/>
        <w:gridCol w:w="2640"/>
      </w:tblGrid>
      <w:tr>
        <w:trPr>
          <w:tblHeader w:val="on"/>
        </w:trPr>
        <w:tc>
          <w:tcPr/>
          <w:p>
            <w:pPr>
              <w:pStyle w:val="Compact"/>
              <w:jc w:val="left"/>
            </w:pPr>
            <w:r>
              <w:t xml:space="preserve">Indicateur</w:t>
            </w:r>
          </w:p>
        </w:tc>
        <w:tc>
          <w:tcPr/>
          <w:p>
            <w:pPr>
              <w:pStyle w:val="Compact"/>
              <w:jc w:val="left"/>
            </w:pPr>
            <w:r>
              <w:t xml:space="preserve">Attendus / Espérés</w:t>
            </w:r>
          </w:p>
        </w:tc>
        <w:tc>
          <w:tcPr/>
          <w:p>
            <w:pPr>
              <w:pStyle w:val="Compact"/>
              <w:jc w:val="left"/>
            </w:pPr>
            <w:r>
              <w:t xml:space="preserve">Observés</w:t>
            </w:r>
          </w:p>
        </w:tc>
      </w:tr>
      <w:tr>
        <w:tc>
          <w:tcPr/>
          <w:p>
            <w:pPr>
              <w:pStyle w:val="Compact"/>
              <w:jc w:val="left"/>
            </w:pPr>
            <w:r>
              <w:t xml:space="preserve">Spécificité (cible vs observée)</w:t>
            </w:r>
          </w:p>
        </w:tc>
        <w:tc>
          <w:tcPr/>
          <w:p>
            <w:pPr>
              <w:pStyle w:val="Compact"/>
              <w:jc w:val="left"/>
            </w:pPr>
            <w:r>
              <w:t xml:space="preserve">0.90</w:t>
            </w:r>
          </w:p>
        </w:tc>
        <w:tc>
          <w:tcPr/>
          <w:p>
            <w:pPr>
              <w:pStyle w:val="Compact"/>
              <w:jc w:val="left"/>
            </w:pPr>
            <w:r>
              <w:t xml:space="preserve">0.769</w:t>
            </w:r>
          </w:p>
        </w:tc>
      </w:tr>
      <w:tr>
        <w:tc>
          <w:tcPr/>
          <w:p>
            <w:pPr>
              <w:pStyle w:val="Compact"/>
              <w:jc w:val="left"/>
            </w:pPr>
            <w:r>
              <w:t xml:space="preserve">Effectif total (N)</w:t>
            </w:r>
          </w:p>
        </w:tc>
        <w:tc>
          <w:tcPr/>
          <w:p>
            <w:pPr>
              <w:pStyle w:val="Compact"/>
              <w:jc w:val="left"/>
            </w:pPr>
            <w:r>
              <w:t xml:space="preserve">68</w:t>
            </w:r>
          </w:p>
        </w:tc>
        <w:tc>
          <w:tcPr/>
          <w:p>
            <w:pPr>
              <w:pStyle w:val="Compact"/>
              <w:jc w:val="left"/>
            </w:pPr>
            <w:r>
              <w:t xml:space="preserve">71</w:t>
            </w:r>
          </w:p>
        </w:tc>
      </w:tr>
      <w:tr>
        <w:tc>
          <w:tcPr/>
          <w:p>
            <w:pPr>
              <w:pStyle w:val="Compact"/>
              <w:jc w:val="left"/>
            </w:pPr>
            <w:r>
              <w:t xml:space="preserve">Effectif négatif (n)</w:t>
            </w:r>
          </w:p>
        </w:tc>
        <w:tc>
          <w:tcPr/>
          <w:p>
            <w:pPr>
              <w:pStyle w:val="Compact"/>
              <w:jc w:val="left"/>
            </w:pPr>
            <w:r>
              <w:t xml:space="preserve">27</w:t>
            </w:r>
          </w:p>
        </w:tc>
        <w:tc>
          <w:tcPr/>
          <w:p>
            <w:pPr>
              <w:pStyle w:val="Compact"/>
              <w:jc w:val="left"/>
            </w:pPr>
            <w:r>
              <w:t xml:space="preserve">26</w:t>
            </w:r>
          </w:p>
        </w:tc>
      </w:tr>
      <w:tr>
        <w:tc>
          <w:tcPr/>
          <w:p>
            <w:pPr>
              <w:pStyle w:val="Compact"/>
              <w:jc w:val="left"/>
            </w:pPr>
            <w:r>
              <w:t xml:space="preserve">Prévalence NCB</w:t>
            </w:r>
          </w:p>
        </w:tc>
        <w:tc>
          <w:tcPr/>
          <w:p>
            <w:pPr>
              <w:pStyle w:val="Compact"/>
              <w:jc w:val="left"/>
            </w:pPr>
            <w:r>
              <w:t xml:space="preserve">60 %</w:t>
            </w:r>
          </w:p>
        </w:tc>
        <w:tc>
          <w:tcPr/>
          <w:p>
            <w:pPr>
              <w:pStyle w:val="Compact"/>
              <w:jc w:val="left"/>
            </w:pPr>
            <w:r>
              <w:t xml:space="preserve">63.4 %</w:t>
            </w:r>
          </w:p>
        </w:tc>
      </w:tr>
      <w:tr>
        <w:tc>
          <w:tcPr/>
          <w:p>
            <w:pPr>
              <w:pStyle w:val="Compact"/>
              <w:jc w:val="left"/>
            </w:pPr>
            <w:r>
              <w:t xml:space="preserve">Marge de précision</w:t>
            </w:r>
          </w:p>
        </w:tc>
        <w:tc>
          <w:tcPr/>
          <w:p>
            <w:pPr>
              <w:pStyle w:val="Compact"/>
              <w:jc w:val="left"/>
            </w:pPr>
            <w:r>
              <w:t xml:space="preserve">0.149</w:t>
            </w:r>
          </w:p>
        </w:tc>
        <w:tc>
          <w:tcPr/>
          <w:p>
            <w:pPr>
              <w:pStyle w:val="Compact"/>
              <w:jc w:val="left"/>
            </w:pPr>
            <w:r>
              <w:t xml:space="preserve">0.175</w:t>
            </w:r>
          </w:p>
        </w:tc>
      </w:tr>
    </w:tbl>
    <w:bookmarkStart w:id="142" w:name="interprétation-4"/>
    <w:p>
      <w:pPr>
        <w:pStyle w:val="Heading3"/>
      </w:pPr>
      <w:r>
        <w:t xml:space="preserve">Interprétation</w:t>
      </w:r>
    </w:p>
    <w:p>
      <w:pPr>
        <w:pStyle w:val="FirstParagraph"/>
      </w:pPr>
      <w:r>
        <w:t xml:space="preserve">L’analyse de ces chiffres permet de nuancer les conclusions :</w:t>
      </w:r>
    </w:p>
    <w:p>
      <w:pPr>
        <w:pStyle w:val="Compact"/>
        <w:numPr>
          <w:ilvl w:val="0"/>
          <w:numId w:val="1034"/>
        </w:numPr>
      </w:pPr>
      <w:r>
        <w:rPr>
          <w:b/>
          <w:bCs/>
        </w:rPr>
        <w:t xml:space="preserve">L’impact de la prévalence</w:t>
      </w:r>
      <w:r>
        <w:t xml:space="preserve"> </w:t>
      </w:r>
      <w:r>
        <w:t xml:space="preserve">: Le recrutement total (N = 71) est conforme à l’objectif. L’insuffisance du nombre de sujets négatifs (n = 26 au lieu de 27) s’explique par une prévalence de la maladie plus forte que prévue sur le terrain (63.4% contre 60% dans le scénario du protocole). Pour atteindre 27 négatifs, il aurait fallu une prévalence maximale de 62%.</w:t>
      </w:r>
    </w:p>
    <w:p>
      <w:pPr>
        <w:pStyle w:val="Compact"/>
        <w:numPr>
          <w:ilvl w:val="0"/>
          <w:numId w:val="1034"/>
        </w:numPr>
      </w:pPr>
      <w:r>
        <w:rPr>
          <w:b/>
          <w:bCs/>
        </w:rPr>
        <w:t xml:space="preserve">Une perte de précision minime liée à l’effectif négatif</w:t>
      </w:r>
      <w:r>
        <w:t xml:space="preserve"> </w:t>
      </w:r>
      <w:r>
        <w:t xml:space="preserve">: Si la spécificité avait été de 0.90, le passage de 27 à 26 sujets négatifs n’aurait modifié la précision sur la borne inférieure de l’intervalle de confiance que d’environ 0.4 points. La spécificité observée plus faible que prévue (0.769 au lieu de 0.90) a un impact plus important sur la précision, avec une marge de 0.175 au lieu de 0.149, soit une perte de précision d’environ 2.6 points par rapport à l’objectif initial.</w:t>
      </w:r>
    </w:p>
    <w:p>
      <w:pPr>
        <w:pStyle w:val="Compact"/>
        <w:numPr>
          <w:ilvl w:val="0"/>
          <w:numId w:val="1034"/>
        </w:numPr>
      </w:pPr>
      <w:r>
        <w:rPr>
          <w:b/>
          <w:bCs/>
        </w:rPr>
        <w:t xml:space="preserve">La réalité de la performance</w:t>
      </w:r>
      <w:r>
        <w:t xml:space="preserve"> </w:t>
      </w:r>
      <w:r>
        <w:t xml:space="preserve">: La difficulté à atteindre la précision cible vient moins du nombre de sujets que de la performance réelle des tests. Avec une spécificité observée de 0.769, il aurait fallu 34 sujets négatifs (soit environ 93 patients au total avec la prévalence observée) pour stabiliser l’estimation avec la marge de 0.149 initialement souhaitée.</w:t>
      </w:r>
    </w:p>
    <w:p>
      <w:pPr>
        <w:pStyle w:val="FirstParagraph"/>
      </w:pPr>
      <w:r>
        <w:rPr>
          <w:b/>
          <w:bCs/>
        </w:rPr>
        <w:t xml:space="preserve">Conclusion pour la discussion :</w:t>
      </w:r>
      <w:r>
        <w:t xml:space="preserve"> </w:t>
      </w:r>
      <w:r>
        <w:t xml:space="preserve">Cette étude doit être considérée comme une étape exploratoire robuste. Elle démontre une hiérarchie claire entre les tests, mais confirme qu’une étude de confirmation visant une précision étroite nécessiterait une cohorte plus large, d’environ 93 patients avec la prévalence observée, pour compenser une spécificité plus faible qu’attendu.</w:t>
      </w:r>
    </w:p>
    <w:bookmarkEnd w:id="142"/>
    <w:bookmarkStart w:id="143" w:name="X327af1bda9aaac52b4ba9f934de637f25ad4f79"/>
    <w:p>
      <w:pPr>
        <w:pStyle w:val="Heading3"/>
      </w:pPr>
      <w:r>
        <w:t xml:space="preserve">Point spécifique sur la cible de spécificité</w:t>
      </w:r>
    </w:p>
    <w:p>
      <w:pPr>
        <w:pStyle w:val="FirstParagraph"/>
      </w:pPr>
      <w:r>
        <w:t xml:space="preserve">Le protocole visait 27 patients négatifs dans le scénario de référence retenu pour la précision de la spécificité. La cohorte finale en compte 26, soit un écart très limité d’un seul patient négatif. Cet écart d’effectif ne suffit pas, à lui seul, à expliquer l’écart avec l’objectif initial : la spécificité observée de la combinaison la plus spécifique (U2b + U3) est de 0.769, donc inférieure à la spécificité cible de 0.90. Autrement dit, la limite principale tient davantage à la spécificité réellement observée des tests dans cette cohorte qu’au seul fait d’avoir inclus 26 négatifs au lieu des 27 attendus.</w:t>
      </w:r>
    </w:p>
    <w:p>
      <w:r>
        <w:br w:type="page"/>
      </w:r>
    </w:p>
    <w:bookmarkEnd w:id="143"/>
    <w:bookmarkEnd w:id="144"/>
    <w:bookmarkStart w:id="164" w:name="Xa74f6e5e5a07d3b1e6f81174b7b050bbc6693ee"/>
    <w:p>
      <w:pPr>
        <w:pStyle w:val="Heading2"/>
      </w:pPr>
      <w:r>
        <w:t xml:space="preserve">Analyse secondaire : confirmation par infiltration thérapeutique</w:t>
      </w:r>
    </w:p>
    <w:p>
      <w:pPr>
        <w:pStyle w:val="FirstParagraph"/>
      </w:pPr>
      <w:r>
        <w:t xml:space="preserve">Cette analyse ne remplace pas le gold standard final corrigé par senior. Elle évalue uniquement une définition secondaire plus restrictive des cas positifs.</w:t>
      </w:r>
    </w:p>
    <w:p>
      <w:pPr>
        <w:pStyle w:val="BodyText"/>
      </w:pPr>
      <w:r>
        <w:t xml:space="preserve">Définition secondaire positive :</w:t>
      </w:r>
      <w:r>
        <w:t xml:space="preserve"> </w:t>
      </w:r>
      <w:r>
        <w:rPr>
          <w:rStyle w:val="VerbatimChar"/>
        </w:rPr>
        <w:t xml:space="preserve">Gold_Standard</w:t>
      </w:r>
      <w:r>
        <w:t xml:space="preserve"> </w:t>
      </w:r>
      <w:r>
        <w:t xml:space="preserve">final positif</w:t>
      </w:r>
      <w:r>
        <w:t xml:space="preserve"> </w:t>
      </w:r>
      <w:r>
        <w:rPr>
          <w:b/>
          <w:bCs/>
        </w:rPr>
        <w:t xml:space="preserve">et</w:t>
      </w:r>
      <w:r>
        <w:t xml:space="preserve"> </w:t>
      </w:r>
      <w:r>
        <w:t xml:space="preserve">infiltration thérapeutique positive.</w:t>
      </w:r>
    </w:p>
    <w:p>
      <w:pPr>
        <w:pStyle w:val="BodyText"/>
      </w:pPr>
      <w:r>
        <w:t xml:space="preserve">Deux approches sont possibles pour les négatifs :</w:t>
      </w:r>
    </w:p>
    <w:p>
      <w:pPr>
        <w:numPr>
          <w:ilvl w:val="0"/>
          <w:numId w:val="1035"/>
        </w:numPr>
      </w:pPr>
      <w:r>
        <w:t xml:space="preserve">Approche 1 : on conserve uniquement les négatifs du gold standard final (exclusion des patients avec</w:t>
      </w:r>
      <w:r>
        <w:t xml:space="preserve"> </w:t>
      </w:r>
      <w:r>
        <w:rPr>
          <w:rStyle w:val="VerbatimChar"/>
        </w:rPr>
        <w:t xml:space="preserve">Gold_Standard</w:t>
      </w:r>
      <w:r>
        <w:t xml:space="preserve"> </w:t>
      </w:r>
      <w:r>
        <w:t xml:space="preserve">final positif mais sans infiltration positive)</w:t>
      </w:r>
    </w:p>
    <w:p>
      <w:pPr>
        <w:numPr>
          <w:ilvl w:val="0"/>
          <w:numId w:val="1035"/>
        </w:numPr>
      </w:pPr>
      <w:r>
        <w:t xml:space="preserve">Approche 2 : on considère comme négatifs tous les patients qui n’ont pas d’infiltration thérapeutique positive, même ceux avec un</w:t>
      </w:r>
      <w:r>
        <w:t xml:space="preserve"> </w:t>
      </w:r>
      <w:r>
        <w:rPr>
          <w:rStyle w:val="VerbatimChar"/>
        </w:rPr>
        <w:t xml:space="preserve">Gold_Standard</w:t>
      </w:r>
      <w:r>
        <w:t xml:space="preserve"> </w:t>
      </w:r>
      <w:r>
        <w:t xml:space="preserve">final positif. Cette approche est volontairement stricte et doit être interprétée comme une analyse exploratoire.</w:t>
      </w:r>
    </w:p>
    <w:bookmarkStart w:id="152" w:name="Xa192f37cf83a10b999fde97a2d384c51e445d4f"/>
    <w:p>
      <w:pPr>
        <w:pStyle w:val="Heading3"/>
      </w:pPr>
      <w:r>
        <w:t xml:space="preserve">Approche 1 : Négatifs = Négatifs du gold standard final</w:t>
      </w:r>
    </w:p>
    <w:p>
      <w:pPr>
        <w:pStyle w:val="FirstParagraph"/>
      </w:pPr>
      <w:r>
        <w:t xml:space="preserve">Les patients ayant un</w:t>
      </w:r>
      <w:r>
        <w:t xml:space="preserve"> </w:t>
      </w:r>
      <w:r>
        <w:rPr>
          <w:rStyle w:val="VerbatimChar"/>
        </w:rPr>
        <w:t xml:space="preserve">Gold_Standard</w:t>
      </w:r>
      <w:r>
        <w:t xml:space="preserve"> </w:t>
      </w:r>
      <w:r>
        <w:t xml:space="preserve">final positif mais sans infiltration thérapeutique positive sont</w:t>
      </w:r>
      <w:r>
        <w:t xml:space="preserve"> </w:t>
      </w:r>
      <w:r>
        <w:rPr>
          <w:b/>
          <w:bCs/>
        </w:rPr>
        <w:t xml:space="preserve">exclus</w:t>
      </w:r>
      <w:r>
        <w:t xml:space="preserve">.</w:t>
      </w:r>
    </w:p>
    <w:p>
      <w:pPr>
        <w:pStyle w:val="BodyText"/>
      </w:pPr>
      <w:r>
        <w:t xml:space="preserve">Cette analyse porte sur un effectif réduit de</w:t>
      </w:r>
      <w:r>
        <w:t xml:space="preserve"> </w:t>
      </w:r>
      <w:r>
        <w:rPr>
          <w:b/>
          <w:bCs/>
        </w:rPr>
        <w:t xml:space="preserve">52 patients</w:t>
      </w:r>
      <w:r>
        <w:t xml:space="preserve"> </w:t>
      </w:r>
      <w:r>
        <w:t xml:space="preserve">(26 cas positifs avec confirmation par infiltration et 26 cas négatifs du gold standard final).</w:t>
      </w:r>
    </w:p>
    <w:bookmarkStart w:id="151" w:name="Xd66c688fc52a650573970ca45f422c6ebf5cd42"/>
    <w:p>
      <w:pPr>
        <w:pStyle w:val="Heading4"/>
      </w:pPr>
      <w:r>
        <w:t xml:space="preserve">Performances des tests et comparaisons (Approche 1)</w:t>
      </w:r>
    </w:p>
    <w:p>
      <w:pPr>
        <w:pStyle w:val="FirstParagraph"/>
      </w:pPr>
      <w:r>
        <w:t xml:space="preserve">Dans cette approche, le groupe des</w:t>
      </w:r>
      <w:r>
        <w:t xml:space="preserve"> </w:t>
      </w:r>
      <w:r>
        <w:t xml:space="preserve">“Négatifs”</w:t>
      </w:r>
      <w:r>
        <w:t xml:space="preserve"> </w:t>
      </w:r>
      <w:r>
        <w:t xml:space="preserve">n’a pas changé par rapport à l’analyse principale. Ainsi,</w:t>
      </w:r>
      <w:r>
        <w:t xml:space="preserve"> </w:t>
      </w:r>
      <w:r>
        <w:rPr>
          <w:b/>
          <w:bCs/>
        </w:rPr>
        <w:t xml:space="preserve">la spécificité reste strictement identique</w:t>
      </w:r>
      <w:r>
        <w:t xml:space="preserve">. Seule la sensibilité est modifiée, car on se concentre sur les cas positifs ayant aussi une confirmation par infiltration.</w:t>
      </w:r>
    </w:p>
    <w:tbl>
      <w:tblPr>
        <w:tblStyle w:val="Table"/>
        <w:tblW w:type="pct" w:w="5000"/>
        <w:tblLayout w:type="fixed"/>
        <w:tblLook w:firstRow="0" w:lastRow="0" w:firstColumn="0" w:lastColumn="0" w:noHBand="0" w:noVBand="0" w:val="0000"/>
      </w:tblPr>
      <w:tblGrid>
        <w:gridCol w:w="7920"/>
      </w:tblGrid>
      <w:tr>
        <w:tc>
          <w:tcPr/>
          <w:bookmarkStart w:id="145" w:name="tbl-strong-a1-indiv"/>
          <w:p>
            <w:pPr>
              <w:jc w:val="center"/>
            </w:pPr>
            <w:pPr>
              <w:jc w:val="left"/>
              <w:spacing w:before="200"/>
              <w:pStyle w:val="ImageCaption"/>
            </w:pPr>
            <w:r>
              <w:t xml:space="preserve">Table 2: Approche 1 - Performances diagnostiques test par test</w:t>
            </w:r>
          </w:p>
          <w:tbl>
            <w:tblPr>
              <w:tblStyle w:val="Table"/>
              <w:tblW w:type="pct" w:w="5000"/>
              <w:tblLayout w:type="fixed"/>
              <w:tblLook w:firstRow="1" w:lastRow="0" w:firstColumn="0" w:lastColumn="0" w:noHBand="0" w:noVBand="0" w:val="0020"/>
            </w:tblPr>
            <w:tblGrid>
              <w:gridCol w:w="565"/>
              <w:gridCol w:w="1626"/>
              <w:gridCol w:w="1626"/>
              <w:gridCol w:w="1626"/>
              <w:gridCol w:w="1626"/>
              <w:gridCol w:w="424"/>
              <w:gridCol w:w="424"/>
            </w:tblGrid>
            <w:tr>
              <w:trPr>
                <w:tblHeader w:val="on"/>
              </w:trPr>
              <w:tc>
                <w:tcPr/>
                <w:p>
                  <w:pPr>
                    <w:pStyle w:val="Compact"/>
                    <w:jc w:val="center"/>
                    <w:jc w:val="center"/>
                  </w:pPr>
                  <w:r>
                    <w:t xml:space="preserve">Test</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ULNT1</w:t>
                  </w:r>
                </w:p>
              </w:tc>
              <w:tc>
                <w:tcPr/>
                <w:p>
                  <w:pPr>
                    <w:pStyle w:val="Compact"/>
                    <w:jc w:val="center"/>
                    <w:jc w:val="center"/>
                  </w:pPr>
                  <w:r>
                    <w:t xml:space="preserve">0.885 [0.698 ; 0.976]</w:t>
                  </w:r>
                </w:p>
              </w:tc>
              <w:tc>
                <w:tcPr/>
                <w:p>
                  <w:pPr>
                    <w:pStyle w:val="Compact"/>
                    <w:jc w:val="center"/>
                    <w:jc w:val="center"/>
                  </w:pPr>
                  <w:r>
                    <w:t xml:space="preserve">0.615 [0.406 ; 0.798]</w:t>
                  </w:r>
                </w:p>
              </w:tc>
              <w:tc>
                <w:tcPr/>
                <w:p>
                  <w:pPr>
                    <w:pStyle w:val="Compact"/>
                    <w:jc w:val="center"/>
                    <w:jc w:val="center"/>
                  </w:pPr>
                  <w:r>
                    <w:t xml:space="preserve">0.697 [0.513 ; 0.844]</w:t>
                  </w:r>
                </w:p>
              </w:tc>
              <w:tc>
                <w:tcPr/>
                <w:p>
                  <w:pPr>
                    <w:pStyle w:val="Compact"/>
                    <w:jc w:val="center"/>
                    <w:jc w:val="center"/>
                  </w:pPr>
                  <w:r>
                    <w:t xml:space="preserve">0.842 [0.604 ; 0.966]</w:t>
                  </w:r>
                </w:p>
              </w:tc>
              <w:tc>
                <w:tcPr/>
                <w:p>
                  <w:pPr>
                    <w:pStyle w:val="Compact"/>
                    <w:jc w:val="center"/>
                    <w:jc w:val="center"/>
                  </w:pPr>
                  <w:r>
                    <w:t xml:space="preserve">2.30</w:t>
                  </w:r>
                </w:p>
              </w:tc>
              <w:tc>
                <w:tcPr/>
                <w:p>
                  <w:pPr>
                    <w:pStyle w:val="Compact"/>
                    <w:jc w:val="center"/>
                    <w:jc w:val="center"/>
                  </w:pPr>
                  <w:r>
                    <w:t xml:space="preserve">0.19</w:t>
                  </w:r>
                </w:p>
              </w:tc>
            </w:tr>
            <w:tr>
              <w:tc>
                <w:tcPr/>
                <w:p>
                  <w:pPr>
                    <w:pStyle w:val="Compact"/>
                    <w:jc w:val="center"/>
                    <w:jc w:val="center"/>
                  </w:pPr>
                  <w:r>
                    <w:t xml:space="preserve">ULNT2a</w:t>
                  </w:r>
                </w:p>
              </w:tc>
              <w:tc>
                <w:tcPr/>
                <w:p>
                  <w:pPr>
                    <w:pStyle w:val="Compact"/>
                    <w:jc w:val="center"/>
                    <w:jc w:val="center"/>
                  </w:pPr>
                  <w:r>
                    <w:t xml:space="preserve">0.731 [0.522 ; 0.884]</w:t>
                  </w:r>
                </w:p>
              </w:tc>
              <w:tc>
                <w:tcPr/>
                <w:p>
                  <w:pPr>
                    <w:pStyle w:val="Compact"/>
                    <w:jc w:val="center"/>
                    <w:jc w:val="center"/>
                  </w:pPr>
                  <w:r>
                    <w:t xml:space="preserve">0.577 [0.369 ; 0.766]</w:t>
                  </w:r>
                </w:p>
              </w:tc>
              <w:tc>
                <w:tcPr/>
                <w:p>
                  <w:pPr>
                    <w:pStyle w:val="Compact"/>
                    <w:jc w:val="center"/>
                    <w:jc w:val="center"/>
                  </w:pPr>
                  <w:r>
                    <w:t xml:space="preserve">0.633 [0.439 ; 0.801]</w:t>
                  </w:r>
                </w:p>
              </w:tc>
              <w:tc>
                <w:tcPr/>
                <w:p>
                  <w:pPr>
                    <w:pStyle w:val="Compact"/>
                    <w:jc w:val="center"/>
                    <w:jc w:val="center"/>
                  </w:pPr>
                  <w:r>
                    <w:t xml:space="preserve">0.682 [0.451 ; 0.861]</w:t>
                  </w:r>
                </w:p>
              </w:tc>
              <w:tc>
                <w:tcPr/>
                <w:p>
                  <w:pPr>
                    <w:pStyle w:val="Compact"/>
                    <w:jc w:val="center"/>
                    <w:jc w:val="center"/>
                  </w:pPr>
                  <w:r>
                    <w:t xml:space="preserve">1.73</w:t>
                  </w:r>
                </w:p>
              </w:tc>
              <w:tc>
                <w:tcPr/>
                <w:p>
                  <w:pPr>
                    <w:pStyle w:val="Compact"/>
                    <w:jc w:val="center"/>
                    <w:jc w:val="center"/>
                  </w:pPr>
                  <w:r>
                    <w:t xml:space="preserve">0.47</w:t>
                  </w:r>
                </w:p>
              </w:tc>
            </w:tr>
            <w:tr>
              <w:tc>
                <w:tcPr/>
                <w:p>
                  <w:pPr>
                    <w:pStyle w:val="Compact"/>
                    <w:jc w:val="center"/>
                    <w:jc w:val="center"/>
                  </w:pPr>
                  <w:r>
                    <w:t xml:space="preserve">ULNT2b</w:t>
                  </w:r>
                </w:p>
              </w:tc>
              <w:tc>
                <w:tcPr/>
                <w:p>
                  <w:pPr>
                    <w:pStyle w:val="Compact"/>
                    <w:jc w:val="center"/>
                    <w:jc w:val="center"/>
                  </w:pPr>
                  <w:r>
                    <w:t xml:space="preserve">0.654 [0.443 ; 0.828]</w:t>
                  </w:r>
                </w:p>
              </w:tc>
              <w:tc>
                <w:tcPr/>
                <w:p>
                  <w:pPr>
                    <w:pStyle w:val="Compact"/>
                    <w:jc w:val="center"/>
                    <w:jc w:val="center"/>
                  </w:pPr>
                  <w:r>
                    <w:t xml:space="preserve">0.692 [0.482 ; 0.857]</w:t>
                  </w:r>
                </w:p>
              </w:tc>
              <w:tc>
                <w:tcPr/>
                <w:p>
                  <w:pPr>
                    <w:pStyle w:val="Compact"/>
                    <w:jc w:val="center"/>
                    <w:jc w:val="center"/>
                  </w:pPr>
                  <w:r>
                    <w:t xml:space="preserve">0.68 [0.465 ; 0.851]</w:t>
                  </w:r>
                </w:p>
              </w:tc>
              <w:tc>
                <w:tcPr/>
                <w:p>
                  <w:pPr>
                    <w:pStyle w:val="Compact"/>
                    <w:jc w:val="center"/>
                    <w:jc w:val="center"/>
                  </w:pPr>
                  <w:r>
                    <w:t xml:space="preserve">0.667 [0.46 ; 0.835]</w:t>
                  </w:r>
                </w:p>
              </w:tc>
              <w:tc>
                <w:tcPr/>
                <w:p>
                  <w:pPr>
                    <w:pStyle w:val="Compact"/>
                    <w:jc w:val="center"/>
                    <w:jc w:val="center"/>
                  </w:pPr>
                  <w:r>
                    <w:t xml:space="preserve">2.12</w:t>
                  </w:r>
                </w:p>
              </w:tc>
              <w:tc>
                <w:tcPr/>
                <w:p>
                  <w:pPr>
                    <w:pStyle w:val="Compact"/>
                    <w:jc w:val="center"/>
                    <w:jc w:val="center"/>
                  </w:pPr>
                  <w:r>
                    <w:t xml:space="preserve">0.50</w:t>
                  </w:r>
                </w:p>
              </w:tc>
            </w:tr>
            <w:tr>
              <w:tc>
                <w:tcPr/>
                <w:p>
                  <w:pPr>
                    <w:pStyle w:val="Compact"/>
                    <w:jc w:val="center"/>
                    <w:jc w:val="center"/>
                  </w:pPr>
                  <w:r>
                    <w:t xml:space="preserve">ULNT3</w:t>
                  </w:r>
                </w:p>
              </w:tc>
              <w:tc>
                <w:tcPr/>
                <w:p>
                  <w:pPr>
                    <w:pStyle w:val="Compact"/>
                    <w:jc w:val="center"/>
                    <w:jc w:val="center"/>
                  </w:pPr>
                  <w:r>
                    <w:t xml:space="preserve">0.385 [0.202 ; 0.594]</w:t>
                  </w:r>
                </w:p>
              </w:tc>
              <w:tc>
                <w:tcPr/>
                <w:p>
                  <w:pPr>
                    <w:pStyle w:val="Compact"/>
                    <w:jc w:val="center"/>
                    <w:jc w:val="center"/>
                  </w:pPr>
                  <w:r>
                    <w:t xml:space="preserve">0.692 [0.482 ; 0.857]</w:t>
                  </w:r>
                </w:p>
              </w:tc>
              <w:tc>
                <w:tcPr/>
                <w:p>
                  <w:pPr>
                    <w:pStyle w:val="Compact"/>
                    <w:jc w:val="center"/>
                    <w:jc w:val="center"/>
                  </w:pPr>
                  <w:r>
                    <w:t xml:space="preserve">0.556 [0.308 ; 0.785]</w:t>
                  </w:r>
                </w:p>
              </w:tc>
              <w:tc>
                <w:tcPr/>
                <w:p>
                  <w:pPr>
                    <w:pStyle w:val="Compact"/>
                    <w:jc w:val="center"/>
                    <w:jc w:val="center"/>
                  </w:pPr>
                  <w:r>
                    <w:t xml:space="preserve">0.529 [0.351 ; 0.702]</w:t>
                  </w:r>
                </w:p>
              </w:tc>
              <w:tc>
                <w:tcPr/>
                <w:p>
                  <w:pPr>
                    <w:pStyle w:val="Compact"/>
                    <w:jc w:val="center"/>
                    <w:jc w:val="center"/>
                  </w:pPr>
                  <w:r>
                    <w:t xml:space="preserve">1.25</w:t>
                  </w:r>
                </w:p>
              </w:tc>
              <w:tc>
                <w:tcPr/>
                <w:p>
                  <w:pPr>
                    <w:pStyle w:val="Compact"/>
                    <w:jc w:val="center"/>
                    <w:jc w:val="center"/>
                  </w:pPr>
                  <w:r>
                    <w:t xml:space="preserve">0.89</w:t>
                  </w:r>
                </w:p>
              </w:tc>
            </w:tr>
          </w:tbl>
          <w:bookmarkEnd w:id="14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6" w:name="tbl-comp-a1-sensi"/>
          <w:p>
            <w:pPr>
              <w:jc w:val="center"/>
            </w:pPr>
            <w:pPr>
              <w:jc w:val="left"/>
              <w:spacing w:before="200"/>
              <w:pStyle w:val="ImageCaption"/>
            </w:pPr>
            <w:r>
              <w:t xml:space="preserve">Table 3: Approche 1 - Comparaison de la sensibilité : GS final vs confirmation par infiltration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Test</w:t>
                  </w:r>
                </w:p>
              </w:tc>
              <w:tc>
                <w:tcPr/>
                <w:p>
                  <w:pPr>
                    <w:pStyle w:val="Compact"/>
                    <w:jc w:val="center"/>
                    <w:jc w:val="center"/>
                  </w:pPr>
                  <w:r>
                    <w:t xml:space="preserve">Se GS final</w:t>
                  </w:r>
                </w:p>
              </w:tc>
              <w:tc>
                <w:tcPr/>
                <w:p>
                  <w:pPr>
                    <w:pStyle w:val="Compact"/>
                    <w:jc w:val="center"/>
                    <w:jc w:val="center"/>
                  </w:pPr>
                  <w:r>
                    <w:t xml:space="preserve">Se GS infiltr.+</w:t>
                  </w:r>
                </w:p>
              </w:tc>
            </w:tr>
            <w:tr>
              <w:tc>
                <w:tcPr/>
                <w:p>
                  <w:pPr>
                    <w:pStyle w:val="Compact"/>
                    <w:jc w:val="center"/>
                    <w:jc w:val="center"/>
                  </w:pPr>
                  <w:r>
                    <w:t xml:space="preserve">ULNT1</w:t>
                  </w:r>
                </w:p>
              </w:tc>
              <w:tc>
                <w:tcPr/>
                <w:p>
                  <w:pPr>
                    <w:pStyle w:val="Compact"/>
                    <w:jc w:val="center"/>
                    <w:jc w:val="center"/>
                  </w:pPr>
                  <w:r>
                    <w:t xml:space="preserve">0.844 [0.705 ; 0.935]</w:t>
                  </w:r>
                </w:p>
              </w:tc>
              <w:tc>
                <w:tcPr/>
                <w:p>
                  <w:pPr>
                    <w:pStyle w:val="Compact"/>
                    <w:jc w:val="center"/>
                    <w:jc w:val="center"/>
                  </w:pPr>
                  <w:r>
                    <w:t xml:space="preserve">0.885 [0.698 ; 0.976]</w:t>
                  </w:r>
                </w:p>
              </w:tc>
            </w:tr>
            <w:tr>
              <w:tc>
                <w:tcPr/>
                <w:p>
                  <w:pPr>
                    <w:pStyle w:val="Compact"/>
                    <w:jc w:val="center"/>
                    <w:jc w:val="center"/>
                  </w:pPr>
                  <w:r>
                    <w:t xml:space="preserve">ULNT2a</w:t>
                  </w:r>
                </w:p>
              </w:tc>
              <w:tc>
                <w:tcPr/>
                <w:p>
                  <w:pPr>
                    <w:pStyle w:val="Compact"/>
                    <w:jc w:val="center"/>
                    <w:jc w:val="center"/>
                  </w:pPr>
                  <w:r>
                    <w:t xml:space="preserve">0.778 [0.629 ; 0.888]</w:t>
                  </w:r>
                </w:p>
              </w:tc>
              <w:tc>
                <w:tcPr/>
                <w:p>
                  <w:pPr>
                    <w:pStyle w:val="Compact"/>
                    <w:jc w:val="center"/>
                    <w:jc w:val="center"/>
                  </w:pPr>
                  <w:r>
                    <w:t xml:space="preserve">0.731 [0.522 ; 0.884]</w:t>
                  </w:r>
                </w:p>
              </w:tc>
            </w:tr>
            <w:tr>
              <w:tc>
                <w:tcPr/>
                <w:p>
                  <w:pPr>
                    <w:pStyle w:val="Compact"/>
                    <w:jc w:val="center"/>
                    <w:jc w:val="center"/>
                  </w:pPr>
                  <w:r>
                    <w:t xml:space="preserve">ULNT2b</w:t>
                  </w:r>
                </w:p>
              </w:tc>
              <w:tc>
                <w:tcPr/>
                <w:p>
                  <w:pPr>
                    <w:pStyle w:val="Compact"/>
                    <w:jc w:val="center"/>
                    <w:jc w:val="center"/>
                  </w:pPr>
                  <w:r>
                    <w:t xml:space="preserve">0.689 [0.534 ; 0.818]</w:t>
                  </w:r>
                </w:p>
              </w:tc>
              <w:tc>
                <w:tcPr/>
                <w:p>
                  <w:pPr>
                    <w:pStyle w:val="Compact"/>
                    <w:jc w:val="center"/>
                    <w:jc w:val="center"/>
                  </w:pPr>
                  <w:r>
                    <w:t xml:space="preserve">0.654 [0.443 ; 0.828]</w:t>
                  </w:r>
                </w:p>
              </w:tc>
            </w:tr>
            <w:tr>
              <w:tc>
                <w:tcPr/>
                <w:p>
                  <w:pPr>
                    <w:pStyle w:val="Compact"/>
                    <w:jc w:val="center"/>
                    <w:jc w:val="center"/>
                  </w:pPr>
                  <w:r>
                    <w:t xml:space="preserve">ULNT3</w:t>
                  </w:r>
                </w:p>
              </w:tc>
              <w:tc>
                <w:tcPr/>
                <w:p>
                  <w:pPr>
                    <w:pStyle w:val="Compact"/>
                    <w:jc w:val="center"/>
                    <w:jc w:val="center"/>
                  </w:pPr>
                  <w:r>
                    <w:t xml:space="preserve">0.378 [0.238 ; 0.535]</w:t>
                  </w:r>
                </w:p>
              </w:tc>
              <w:tc>
                <w:tcPr/>
                <w:p>
                  <w:pPr>
                    <w:pStyle w:val="Compact"/>
                    <w:jc w:val="center"/>
                    <w:jc w:val="center"/>
                  </w:pPr>
                  <w:r>
                    <w:t xml:space="preserve">0.385 [0.202 ; 0.594]</w:t>
                  </w:r>
                </w:p>
              </w:tc>
            </w:tr>
          </w:tbl>
          <w:bookmarkEnd w:id="1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7" w:name="tbl-strong-a1-comb"/>
          <w:p>
            <w:pPr>
              <w:jc w:val="center"/>
            </w:pPr>
            <w:pPr>
              <w:jc w:val="left"/>
              <w:spacing w:before="200"/>
              <w:pStyle w:val="ImageCaption"/>
            </w:pPr>
            <w:r>
              <w:t xml:space="preserve">Table 4: Approche 1 - Performances diagnostiques des combinaisons conjonctives</w:t>
            </w:r>
          </w:p>
          <w:tbl>
            <w:tblPr>
              <w:tblStyle w:val="Table"/>
              <w:tblW w:type="pct" w:w="5000"/>
              <w:tblLayout w:type="fixed"/>
              <w:tblLook w:firstRow="1" w:lastRow="0" w:firstColumn="0" w:lastColumn="0" w:noHBand="0" w:noVBand="0" w:val="0020"/>
            </w:tblPr>
            <w:tblGrid>
              <w:gridCol w:w="1330"/>
              <w:gridCol w:w="1457"/>
              <w:gridCol w:w="1457"/>
              <w:gridCol w:w="1457"/>
              <w:gridCol w:w="1457"/>
              <w:gridCol w:w="380"/>
              <w:gridCol w:w="380"/>
            </w:tblGrid>
            <w:tr>
              <w:trPr>
                <w:tblHeader w:val="on"/>
              </w:trPr>
              <w:tc>
                <w:tcPr/>
                <w:p>
                  <w:pPr>
                    <w:pStyle w:val="Compact"/>
                    <w:jc w:val="center"/>
                    <w:jc w:val="center"/>
                  </w:pPr>
                  <w:r>
                    <w:t xml:space="preserve">Combinaison</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U1 + U2a</w:t>
                  </w:r>
                </w:p>
              </w:tc>
              <w:tc>
                <w:tcPr/>
                <w:p>
                  <w:pPr>
                    <w:pStyle w:val="Compact"/>
                    <w:jc w:val="center"/>
                    <w:jc w:val="center"/>
                  </w:pPr>
                  <w:r>
                    <w:t xml:space="preserve">0.654 [0.443 ; 0.828]</w:t>
                  </w:r>
                </w:p>
              </w:tc>
              <w:tc>
                <w:tcPr/>
                <w:p>
                  <w:pPr>
                    <w:pStyle w:val="Compact"/>
                    <w:jc w:val="center"/>
                    <w:jc w:val="center"/>
                  </w:pPr>
                  <w:r>
                    <w:t xml:space="preserve">0.615 [0.406 ; 0.798]</w:t>
                  </w:r>
                </w:p>
              </w:tc>
              <w:tc>
                <w:tcPr/>
                <w:p>
                  <w:pPr>
                    <w:pStyle w:val="Compact"/>
                    <w:jc w:val="center"/>
                    <w:jc w:val="center"/>
                  </w:pPr>
                  <w:r>
                    <w:t xml:space="preserve">0.63 [0.424 ; 0.806]</w:t>
                  </w:r>
                </w:p>
              </w:tc>
              <w:tc>
                <w:tcPr/>
                <w:p>
                  <w:pPr>
                    <w:pStyle w:val="Compact"/>
                    <w:jc w:val="center"/>
                    <w:jc w:val="center"/>
                  </w:pPr>
                  <w:r>
                    <w:t xml:space="preserve">0.64 [0.425 ; 0.82]</w:t>
                  </w:r>
                </w:p>
              </w:tc>
              <w:tc>
                <w:tcPr/>
                <w:p>
                  <w:pPr>
                    <w:pStyle w:val="Compact"/>
                    <w:jc w:val="center"/>
                    <w:jc w:val="center"/>
                  </w:pPr>
                  <w:r>
                    <w:t xml:space="preserve">1.70</w:t>
                  </w:r>
                </w:p>
              </w:tc>
              <w:tc>
                <w:tcPr/>
                <w:p>
                  <w:pPr>
                    <w:pStyle w:val="Compact"/>
                    <w:jc w:val="center"/>
                    <w:jc w:val="center"/>
                  </w:pPr>
                  <w:r>
                    <w:t xml:space="preserve">0.56</w:t>
                  </w:r>
                </w:p>
              </w:tc>
            </w:tr>
            <w:tr>
              <w:tc>
                <w:tcPr/>
                <w:p>
                  <w:pPr>
                    <w:pStyle w:val="Compact"/>
                    <w:jc w:val="center"/>
                    <w:jc w:val="center"/>
                  </w:pPr>
                  <w:r>
                    <w:t xml:space="preserve">U1 + U2b</w:t>
                  </w:r>
                </w:p>
              </w:tc>
              <w:tc>
                <w:tcPr/>
                <w:p>
                  <w:pPr>
                    <w:pStyle w:val="Compact"/>
                    <w:jc w:val="center"/>
                    <w:jc w:val="center"/>
                  </w:pPr>
                  <w:r>
                    <w:t xml:space="preserve">0.538 [0.334 ; 0.734]</w:t>
                  </w:r>
                </w:p>
              </w:tc>
              <w:tc>
                <w:tcPr/>
                <w:p>
                  <w:pPr>
                    <w:pStyle w:val="Compact"/>
                    <w:jc w:val="center"/>
                    <w:jc w:val="center"/>
                  </w:pPr>
                  <w:r>
                    <w:t xml:space="preserve">0.731 [0.522 ; 0.884]</w:t>
                  </w:r>
                </w:p>
              </w:tc>
              <w:tc>
                <w:tcPr/>
                <w:p>
                  <w:pPr>
                    <w:pStyle w:val="Compact"/>
                    <w:jc w:val="center"/>
                    <w:jc w:val="center"/>
                  </w:pPr>
                  <w:r>
                    <w:t xml:space="preserve">0.667 [0.43 ; 0.854]</w:t>
                  </w:r>
                </w:p>
              </w:tc>
              <w:tc>
                <w:tcPr/>
                <w:p>
                  <w:pPr>
                    <w:pStyle w:val="Compact"/>
                    <w:jc w:val="center"/>
                    <w:jc w:val="center"/>
                  </w:pPr>
                  <w:r>
                    <w:t xml:space="preserve">0.613 [0.422 ; 0.782]</w:t>
                  </w:r>
                </w:p>
              </w:tc>
              <w:tc>
                <w:tcPr/>
                <w:p>
                  <w:pPr>
                    <w:pStyle w:val="Compact"/>
                    <w:jc w:val="center"/>
                    <w:jc w:val="center"/>
                  </w:pPr>
                  <w:r>
                    <w:t xml:space="preserve">2.00</w:t>
                  </w:r>
                </w:p>
              </w:tc>
              <w:tc>
                <w:tcPr/>
                <w:p>
                  <w:pPr>
                    <w:pStyle w:val="Compact"/>
                    <w:jc w:val="center"/>
                    <w:jc w:val="center"/>
                  </w:pPr>
                  <w:r>
                    <w:t xml:space="preserve">0.63</w:t>
                  </w:r>
                </w:p>
              </w:tc>
            </w:tr>
            <w:tr>
              <w:tc>
                <w:tcPr/>
                <w:p>
                  <w:pPr>
                    <w:pStyle w:val="Compact"/>
                    <w:jc w:val="center"/>
                    <w:jc w:val="center"/>
                  </w:pPr>
                  <w:r>
                    <w:t xml:space="preserve">U1 + U3</w:t>
                  </w:r>
                </w:p>
              </w:tc>
              <w:tc>
                <w:tcPr/>
                <w:p>
                  <w:pPr>
                    <w:pStyle w:val="Compact"/>
                    <w:jc w:val="center"/>
                    <w:jc w:val="center"/>
                  </w:pPr>
                  <w:r>
                    <w:t xml:space="preserve">0.346 [0.172 ; 0.557]</w:t>
                  </w:r>
                </w:p>
              </w:tc>
              <w:tc>
                <w:tcPr/>
                <w:p>
                  <w:pPr>
                    <w:pStyle w:val="Compact"/>
                    <w:jc w:val="center"/>
                    <w:jc w:val="center"/>
                  </w:pPr>
                  <w:r>
                    <w:t xml:space="preserve">0.692 [0.482 ; 0.857]</w:t>
                  </w:r>
                </w:p>
              </w:tc>
              <w:tc>
                <w:tcPr/>
                <w:p>
                  <w:pPr>
                    <w:pStyle w:val="Compact"/>
                    <w:jc w:val="center"/>
                    <w:jc w:val="center"/>
                  </w:pPr>
                  <w:r>
                    <w:t xml:space="preserve">0.529 [0.278 ; 0.77]</w:t>
                  </w:r>
                </w:p>
              </w:tc>
              <w:tc>
                <w:tcPr/>
                <w:p>
                  <w:pPr>
                    <w:pStyle w:val="Compact"/>
                    <w:jc w:val="center"/>
                    <w:jc w:val="center"/>
                  </w:pPr>
                  <w:r>
                    <w:t xml:space="preserve">0.514 [0.34 ; 0.686]</w:t>
                  </w:r>
                </w:p>
              </w:tc>
              <w:tc>
                <w:tcPr/>
                <w:p>
                  <w:pPr>
                    <w:pStyle w:val="Compact"/>
                    <w:jc w:val="center"/>
                    <w:jc w:val="center"/>
                  </w:pPr>
                  <w:r>
                    <w:t xml:space="preserve">1.12</w:t>
                  </w:r>
                </w:p>
              </w:tc>
              <w:tc>
                <w:tcPr/>
                <w:p>
                  <w:pPr>
                    <w:pStyle w:val="Compact"/>
                    <w:jc w:val="center"/>
                    <w:jc w:val="center"/>
                  </w:pPr>
                  <w:r>
                    <w:t xml:space="preserve">0.94</w:t>
                  </w:r>
                </w:p>
              </w:tc>
            </w:tr>
            <w:tr>
              <w:tc>
                <w:tcPr/>
                <w:p>
                  <w:pPr>
                    <w:pStyle w:val="Compact"/>
                    <w:jc w:val="center"/>
                    <w:jc w:val="center"/>
                  </w:pPr>
                  <w:r>
                    <w:t xml:space="preserve">U2a + U2b</w:t>
                  </w:r>
                </w:p>
              </w:tc>
              <w:tc>
                <w:tcPr/>
                <w:p>
                  <w:pPr>
                    <w:pStyle w:val="Compact"/>
                    <w:jc w:val="center"/>
                    <w:jc w:val="center"/>
                  </w:pPr>
                  <w:r>
                    <w:t xml:space="preserve">0.5 [0.299 ; 0.701]</w:t>
                  </w:r>
                </w:p>
              </w:tc>
              <w:tc>
                <w:tcPr/>
                <w:p>
                  <w:pPr>
                    <w:pStyle w:val="Compact"/>
                    <w:jc w:val="center"/>
                    <w:jc w:val="center"/>
                  </w:pPr>
                  <w:r>
                    <w:t xml:space="preserve">0.731 [0.522 ; 0.884]</w:t>
                  </w:r>
                </w:p>
              </w:tc>
              <w:tc>
                <w:tcPr/>
                <w:p>
                  <w:pPr>
                    <w:pStyle w:val="Compact"/>
                    <w:jc w:val="center"/>
                    <w:jc w:val="center"/>
                  </w:pPr>
                  <w:r>
                    <w:t xml:space="preserve">0.65 [0.408 ; 0.846]</w:t>
                  </w:r>
                </w:p>
              </w:tc>
              <w:tc>
                <w:tcPr/>
                <w:p>
                  <w:pPr>
                    <w:pStyle w:val="Compact"/>
                    <w:jc w:val="center"/>
                    <w:jc w:val="center"/>
                  </w:pPr>
                  <w:r>
                    <w:t xml:space="preserve">0.594 [0.406 ; 0.763]</w:t>
                  </w:r>
                </w:p>
              </w:tc>
              <w:tc>
                <w:tcPr/>
                <w:p>
                  <w:pPr>
                    <w:pStyle w:val="Compact"/>
                    <w:jc w:val="center"/>
                    <w:jc w:val="center"/>
                  </w:pPr>
                  <w:r>
                    <w:t xml:space="preserve">1.86</w:t>
                  </w:r>
                </w:p>
              </w:tc>
              <w:tc>
                <w:tcPr/>
                <w:p>
                  <w:pPr>
                    <w:pStyle w:val="Compact"/>
                    <w:jc w:val="center"/>
                    <w:jc w:val="center"/>
                  </w:pPr>
                  <w:r>
                    <w:t xml:space="preserve">0.68</w:t>
                  </w:r>
                </w:p>
              </w:tc>
            </w:tr>
            <w:tr>
              <w:tc>
                <w:tcPr/>
                <w:p>
                  <w:pPr>
                    <w:pStyle w:val="Compact"/>
                    <w:jc w:val="center"/>
                    <w:jc w:val="center"/>
                  </w:pPr>
                  <w:r>
                    <w:t xml:space="preserve">U2a + U3</w:t>
                  </w:r>
                </w:p>
              </w:tc>
              <w:tc>
                <w:tcPr/>
                <w:p>
                  <w:pPr>
                    <w:pStyle w:val="Compact"/>
                    <w:jc w:val="center"/>
                    <w:jc w:val="center"/>
                  </w:pPr>
                  <w:r>
                    <w:t xml:space="preserve">0.385 [0.202 ; 0.594]</w:t>
                  </w:r>
                </w:p>
              </w:tc>
              <w:tc>
                <w:tcPr/>
                <w:p>
                  <w:pPr>
                    <w:pStyle w:val="Compact"/>
                    <w:jc w:val="center"/>
                    <w:jc w:val="center"/>
                  </w:pPr>
                  <w:r>
                    <w:t xml:space="preserve">0.692 [0.482 ; 0.857]</w:t>
                  </w:r>
                </w:p>
              </w:tc>
              <w:tc>
                <w:tcPr/>
                <w:p>
                  <w:pPr>
                    <w:pStyle w:val="Compact"/>
                    <w:jc w:val="center"/>
                    <w:jc w:val="center"/>
                  </w:pPr>
                  <w:r>
                    <w:t xml:space="preserve">0.556 [0.308 ; 0.785]</w:t>
                  </w:r>
                </w:p>
              </w:tc>
              <w:tc>
                <w:tcPr/>
                <w:p>
                  <w:pPr>
                    <w:pStyle w:val="Compact"/>
                    <w:jc w:val="center"/>
                    <w:jc w:val="center"/>
                  </w:pPr>
                  <w:r>
                    <w:t xml:space="preserve">0.529 [0.351 ; 0.702]</w:t>
                  </w:r>
                </w:p>
              </w:tc>
              <w:tc>
                <w:tcPr/>
                <w:p>
                  <w:pPr>
                    <w:pStyle w:val="Compact"/>
                    <w:jc w:val="center"/>
                    <w:jc w:val="center"/>
                  </w:pPr>
                  <w:r>
                    <w:t xml:space="preserve">1.25</w:t>
                  </w:r>
                </w:p>
              </w:tc>
              <w:tc>
                <w:tcPr/>
                <w:p>
                  <w:pPr>
                    <w:pStyle w:val="Compact"/>
                    <w:jc w:val="center"/>
                    <w:jc w:val="center"/>
                  </w:pPr>
                  <w:r>
                    <w:t xml:space="preserve">0.89</w:t>
                  </w:r>
                </w:p>
              </w:tc>
            </w:tr>
            <w:tr>
              <w:tc>
                <w:tcPr/>
                <w:p>
                  <w:pPr>
                    <w:pStyle w:val="Compact"/>
                    <w:jc w:val="center"/>
                    <w:jc w:val="center"/>
                  </w:pPr>
                  <w:r>
                    <w:t xml:space="preserve">U2b + U3</w:t>
                  </w:r>
                </w:p>
              </w:tc>
              <w:tc>
                <w:tcPr/>
                <w:p>
                  <w:pPr>
                    <w:pStyle w:val="Compact"/>
                    <w:jc w:val="center"/>
                    <w:jc w:val="center"/>
                  </w:pPr>
                  <w:r>
                    <w:t xml:space="preserve">0.192 [0.066 ; 0.394]</w:t>
                  </w:r>
                </w:p>
              </w:tc>
              <w:tc>
                <w:tcPr/>
                <w:p>
                  <w:pPr>
                    <w:pStyle w:val="Compact"/>
                    <w:jc w:val="center"/>
                    <w:jc w:val="center"/>
                  </w:pPr>
                  <w:r>
                    <w:t xml:space="preserve">0.769 [0.564 ; 0.91]</w:t>
                  </w:r>
                </w:p>
              </w:tc>
              <w:tc>
                <w:tcPr/>
                <w:p>
                  <w:pPr>
                    <w:pStyle w:val="Compact"/>
                    <w:jc w:val="center"/>
                    <w:jc w:val="center"/>
                  </w:pPr>
                  <w:r>
                    <w:t xml:space="preserve">0.455 [0.167 ; 0.766]</w:t>
                  </w:r>
                </w:p>
              </w:tc>
              <w:tc>
                <w:tcPr/>
                <w:p>
                  <w:pPr>
                    <w:pStyle w:val="Compact"/>
                    <w:jc w:val="center"/>
                    <w:jc w:val="center"/>
                  </w:pPr>
                  <w:r>
                    <w:t xml:space="preserve">0.488 [0.329 ; 0.649]</w:t>
                  </w:r>
                </w:p>
              </w:tc>
              <w:tc>
                <w:tcPr/>
                <w:p>
                  <w:pPr>
                    <w:pStyle w:val="Compact"/>
                    <w:jc w:val="center"/>
                    <w:jc w:val="center"/>
                  </w:pPr>
                  <w:r>
                    <w:t xml:space="preserve">0.83</w:t>
                  </w:r>
                </w:p>
              </w:tc>
              <w:tc>
                <w:tcPr/>
                <w:p>
                  <w:pPr>
                    <w:pStyle w:val="Compact"/>
                    <w:jc w:val="center"/>
                    <w:jc w:val="center"/>
                  </w:pPr>
                  <w:r>
                    <w:t xml:space="preserve">1.05</w:t>
                  </w:r>
                </w:p>
              </w:tc>
            </w:tr>
            <w:tr>
              <w:tc>
                <w:tcPr/>
                <w:p>
                  <w:pPr>
                    <w:pStyle w:val="Compact"/>
                    <w:jc w:val="center"/>
                    <w:jc w:val="center"/>
                  </w:pPr>
                  <w:r>
                    <w:t xml:space="preserve">U1 + U2a + U2b</w:t>
                  </w:r>
                </w:p>
              </w:tc>
              <w:tc>
                <w:tcPr/>
                <w:p>
                  <w:pPr>
                    <w:pStyle w:val="Compact"/>
                    <w:jc w:val="center"/>
                    <w:jc w:val="center"/>
                  </w:pPr>
                  <w:r>
                    <w:t xml:space="preserve">0.423 [0.234 ; 0.631]</w:t>
                  </w:r>
                </w:p>
              </w:tc>
              <w:tc>
                <w:tcPr/>
                <w:p>
                  <w:pPr>
                    <w:pStyle w:val="Compact"/>
                    <w:jc w:val="center"/>
                    <w:jc w:val="center"/>
                  </w:pPr>
                  <w:r>
                    <w:t xml:space="preserve">0.731 [0.522 ; 0.884]</w:t>
                  </w:r>
                </w:p>
              </w:tc>
              <w:tc>
                <w:tcPr/>
                <w:p>
                  <w:pPr>
                    <w:pStyle w:val="Compact"/>
                    <w:jc w:val="center"/>
                    <w:jc w:val="center"/>
                  </w:pPr>
                  <w:r>
                    <w:t xml:space="preserve">0.611 [0.357 ; 0.827]</w:t>
                  </w:r>
                </w:p>
              </w:tc>
              <w:tc>
                <w:tcPr/>
                <w:p>
                  <w:pPr>
                    <w:pStyle w:val="Compact"/>
                    <w:jc w:val="center"/>
                    <w:jc w:val="center"/>
                  </w:pPr>
                  <w:r>
                    <w:t xml:space="preserve">0.559 [0.379 ; 0.728]</w:t>
                  </w:r>
                </w:p>
              </w:tc>
              <w:tc>
                <w:tcPr/>
                <w:p>
                  <w:pPr>
                    <w:pStyle w:val="Compact"/>
                    <w:jc w:val="center"/>
                    <w:jc w:val="center"/>
                  </w:pPr>
                  <w:r>
                    <w:t xml:space="preserve">1.57</w:t>
                  </w:r>
                </w:p>
              </w:tc>
              <w:tc>
                <w:tcPr/>
                <w:p>
                  <w:pPr>
                    <w:pStyle w:val="Compact"/>
                    <w:jc w:val="center"/>
                    <w:jc w:val="center"/>
                  </w:pPr>
                  <w:r>
                    <w:t xml:space="preserve">0.79</w:t>
                  </w:r>
                </w:p>
              </w:tc>
            </w:tr>
            <w:tr>
              <w:tc>
                <w:tcPr/>
                <w:p>
                  <w:pPr>
                    <w:pStyle w:val="Compact"/>
                    <w:jc w:val="center"/>
                    <w:jc w:val="center"/>
                  </w:pPr>
                  <w:r>
                    <w:t xml:space="preserve">U1 + U2a + U3</w:t>
                  </w:r>
                </w:p>
              </w:tc>
              <w:tc>
                <w:tcPr/>
                <w:p>
                  <w:pPr>
                    <w:pStyle w:val="Compact"/>
                    <w:jc w:val="center"/>
                    <w:jc w:val="center"/>
                  </w:pPr>
                  <w:r>
                    <w:t xml:space="preserve">0.346 [0.172 ; 0.557]</w:t>
                  </w:r>
                </w:p>
              </w:tc>
              <w:tc>
                <w:tcPr/>
                <w:p>
                  <w:pPr>
                    <w:pStyle w:val="Compact"/>
                    <w:jc w:val="center"/>
                    <w:jc w:val="center"/>
                  </w:pPr>
                  <w:r>
                    <w:t xml:space="preserve">0.692 [0.482 ; 0.857]</w:t>
                  </w:r>
                </w:p>
              </w:tc>
              <w:tc>
                <w:tcPr/>
                <w:p>
                  <w:pPr>
                    <w:pStyle w:val="Compact"/>
                    <w:jc w:val="center"/>
                    <w:jc w:val="center"/>
                  </w:pPr>
                  <w:r>
                    <w:t xml:space="preserve">0.529 [0.278 ; 0.77]</w:t>
                  </w:r>
                </w:p>
              </w:tc>
              <w:tc>
                <w:tcPr/>
                <w:p>
                  <w:pPr>
                    <w:pStyle w:val="Compact"/>
                    <w:jc w:val="center"/>
                    <w:jc w:val="center"/>
                  </w:pPr>
                  <w:r>
                    <w:t xml:space="preserve">0.514 [0.34 ; 0.686]</w:t>
                  </w:r>
                </w:p>
              </w:tc>
              <w:tc>
                <w:tcPr/>
                <w:p>
                  <w:pPr>
                    <w:pStyle w:val="Compact"/>
                    <w:jc w:val="center"/>
                    <w:jc w:val="center"/>
                  </w:pPr>
                  <w:r>
                    <w:t xml:space="preserve">1.12</w:t>
                  </w:r>
                </w:p>
              </w:tc>
              <w:tc>
                <w:tcPr/>
                <w:p>
                  <w:pPr>
                    <w:pStyle w:val="Compact"/>
                    <w:jc w:val="center"/>
                    <w:jc w:val="center"/>
                  </w:pPr>
                  <w:r>
                    <w:t xml:space="preserve">0.94</w:t>
                  </w:r>
                </w:p>
              </w:tc>
            </w:tr>
            <w:tr>
              <w:tc>
                <w:tcPr/>
                <w:p>
                  <w:pPr>
                    <w:pStyle w:val="Compact"/>
                    <w:jc w:val="center"/>
                    <w:jc w:val="center"/>
                  </w:pPr>
                  <w:r>
                    <w:t xml:space="preserve">U1 + U2b + U3</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0.4 [0.122 ; 0.738]</w:t>
                  </w:r>
                </w:p>
              </w:tc>
              <w:tc>
                <w:tcPr/>
                <w:p>
                  <w:pPr>
                    <w:pStyle w:val="Compact"/>
                    <w:jc w:val="center"/>
                    <w:jc w:val="center"/>
                  </w:pPr>
                  <w:r>
                    <w:t xml:space="preserve">0.476 [0.32 ; 0.636]</w:t>
                  </w:r>
                </w:p>
              </w:tc>
              <w:tc>
                <w:tcPr/>
                <w:p>
                  <w:pPr>
                    <w:pStyle w:val="Compact"/>
                    <w:jc w:val="center"/>
                    <w:jc w:val="center"/>
                  </w:pPr>
                  <w:r>
                    <w:t xml:space="preserve">0.67</w:t>
                  </w:r>
                </w:p>
              </w:tc>
              <w:tc>
                <w:tcPr/>
                <w:p>
                  <w:pPr>
                    <w:pStyle w:val="Compact"/>
                    <w:jc w:val="center"/>
                    <w:jc w:val="center"/>
                  </w:pPr>
                  <w:r>
                    <w:t xml:space="preserve">1.10</w:t>
                  </w:r>
                </w:p>
              </w:tc>
            </w:tr>
            <w:tr>
              <w:tc>
                <w:tcPr/>
                <w:p>
                  <w:pPr>
                    <w:pStyle w:val="Compact"/>
                    <w:jc w:val="center"/>
                    <w:jc w:val="center"/>
                  </w:pPr>
                  <w:r>
                    <w:t xml:space="preserve">U2a + U2b + U3</w:t>
                  </w:r>
                </w:p>
              </w:tc>
              <w:tc>
                <w:tcPr/>
                <w:p>
                  <w:pPr>
                    <w:pStyle w:val="Compact"/>
                    <w:jc w:val="center"/>
                    <w:jc w:val="center"/>
                  </w:pPr>
                  <w:r>
                    <w:t xml:space="preserve">0.192 [0.066 ; 0.394]</w:t>
                  </w:r>
                </w:p>
              </w:tc>
              <w:tc>
                <w:tcPr/>
                <w:p>
                  <w:pPr>
                    <w:pStyle w:val="Compact"/>
                    <w:jc w:val="center"/>
                    <w:jc w:val="center"/>
                  </w:pPr>
                  <w:r>
                    <w:t xml:space="preserve">0.769 [0.564 ; 0.91]</w:t>
                  </w:r>
                </w:p>
              </w:tc>
              <w:tc>
                <w:tcPr/>
                <w:p>
                  <w:pPr>
                    <w:pStyle w:val="Compact"/>
                    <w:jc w:val="center"/>
                    <w:jc w:val="center"/>
                  </w:pPr>
                  <w:r>
                    <w:t xml:space="preserve">0.455 [0.167 ; 0.766]</w:t>
                  </w:r>
                </w:p>
              </w:tc>
              <w:tc>
                <w:tcPr/>
                <w:p>
                  <w:pPr>
                    <w:pStyle w:val="Compact"/>
                    <w:jc w:val="center"/>
                    <w:jc w:val="center"/>
                  </w:pPr>
                  <w:r>
                    <w:t xml:space="preserve">0.488 [0.329 ; 0.649]</w:t>
                  </w:r>
                </w:p>
              </w:tc>
              <w:tc>
                <w:tcPr/>
                <w:p>
                  <w:pPr>
                    <w:pStyle w:val="Compact"/>
                    <w:jc w:val="center"/>
                    <w:jc w:val="center"/>
                  </w:pPr>
                  <w:r>
                    <w:t xml:space="preserve">0.83</w:t>
                  </w:r>
                </w:p>
              </w:tc>
              <w:tc>
                <w:tcPr/>
                <w:p>
                  <w:pPr>
                    <w:pStyle w:val="Compact"/>
                    <w:jc w:val="center"/>
                    <w:jc w:val="center"/>
                  </w:pPr>
                  <w:r>
                    <w:t xml:space="preserve">1.05</w:t>
                  </w:r>
                </w:p>
              </w:tc>
            </w:tr>
            <w:tr>
              <w:tc>
                <w:tcPr/>
                <w:p>
                  <w:pPr>
                    <w:pStyle w:val="Compact"/>
                    <w:jc w:val="center"/>
                    <w:jc w:val="center"/>
                  </w:pPr>
                  <w:r>
                    <w:t xml:space="preserve">U1 + U2a + U2b + U3</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0.4 [0.122 ; 0.738]</w:t>
                  </w:r>
                </w:p>
              </w:tc>
              <w:tc>
                <w:tcPr/>
                <w:p>
                  <w:pPr>
                    <w:pStyle w:val="Compact"/>
                    <w:jc w:val="center"/>
                    <w:jc w:val="center"/>
                  </w:pPr>
                  <w:r>
                    <w:t xml:space="preserve">0.476 [0.32 ; 0.636]</w:t>
                  </w:r>
                </w:p>
              </w:tc>
              <w:tc>
                <w:tcPr/>
                <w:p>
                  <w:pPr>
                    <w:pStyle w:val="Compact"/>
                    <w:jc w:val="center"/>
                    <w:jc w:val="center"/>
                  </w:pPr>
                  <w:r>
                    <w:t xml:space="preserve">0.67</w:t>
                  </w:r>
                </w:p>
              </w:tc>
              <w:tc>
                <w:tcPr/>
                <w:p>
                  <w:pPr>
                    <w:pStyle w:val="Compact"/>
                    <w:jc w:val="center"/>
                    <w:jc w:val="center"/>
                  </w:pPr>
                  <w:r>
                    <w:t xml:space="preserve">1.10</w:t>
                  </w:r>
                </w:p>
              </w:tc>
            </w:tr>
          </w:tbl>
          <w:bookmarkEnd w:id="1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8" w:name="tbl-comp-a1-comb"/>
          <w:p>
            <w:pPr>
              <w:jc w:val="center"/>
            </w:pPr>
            <w:pPr>
              <w:jc w:val="left"/>
              <w:spacing w:before="200"/>
              <w:pStyle w:val="ImageCaption"/>
            </w:pPr>
            <w:r>
              <w:t xml:space="preserve">Table 5: Approche 1 - Comparaison des combinaisons (sensibilité) : GS final vs confirmation par infiltration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Combinaison</w:t>
                  </w:r>
                </w:p>
              </w:tc>
              <w:tc>
                <w:tcPr/>
                <w:p>
                  <w:pPr>
                    <w:pStyle w:val="Compact"/>
                    <w:jc w:val="center"/>
                    <w:jc w:val="center"/>
                  </w:pPr>
                  <w:r>
                    <w:t xml:space="preserve">Se GS final</w:t>
                  </w:r>
                </w:p>
              </w:tc>
              <w:tc>
                <w:tcPr/>
                <w:p>
                  <w:pPr>
                    <w:pStyle w:val="Compact"/>
                    <w:jc w:val="center"/>
                    <w:jc w:val="center"/>
                  </w:pPr>
                  <w:r>
                    <w:t xml:space="preserve">Se GS infiltr.+</w:t>
                  </w:r>
                </w:p>
              </w:tc>
            </w:tr>
            <w:tr>
              <w:tc>
                <w:tcPr/>
                <w:p>
                  <w:pPr>
                    <w:pStyle w:val="Compact"/>
                    <w:jc w:val="center"/>
                    <w:jc w:val="center"/>
                  </w:pPr>
                  <w:r>
                    <w:t xml:space="preserve">U1 + U2a</w:t>
                  </w:r>
                </w:p>
              </w:tc>
              <w:tc>
                <w:tcPr/>
                <w:p>
                  <w:pPr>
                    <w:pStyle w:val="Compact"/>
                    <w:jc w:val="center"/>
                    <w:jc w:val="center"/>
                  </w:pPr>
                  <w:r>
                    <w:t xml:space="preserve">0.689 [0.534 ; 0.818]</w:t>
                  </w:r>
                </w:p>
              </w:tc>
              <w:tc>
                <w:tcPr/>
                <w:p>
                  <w:pPr>
                    <w:pStyle w:val="Compact"/>
                    <w:jc w:val="center"/>
                    <w:jc w:val="center"/>
                  </w:pPr>
                  <w:r>
                    <w:t xml:space="preserve">0.654 [0.443 ; 0.828]</w:t>
                  </w:r>
                </w:p>
              </w:tc>
            </w:tr>
            <w:tr>
              <w:tc>
                <w:tcPr/>
                <w:p>
                  <w:pPr>
                    <w:pStyle w:val="Compact"/>
                    <w:jc w:val="center"/>
                    <w:jc w:val="center"/>
                  </w:pPr>
                  <w:r>
                    <w:t xml:space="preserve">U1 + U2b</w:t>
                  </w:r>
                </w:p>
              </w:tc>
              <w:tc>
                <w:tcPr/>
                <w:p>
                  <w:pPr>
                    <w:pStyle w:val="Compact"/>
                    <w:jc w:val="center"/>
                    <w:jc w:val="center"/>
                  </w:pPr>
                  <w:r>
                    <w:t xml:space="preserve">0.578 [0.422 ; 0.723]</w:t>
                  </w:r>
                </w:p>
              </w:tc>
              <w:tc>
                <w:tcPr/>
                <w:p>
                  <w:pPr>
                    <w:pStyle w:val="Compact"/>
                    <w:jc w:val="center"/>
                    <w:jc w:val="center"/>
                  </w:pPr>
                  <w:r>
                    <w:t xml:space="preserve">0.538 [0.334 ; 0.734]</w:t>
                  </w:r>
                </w:p>
              </w:tc>
            </w:tr>
            <w:tr>
              <w:tc>
                <w:tcPr/>
                <w:p>
                  <w:pPr>
                    <w:pStyle w:val="Compact"/>
                    <w:jc w:val="center"/>
                    <w:jc w:val="center"/>
                  </w:pPr>
                  <w:r>
                    <w:t xml:space="preserve">U1 + U3</w:t>
                  </w:r>
                </w:p>
              </w:tc>
              <w:tc>
                <w:tcPr/>
                <w:p>
                  <w:pPr>
                    <w:pStyle w:val="Compact"/>
                    <w:jc w:val="center"/>
                    <w:jc w:val="center"/>
                  </w:pPr>
                  <w:r>
                    <w:t xml:space="preserve">0.356 [0.219 ; 0.512]</w:t>
                  </w:r>
                </w:p>
              </w:tc>
              <w:tc>
                <w:tcPr/>
                <w:p>
                  <w:pPr>
                    <w:pStyle w:val="Compact"/>
                    <w:jc w:val="center"/>
                    <w:jc w:val="center"/>
                  </w:pPr>
                  <w:r>
                    <w:t xml:space="preserve">0.346 [0.172 ; 0.557]</w:t>
                  </w:r>
                </w:p>
              </w:tc>
            </w:tr>
            <w:tr>
              <w:tc>
                <w:tcPr/>
                <w:p>
                  <w:pPr>
                    <w:pStyle w:val="Compact"/>
                    <w:jc w:val="center"/>
                    <w:jc w:val="center"/>
                  </w:pPr>
                  <w:r>
                    <w:t xml:space="preserve">U2a + U2b</w:t>
                  </w:r>
                </w:p>
              </w:tc>
              <w:tc>
                <w:tcPr/>
                <w:p>
                  <w:pPr>
                    <w:pStyle w:val="Compact"/>
                    <w:jc w:val="center"/>
                    <w:jc w:val="center"/>
                  </w:pPr>
                  <w:r>
                    <w:t xml:space="preserve">0.6 [0.443 ; 0.743]</w:t>
                  </w:r>
                </w:p>
              </w:tc>
              <w:tc>
                <w:tcPr/>
                <w:p>
                  <w:pPr>
                    <w:pStyle w:val="Compact"/>
                    <w:jc w:val="center"/>
                    <w:jc w:val="center"/>
                  </w:pPr>
                  <w:r>
                    <w:t xml:space="preserve">0.5 [0.299 ; 0.701]</w:t>
                  </w:r>
                </w:p>
              </w:tc>
            </w:tr>
            <w:tr>
              <w:tc>
                <w:tcPr/>
                <w:p>
                  <w:pPr>
                    <w:pStyle w:val="Compact"/>
                    <w:jc w:val="center"/>
                    <w:jc w:val="center"/>
                  </w:pPr>
                  <w:r>
                    <w:t xml:space="preserve">U2a + U3</w:t>
                  </w:r>
                </w:p>
              </w:tc>
              <w:tc>
                <w:tcPr/>
                <w:p>
                  <w:pPr>
                    <w:pStyle w:val="Compact"/>
                    <w:jc w:val="center"/>
                    <w:jc w:val="center"/>
                  </w:pPr>
                  <w:r>
                    <w:t xml:space="preserve">0.378 [0.238 ; 0.535]</w:t>
                  </w:r>
                </w:p>
              </w:tc>
              <w:tc>
                <w:tcPr/>
                <w:p>
                  <w:pPr>
                    <w:pStyle w:val="Compact"/>
                    <w:jc w:val="center"/>
                    <w:jc w:val="center"/>
                  </w:pPr>
                  <w:r>
                    <w:t xml:space="preserve">0.385 [0.202 ; 0.594]</w:t>
                  </w:r>
                </w:p>
              </w:tc>
            </w:tr>
            <w:tr>
              <w:tc>
                <w:tcPr/>
                <w:p>
                  <w:pPr>
                    <w:pStyle w:val="Compact"/>
                    <w:jc w:val="center"/>
                    <w:jc w:val="center"/>
                  </w:pPr>
                  <w:r>
                    <w:t xml:space="preserve">U2b + U3</w:t>
                  </w:r>
                </w:p>
              </w:tc>
              <w:tc>
                <w:tcPr/>
                <w:p>
                  <w:pPr>
                    <w:pStyle w:val="Compact"/>
                    <w:jc w:val="center"/>
                    <w:jc w:val="center"/>
                  </w:pPr>
                  <w:r>
                    <w:t xml:space="preserve">0.267 [0.146 ; 0.419]</w:t>
                  </w:r>
                </w:p>
              </w:tc>
              <w:tc>
                <w:tcPr/>
                <w:p>
                  <w:pPr>
                    <w:pStyle w:val="Compact"/>
                    <w:jc w:val="center"/>
                    <w:jc w:val="center"/>
                  </w:pPr>
                  <w:r>
                    <w:t xml:space="preserve">0.192 [0.066 ; 0.394]</w:t>
                  </w:r>
                </w:p>
              </w:tc>
            </w:tr>
            <w:tr>
              <w:tc>
                <w:tcPr/>
                <w:p>
                  <w:pPr>
                    <w:pStyle w:val="Compact"/>
                    <w:jc w:val="center"/>
                    <w:jc w:val="center"/>
                  </w:pPr>
                  <w:r>
                    <w:t xml:space="preserve">U1 + U2a + U2b</w:t>
                  </w:r>
                </w:p>
              </w:tc>
              <w:tc>
                <w:tcPr/>
                <w:p>
                  <w:pPr>
                    <w:pStyle w:val="Compact"/>
                    <w:jc w:val="center"/>
                    <w:jc w:val="center"/>
                  </w:pPr>
                  <w:r>
                    <w:t xml:space="preserve">0.511 [0.358 ; 0.663]</w:t>
                  </w:r>
                </w:p>
              </w:tc>
              <w:tc>
                <w:tcPr/>
                <w:p>
                  <w:pPr>
                    <w:pStyle w:val="Compact"/>
                    <w:jc w:val="center"/>
                    <w:jc w:val="center"/>
                  </w:pPr>
                  <w:r>
                    <w:t xml:space="preserve">0.423 [0.234 ; 0.631]</w:t>
                  </w:r>
                </w:p>
              </w:tc>
            </w:tr>
            <w:tr>
              <w:tc>
                <w:tcPr/>
                <w:p>
                  <w:pPr>
                    <w:pStyle w:val="Compact"/>
                    <w:jc w:val="center"/>
                    <w:jc w:val="center"/>
                  </w:pPr>
                  <w:r>
                    <w:t xml:space="preserve">U1 + U2a + U3</w:t>
                  </w:r>
                </w:p>
              </w:tc>
              <w:tc>
                <w:tcPr/>
                <w:p>
                  <w:pPr>
                    <w:pStyle w:val="Compact"/>
                    <w:jc w:val="center"/>
                    <w:jc w:val="center"/>
                  </w:pPr>
                  <w:r>
                    <w:t xml:space="preserve">0.356 [0.219 ; 0.512]</w:t>
                  </w:r>
                </w:p>
              </w:tc>
              <w:tc>
                <w:tcPr/>
                <w:p>
                  <w:pPr>
                    <w:pStyle w:val="Compact"/>
                    <w:jc w:val="center"/>
                    <w:jc w:val="center"/>
                  </w:pPr>
                  <w:r>
                    <w:t xml:space="preserve">0.346 [0.172 ; 0.557]</w:t>
                  </w:r>
                </w:p>
              </w:tc>
            </w:tr>
            <w:tr>
              <w:tc>
                <w:tcPr/>
                <w:p>
                  <w:pPr>
                    <w:pStyle w:val="Compact"/>
                    <w:jc w:val="center"/>
                    <w:jc w:val="center"/>
                  </w:pPr>
                  <w:r>
                    <w:t xml:space="preserve">U1 + U2b + U3</w:t>
                  </w:r>
                </w:p>
              </w:tc>
              <w:tc>
                <w:tcPr/>
                <w:p>
                  <w:pPr>
                    <w:pStyle w:val="Compact"/>
                    <w:jc w:val="center"/>
                    <w:jc w:val="center"/>
                  </w:pPr>
                  <w:r>
                    <w:t xml:space="preserve">0.244 [0.129 ; 0.395]</w:t>
                  </w:r>
                </w:p>
              </w:tc>
              <w:tc>
                <w:tcPr/>
                <w:p>
                  <w:pPr>
                    <w:pStyle w:val="Compact"/>
                    <w:jc w:val="center"/>
                    <w:jc w:val="center"/>
                  </w:pPr>
                  <w:r>
                    <w:t xml:space="preserve">0.154 [0.044 ; 0.349]</w:t>
                  </w:r>
                </w:p>
              </w:tc>
            </w:tr>
            <w:tr>
              <w:tc>
                <w:tcPr/>
                <w:p>
                  <w:pPr>
                    <w:pStyle w:val="Compact"/>
                    <w:jc w:val="center"/>
                    <w:jc w:val="center"/>
                  </w:pPr>
                  <w:r>
                    <w:t xml:space="preserve">U2a + U2b + U3</w:t>
                  </w:r>
                </w:p>
              </w:tc>
              <w:tc>
                <w:tcPr/>
                <w:p>
                  <w:pPr>
                    <w:pStyle w:val="Compact"/>
                    <w:jc w:val="center"/>
                    <w:jc w:val="center"/>
                  </w:pPr>
                  <w:r>
                    <w:t xml:space="preserve">0.267 [0.146 ; 0.419]</w:t>
                  </w:r>
                </w:p>
              </w:tc>
              <w:tc>
                <w:tcPr/>
                <w:p>
                  <w:pPr>
                    <w:pStyle w:val="Compact"/>
                    <w:jc w:val="center"/>
                    <w:jc w:val="center"/>
                  </w:pPr>
                  <w:r>
                    <w:t xml:space="preserve">0.192 [0.066 ; 0.394]</w:t>
                  </w:r>
                </w:p>
              </w:tc>
            </w:tr>
            <w:tr>
              <w:tc>
                <w:tcPr/>
                <w:p>
                  <w:pPr>
                    <w:pStyle w:val="Compact"/>
                    <w:jc w:val="center"/>
                    <w:jc w:val="center"/>
                  </w:pPr>
                  <w:r>
                    <w:t xml:space="preserve">U1 + U2a + U2b + U3</w:t>
                  </w:r>
                </w:p>
              </w:tc>
              <w:tc>
                <w:tcPr/>
                <w:p>
                  <w:pPr>
                    <w:pStyle w:val="Compact"/>
                    <w:jc w:val="center"/>
                    <w:jc w:val="center"/>
                  </w:pPr>
                  <w:r>
                    <w:t xml:space="preserve">0.244 [0.129 ; 0.395]</w:t>
                  </w:r>
                </w:p>
              </w:tc>
              <w:tc>
                <w:tcPr/>
                <w:p>
                  <w:pPr>
                    <w:pStyle w:val="Compact"/>
                    <w:jc w:val="center"/>
                    <w:jc w:val="center"/>
                  </w:pPr>
                  <w:r>
                    <w:t xml:space="preserve">0.154 [0.044 ; 0.349]</w:t>
                  </w:r>
                </w:p>
              </w:tc>
            </w:tr>
          </w:tbl>
          <w:bookmarkEnd w:id="1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9" w:name="tbl-strong-a1-score"/>
          <w:p>
            <w:pPr>
              <w:jc w:val="center"/>
            </w:pPr>
            <w:pPr>
              <w:jc w:val="left"/>
              <w:spacing w:before="200"/>
              <w:pStyle w:val="ImageCaption"/>
            </w:pPr>
            <w:r>
              <w:t xml:space="preserve">Table 6: Approche 1 - Performances diagnostiques du score global</w:t>
            </w:r>
          </w:p>
          <w:tbl>
            <w:tblPr>
              <w:tblStyle w:val="Table"/>
              <w:tblW w:type="pct" w:w="5000"/>
              <w:tblLayout w:type="fixed"/>
              <w:tblLook w:firstRow="1" w:lastRow="0" w:firstColumn="0" w:lastColumn="0" w:noHBand="0" w:noVBand="0" w:val="0020"/>
            </w:tblPr>
            <w:tblGrid>
              <w:gridCol w:w="819"/>
              <w:gridCol w:w="1570"/>
              <w:gridCol w:w="1570"/>
              <w:gridCol w:w="1570"/>
              <w:gridCol w:w="1570"/>
              <w:gridCol w:w="409"/>
              <w:gridCol w:w="409"/>
            </w:tblGrid>
            <w:tr>
              <w:trPr>
                <w:tblHeader w:val="on"/>
              </w:trPr>
              <w:tc>
                <w:tcPr/>
                <w:p>
                  <w:pPr>
                    <w:pStyle w:val="Compact"/>
                    <w:jc w:val="center"/>
                    <w:jc w:val="center"/>
                  </w:pPr>
                  <w:r>
                    <w:t xml:space="preserve">Seuil</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Score &gt;= 1</w:t>
                  </w:r>
                </w:p>
              </w:tc>
              <w:tc>
                <w:tcPr/>
                <w:p>
                  <w:pPr>
                    <w:pStyle w:val="Compact"/>
                    <w:jc w:val="center"/>
                    <w:jc w:val="center"/>
                  </w:pPr>
                  <w:r>
                    <w:t xml:space="preserve">1 [0.868 ; 1]</w:t>
                  </w:r>
                </w:p>
              </w:tc>
              <w:tc>
                <w:tcPr/>
                <w:p>
                  <w:pPr>
                    <w:pStyle w:val="Compact"/>
                    <w:jc w:val="center"/>
                    <w:jc w:val="center"/>
                  </w:pPr>
                  <w:r>
                    <w:t xml:space="preserve">0.538 [0.334 ; 0.734]</w:t>
                  </w:r>
                </w:p>
              </w:tc>
              <w:tc>
                <w:tcPr/>
                <w:p>
                  <w:pPr>
                    <w:pStyle w:val="Compact"/>
                    <w:jc w:val="center"/>
                    <w:jc w:val="center"/>
                  </w:pPr>
                  <w:r>
                    <w:t xml:space="preserve">0.684 [0.513 ; 0.825]</w:t>
                  </w:r>
                </w:p>
              </w:tc>
              <w:tc>
                <w:tcPr/>
                <w:p>
                  <w:pPr>
                    <w:pStyle w:val="Compact"/>
                    <w:jc w:val="center"/>
                    <w:jc w:val="center"/>
                  </w:pPr>
                  <w:r>
                    <w:t xml:space="preserve">1 [0.768 ; 1]</w:t>
                  </w:r>
                </w:p>
              </w:tc>
              <w:tc>
                <w:tcPr/>
                <w:p>
                  <w:pPr>
                    <w:pStyle w:val="Compact"/>
                    <w:jc w:val="center"/>
                    <w:jc w:val="center"/>
                  </w:pPr>
                  <w:r>
                    <w:t xml:space="preserve">2.17</w:t>
                  </w:r>
                </w:p>
              </w:tc>
              <w:tc>
                <w:tcPr/>
                <w:p>
                  <w:pPr>
                    <w:pStyle w:val="Compact"/>
                    <w:jc w:val="center"/>
                    <w:jc w:val="center"/>
                  </w:pPr>
                  <w:r>
                    <w:t xml:space="preserve">0.00</w:t>
                  </w:r>
                </w:p>
              </w:tc>
            </w:tr>
            <w:tr>
              <w:tc>
                <w:tcPr/>
                <w:p>
                  <w:pPr>
                    <w:pStyle w:val="Compact"/>
                    <w:jc w:val="center"/>
                    <w:jc w:val="center"/>
                  </w:pPr>
                  <w:r>
                    <w:t xml:space="preserve">Score &gt;= 2</w:t>
                  </w:r>
                </w:p>
              </w:tc>
              <w:tc>
                <w:tcPr/>
                <w:p>
                  <w:pPr>
                    <w:pStyle w:val="Compact"/>
                    <w:jc w:val="center"/>
                    <w:jc w:val="center"/>
                  </w:pPr>
                  <w:r>
                    <w:t xml:space="preserve">0.846 [0.651 ; 0.956]</w:t>
                  </w:r>
                </w:p>
              </w:tc>
              <w:tc>
                <w:tcPr/>
                <w:p>
                  <w:pPr>
                    <w:pStyle w:val="Compact"/>
                    <w:jc w:val="center"/>
                    <w:jc w:val="center"/>
                  </w:pPr>
                  <w:r>
                    <w:t xml:space="preserve">0.615 [0.406 ; 0.798]</w:t>
                  </w:r>
                </w:p>
              </w:tc>
              <w:tc>
                <w:tcPr/>
                <w:p>
                  <w:pPr>
                    <w:pStyle w:val="Compact"/>
                    <w:jc w:val="center"/>
                    <w:jc w:val="center"/>
                  </w:pPr>
                  <w:r>
                    <w:t xml:space="preserve">0.688 [0.5 ; 0.839]</w:t>
                  </w:r>
                </w:p>
              </w:tc>
              <w:tc>
                <w:tcPr/>
                <w:p>
                  <w:pPr>
                    <w:pStyle w:val="Compact"/>
                    <w:jc w:val="center"/>
                    <w:jc w:val="center"/>
                  </w:pPr>
                  <w:r>
                    <w:t xml:space="preserve">0.8 [0.563 ; 0.943]</w:t>
                  </w:r>
                </w:p>
              </w:tc>
              <w:tc>
                <w:tcPr/>
                <w:p>
                  <w:pPr>
                    <w:pStyle w:val="Compact"/>
                    <w:jc w:val="center"/>
                    <w:jc w:val="center"/>
                  </w:pPr>
                  <w:r>
                    <w:t xml:space="preserve">2.20</w:t>
                  </w:r>
                </w:p>
              </w:tc>
              <w:tc>
                <w:tcPr/>
                <w:p>
                  <w:pPr>
                    <w:pStyle w:val="Compact"/>
                    <w:jc w:val="center"/>
                    <w:jc w:val="center"/>
                  </w:pPr>
                  <w:r>
                    <w:t xml:space="preserve">0.25</w:t>
                  </w:r>
                </w:p>
              </w:tc>
            </w:tr>
            <w:tr>
              <w:tc>
                <w:tcPr/>
                <w:p>
                  <w:pPr>
                    <w:pStyle w:val="Compact"/>
                    <w:jc w:val="center"/>
                    <w:jc w:val="center"/>
                  </w:pPr>
                  <w:r>
                    <w:t xml:space="preserve">Score &gt;= 3</w:t>
                  </w:r>
                </w:p>
              </w:tc>
              <w:tc>
                <w:tcPr/>
                <w:p>
                  <w:pPr>
                    <w:pStyle w:val="Compact"/>
                    <w:jc w:val="center"/>
                    <w:jc w:val="center"/>
                  </w:pPr>
                  <w:r>
                    <w:t xml:space="preserve">0.654 [0.443 ; 0.828]</w:t>
                  </w:r>
                </w:p>
              </w:tc>
              <w:tc>
                <w:tcPr/>
                <w:p>
                  <w:pPr>
                    <w:pStyle w:val="Compact"/>
                    <w:jc w:val="center"/>
                    <w:jc w:val="center"/>
                  </w:pPr>
                  <w:r>
                    <w:t xml:space="preserve">0.654 [0.443 ; 0.828]</w:t>
                  </w:r>
                </w:p>
              </w:tc>
              <w:tc>
                <w:tcPr/>
                <w:p>
                  <w:pPr>
                    <w:pStyle w:val="Compact"/>
                    <w:jc w:val="center"/>
                    <w:jc w:val="center"/>
                  </w:pPr>
                  <w:r>
                    <w:t xml:space="preserve">0.654 [0.443 ; 0.828]</w:t>
                  </w:r>
                </w:p>
              </w:tc>
              <w:tc>
                <w:tcPr/>
                <w:p>
                  <w:pPr>
                    <w:pStyle w:val="Compact"/>
                    <w:jc w:val="center"/>
                    <w:jc w:val="center"/>
                  </w:pPr>
                  <w:r>
                    <w:t xml:space="preserve">0.654 [0.443 ; 0.828]</w:t>
                  </w:r>
                </w:p>
              </w:tc>
              <w:tc>
                <w:tcPr/>
                <w:p>
                  <w:pPr>
                    <w:pStyle w:val="Compact"/>
                    <w:jc w:val="center"/>
                    <w:jc w:val="center"/>
                  </w:pPr>
                  <w:r>
                    <w:t xml:space="preserve">1.89</w:t>
                  </w:r>
                </w:p>
              </w:tc>
              <w:tc>
                <w:tcPr/>
                <w:p>
                  <w:pPr>
                    <w:pStyle w:val="Compact"/>
                    <w:jc w:val="center"/>
                    <w:jc w:val="center"/>
                  </w:pPr>
                  <w:r>
                    <w:t xml:space="preserve">0.53</w:t>
                  </w:r>
                </w:p>
              </w:tc>
            </w:tr>
            <w:tr>
              <w:tc>
                <w:tcPr/>
                <w:p>
                  <w:pPr>
                    <w:pStyle w:val="Compact"/>
                    <w:jc w:val="center"/>
                    <w:jc w:val="center"/>
                  </w:pPr>
                  <w:r>
                    <w:t xml:space="preserve">Score &gt;= 4</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0.4 [0.122 ; 0.738]</w:t>
                  </w:r>
                </w:p>
              </w:tc>
              <w:tc>
                <w:tcPr/>
                <w:p>
                  <w:pPr>
                    <w:pStyle w:val="Compact"/>
                    <w:jc w:val="center"/>
                    <w:jc w:val="center"/>
                  </w:pPr>
                  <w:r>
                    <w:t xml:space="preserve">0.476 [0.32 ; 0.636]</w:t>
                  </w:r>
                </w:p>
              </w:tc>
              <w:tc>
                <w:tcPr/>
                <w:p>
                  <w:pPr>
                    <w:pStyle w:val="Compact"/>
                    <w:jc w:val="center"/>
                    <w:jc w:val="center"/>
                  </w:pPr>
                  <w:r>
                    <w:t xml:space="preserve">0.67</w:t>
                  </w:r>
                </w:p>
              </w:tc>
              <w:tc>
                <w:tcPr/>
                <w:p>
                  <w:pPr>
                    <w:pStyle w:val="Compact"/>
                    <w:jc w:val="center"/>
                    <w:jc w:val="center"/>
                  </w:pPr>
                  <w:r>
                    <w:t xml:space="preserve">1.10</w:t>
                  </w:r>
                </w:p>
              </w:tc>
            </w:tr>
          </w:tbl>
          <w:bookmarkEnd w:id="14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0" w:name="tbl-comp-a1-score"/>
          <w:p>
            <w:pPr>
              <w:jc w:val="center"/>
            </w:pPr>
            <w:pPr>
              <w:jc w:val="left"/>
              <w:spacing w:before="200"/>
              <w:pStyle w:val="ImageCaption"/>
            </w:pPr>
            <w:r>
              <w:t xml:space="preserve">Table 7: Approche 1 - Comparaison du score global (sensibilité) : GS final vs confirmation par infiltration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Seuil</w:t>
                  </w:r>
                </w:p>
              </w:tc>
              <w:tc>
                <w:tcPr/>
                <w:p>
                  <w:pPr>
                    <w:pStyle w:val="Compact"/>
                    <w:jc w:val="center"/>
                    <w:jc w:val="center"/>
                  </w:pPr>
                  <w:r>
                    <w:t xml:space="preserve">Se GS final</w:t>
                  </w:r>
                </w:p>
              </w:tc>
              <w:tc>
                <w:tcPr/>
                <w:p>
                  <w:pPr>
                    <w:pStyle w:val="Compact"/>
                    <w:jc w:val="center"/>
                    <w:jc w:val="center"/>
                  </w:pPr>
                  <w:r>
                    <w:t xml:space="preserve">Se GS infiltr.+</w:t>
                  </w:r>
                </w:p>
              </w:tc>
            </w:tr>
            <w:tr>
              <w:tc>
                <w:tcPr/>
                <w:p>
                  <w:pPr>
                    <w:pStyle w:val="Compact"/>
                    <w:jc w:val="center"/>
                    <w:jc w:val="center"/>
                  </w:pPr>
                  <w:r>
                    <w:t xml:space="preserve">Score &gt;= 1</w:t>
                  </w:r>
                </w:p>
              </w:tc>
              <w:tc>
                <w:tcPr/>
                <w:p>
                  <w:pPr>
                    <w:pStyle w:val="Compact"/>
                    <w:jc w:val="center"/>
                    <w:jc w:val="center"/>
                  </w:pPr>
                  <w:r>
                    <w:t xml:space="preserve">0.956 [0.849 ; 0.995]</w:t>
                  </w:r>
                </w:p>
              </w:tc>
              <w:tc>
                <w:tcPr/>
                <w:p>
                  <w:pPr>
                    <w:pStyle w:val="Compact"/>
                    <w:jc w:val="center"/>
                    <w:jc w:val="center"/>
                  </w:pPr>
                  <w:r>
                    <w:t xml:space="preserve">1 [0.868 ; 1]</w:t>
                  </w:r>
                </w:p>
              </w:tc>
            </w:tr>
            <w:tr>
              <w:tc>
                <w:tcPr/>
                <w:p>
                  <w:pPr>
                    <w:pStyle w:val="Compact"/>
                    <w:jc w:val="center"/>
                    <w:jc w:val="center"/>
                  </w:pPr>
                  <w:r>
                    <w:t xml:space="preserve">Score &gt;= 2</w:t>
                  </w:r>
                </w:p>
              </w:tc>
              <w:tc>
                <w:tcPr/>
                <w:p>
                  <w:pPr>
                    <w:pStyle w:val="Compact"/>
                    <w:jc w:val="center"/>
                    <w:jc w:val="center"/>
                  </w:pPr>
                  <w:r>
                    <w:t xml:space="preserve">0.844 [0.705 ; 0.935]</w:t>
                  </w:r>
                </w:p>
              </w:tc>
              <w:tc>
                <w:tcPr/>
                <w:p>
                  <w:pPr>
                    <w:pStyle w:val="Compact"/>
                    <w:jc w:val="center"/>
                    <w:jc w:val="center"/>
                  </w:pPr>
                  <w:r>
                    <w:t xml:space="preserve">0.846 [0.651 ; 0.956]</w:t>
                  </w:r>
                </w:p>
              </w:tc>
            </w:tr>
            <w:tr>
              <w:tc>
                <w:tcPr/>
                <w:p>
                  <w:pPr>
                    <w:pStyle w:val="Compact"/>
                    <w:jc w:val="center"/>
                    <w:jc w:val="center"/>
                  </w:pPr>
                  <w:r>
                    <w:t xml:space="preserve">Score &gt;= 3</w:t>
                  </w:r>
                </w:p>
              </w:tc>
              <w:tc>
                <w:tcPr/>
                <w:p>
                  <w:pPr>
                    <w:pStyle w:val="Compact"/>
                    <w:jc w:val="center"/>
                    <w:jc w:val="center"/>
                  </w:pPr>
                  <w:r>
                    <w:t xml:space="preserve">0.644 [0.488 ; 0.781]</w:t>
                  </w:r>
                </w:p>
              </w:tc>
              <w:tc>
                <w:tcPr/>
                <w:p>
                  <w:pPr>
                    <w:pStyle w:val="Compact"/>
                    <w:jc w:val="center"/>
                    <w:jc w:val="center"/>
                  </w:pPr>
                  <w:r>
                    <w:t xml:space="preserve">0.654 [0.443 ; 0.828]</w:t>
                  </w:r>
                </w:p>
              </w:tc>
            </w:tr>
            <w:tr>
              <w:tc>
                <w:tcPr/>
                <w:p>
                  <w:pPr>
                    <w:pStyle w:val="Compact"/>
                    <w:jc w:val="center"/>
                    <w:jc w:val="center"/>
                  </w:pPr>
                  <w:r>
                    <w:t xml:space="preserve">Score &gt;= 4</w:t>
                  </w:r>
                </w:p>
              </w:tc>
              <w:tc>
                <w:tcPr/>
                <w:p>
                  <w:pPr>
                    <w:pStyle w:val="Compact"/>
                    <w:jc w:val="center"/>
                    <w:jc w:val="center"/>
                  </w:pPr>
                  <w:r>
                    <w:t xml:space="preserve">0.244 [0.129 ; 0.395]</w:t>
                  </w:r>
                </w:p>
              </w:tc>
              <w:tc>
                <w:tcPr/>
                <w:p>
                  <w:pPr>
                    <w:pStyle w:val="Compact"/>
                    <w:jc w:val="center"/>
                    <w:jc w:val="center"/>
                  </w:pPr>
                  <w:r>
                    <w:t xml:space="preserve">0.154 [0.044 ; 0.349]</w:t>
                  </w:r>
                </w:p>
              </w:tc>
            </w:tr>
          </w:tbl>
          <w:bookmarkEnd w:id="150"/>
          <w:p/>
        </w:tc>
      </w:tr>
    </w:tbl>
    <w:p>
      <w:r>
        <w:br w:type="page"/>
      </w:r>
    </w:p>
    <w:bookmarkEnd w:id="151"/>
    <w:bookmarkEnd w:id="152"/>
    <w:bookmarkStart w:id="163" w:name="Xfc1f0e7fb5d30fbf15f6f63ce4005f3bfc8dd76"/>
    <w:p>
      <w:pPr>
        <w:pStyle w:val="Heading3"/>
      </w:pPr>
      <w:r>
        <w:t xml:space="preserve">Approche 2 : Négatifs = Tous les autres patients</w:t>
      </w:r>
    </w:p>
    <w:p>
      <w:pPr>
        <w:pStyle w:val="FirstParagraph"/>
      </w:pPr>
      <w:r>
        <w:rPr>
          <w:b/>
          <w:bCs/>
        </w:rPr>
        <w:t xml:space="preserve">Tous les patients</w:t>
      </w:r>
      <w:r>
        <w:t xml:space="preserve"> </w:t>
      </w:r>
      <w:r>
        <w:t xml:space="preserve">n’ayant pas une confirmation par infiltration thérapeutique positive sont assignés au groupe</w:t>
      </w:r>
      <w:r>
        <w:t xml:space="preserve"> </w:t>
      </w:r>
      <w:r>
        <w:rPr>
          <w:b/>
          <w:bCs/>
        </w:rPr>
        <w:t xml:space="preserve">Négatif</w:t>
      </w:r>
      <w:r>
        <w:t xml:space="preserve">. Ce groupe inclut les négatifs du gold standard final, mais également les patients avec</w:t>
      </w:r>
      <w:r>
        <w:t xml:space="preserve"> </w:t>
      </w:r>
      <w:r>
        <w:rPr>
          <w:rStyle w:val="VerbatimChar"/>
        </w:rPr>
        <w:t xml:space="preserve">Gold_Standard</w:t>
      </w:r>
      <w:r>
        <w:t xml:space="preserve"> </w:t>
      </w:r>
      <w:r>
        <w:t xml:space="preserve">final positif qui n’ont pas eu d’infiltration positive documentée.</w:t>
      </w:r>
      <w:r>
        <w:t xml:space="preserve"> </w:t>
      </w:r>
      <w:r>
        <w:t xml:space="preserve">Cette analyse porte sur l’ensemble de la cohorte (</w:t>
      </w:r>
      <w:r>
        <w:rPr>
          <w:b/>
          <w:bCs/>
        </w:rPr>
        <w:t xml:space="preserve">N = 71</w:t>
      </w:r>
      <w:r>
        <w:t xml:space="preserve">), avec 26 cas positifs confirmés par infiltration et 45 cas classés négatifs dans cette définition secondaire.</w:t>
      </w:r>
    </w:p>
    <w:bookmarkStart w:id="162" w:name="X8dc8954848c8982c78d0f98ab6d387465f3dc1d"/>
    <w:p>
      <w:pPr>
        <w:pStyle w:val="Heading4"/>
      </w:pPr>
      <w:r>
        <w:t xml:space="preserve">Performances des tests et comparaisons (Approche 2)</w:t>
      </w:r>
    </w:p>
    <w:p>
      <w:pPr>
        <w:pStyle w:val="FirstParagraph"/>
      </w:pPr>
      <w:r>
        <w:t xml:space="preserve">Dans cette approche, la modification du groupe de contrôle a un impact important. La sensibilité évaluée reste la même que dans l’approche 1 (puisque les cas positifs sont les mêmes), mais</w:t>
      </w:r>
      <w:r>
        <w:t xml:space="preserve"> </w:t>
      </w:r>
      <w:r>
        <w:rPr>
          <w:b/>
          <w:bCs/>
        </w:rPr>
        <w:t xml:space="preserve">la spécificité chute mécaniquement</w:t>
      </w:r>
      <w:r>
        <w:t xml:space="preserve">.</w:t>
      </w:r>
    </w:p>
    <w:p>
      <w:pPr>
        <w:pStyle w:val="BodyText"/>
      </w:pPr>
      <w:r>
        <w:t xml:space="preserve">Le groupe</w:t>
      </w:r>
      <w:r>
        <w:t xml:space="preserve"> </w:t>
      </w:r>
      <w:r>
        <w:t xml:space="preserve">“Négatif”</w:t>
      </w:r>
      <w:r>
        <w:t xml:space="preserve"> </w:t>
      </w:r>
      <w:r>
        <w:t xml:space="preserve">inclut désormais :</w:t>
      </w:r>
    </w:p>
    <w:p>
      <w:pPr>
        <w:numPr>
          <w:ilvl w:val="0"/>
          <w:numId w:val="1036"/>
        </w:numPr>
      </w:pPr>
      <w:r>
        <w:t xml:space="preserve">Les patients</w:t>
      </w:r>
      <w:r>
        <w:t xml:space="preserve"> </w:t>
      </w:r>
      <w:r>
        <w:rPr>
          <w:rStyle w:val="VerbatimChar"/>
        </w:rPr>
        <w:t xml:space="preserve">Gold_Standard</w:t>
      </w:r>
      <w:r>
        <w:t xml:space="preserve"> </w:t>
      </w:r>
      <w:r>
        <w:t xml:space="preserve">final positifs sans infiltration positive documentée, qui sont reclassés négatifs dans cette définition secondaire.</w:t>
      </w:r>
    </w:p>
    <w:p>
      <w:pPr>
        <w:numPr>
          <w:ilvl w:val="0"/>
          <w:numId w:val="1036"/>
        </w:numPr>
      </w:pPr>
      <w:r>
        <w:t xml:space="preserve">Les patients</w:t>
      </w:r>
      <w:r>
        <w:t xml:space="preserve"> </w:t>
      </w:r>
      <w:r>
        <w:rPr>
          <w:rStyle w:val="VerbatimChar"/>
        </w:rPr>
        <w:t xml:space="preserve">Gold_Standard</w:t>
      </w:r>
      <w:r>
        <w:t xml:space="preserve"> </w:t>
      </w:r>
      <w:r>
        <w:t xml:space="preserve">final négatifs.</w:t>
      </w:r>
    </w:p>
    <w:p>
      <w:pPr>
        <w:pStyle w:val="FirstParagraph"/>
      </w:pPr>
      <w:r>
        <w:rPr>
          <w:b/>
          <w:bCs/>
        </w:rPr>
        <w:t xml:space="preserve">La comparaison de la spécificité a donc un intérêt clinique très limité ici et ne remet pas en cause le gold standard final corrigé par senior.</w:t>
      </w:r>
    </w:p>
    <w:tbl>
      <w:tblPr>
        <w:tblStyle w:val="Table"/>
        <w:tblW w:type="pct" w:w="5000"/>
        <w:tblLayout w:type="fixed"/>
        <w:tblLook w:firstRow="0" w:lastRow="0" w:firstColumn="0" w:lastColumn="0" w:noHBand="0" w:noVBand="0" w:val="0000"/>
      </w:tblPr>
      <w:tblGrid>
        <w:gridCol w:w="7920"/>
      </w:tblGrid>
      <w:tr>
        <w:tc>
          <w:tcPr/>
          <w:bookmarkStart w:id="153" w:name="tbl-strong-a2-indiv"/>
          <w:p>
            <w:pPr>
              <w:jc w:val="center"/>
            </w:pPr>
            <w:pPr>
              <w:jc w:val="left"/>
              <w:spacing w:before="200"/>
              <w:pStyle w:val="ImageCaption"/>
            </w:pPr>
            <w:r>
              <w:t xml:space="preserve">Table 8: Approche 2 - Performances diagnostiques test par test</w:t>
            </w:r>
          </w:p>
          <w:tbl>
            <w:tblPr>
              <w:tblStyle w:val="Table"/>
              <w:tblW w:type="pct" w:w="5000"/>
              <w:tblLayout w:type="fixed"/>
              <w:tblLook w:firstRow="1" w:lastRow="0" w:firstColumn="0" w:lastColumn="0" w:noHBand="0" w:noVBand="0" w:val="0020"/>
            </w:tblPr>
            <w:tblGrid>
              <w:gridCol w:w="565"/>
              <w:gridCol w:w="1626"/>
              <w:gridCol w:w="1626"/>
              <w:gridCol w:w="1626"/>
              <w:gridCol w:w="1626"/>
              <w:gridCol w:w="424"/>
              <w:gridCol w:w="424"/>
            </w:tblGrid>
            <w:tr>
              <w:trPr>
                <w:tblHeader w:val="on"/>
              </w:trPr>
              <w:tc>
                <w:tcPr/>
                <w:p>
                  <w:pPr>
                    <w:pStyle w:val="Compact"/>
                    <w:jc w:val="center"/>
                    <w:jc w:val="center"/>
                  </w:pPr>
                  <w:r>
                    <w:t xml:space="preserve">Test</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ULNT1</w:t>
                  </w:r>
                </w:p>
              </w:tc>
              <w:tc>
                <w:tcPr/>
                <w:p>
                  <w:pPr>
                    <w:pStyle w:val="Compact"/>
                    <w:jc w:val="center"/>
                    <w:jc w:val="center"/>
                  </w:pPr>
                  <w:r>
                    <w:t xml:space="preserve">0.885 [0.698 ; 0.976]</w:t>
                  </w:r>
                </w:p>
              </w:tc>
              <w:tc>
                <w:tcPr/>
                <w:p>
                  <w:pPr>
                    <w:pStyle w:val="Compact"/>
                    <w:jc w:val="center"/>
                    <w:jc w:val="center"/>
                  </w:pPr>
                  <w:r>
                    <w:t xml:space="preserve">0.444 [0.296 ; 0.6]</w:t>
                  </w:r>
                </w:p>
              </w:tc>
              <w:tc>
                <w:tcPr/>
                <w:p>
                  <w:pPr>
                    <w:pStyle w:val="Compact"/>
                    <w:jc w:val="center"/>
                    <w:jc w:val="center"/>
                  </w:pPr>
                  <w:r>
                    <w:t xml:space="preserve">0.479 [0.333 ; 0.628]</w:t>
                  </w:r>
                </w:p>
              </w:tc>
              <w:tc>
                <w:tcPr/>
                <w:p>
                  <w:pPr>
                    <w:pStyle w:val="Compact"/>
                    <w:jc w:val="center"/>
                    <w:jc w:val="center"/>
                  </w:pPr>
                  <w:r>
                    <w:t xml:space="preserve">0.87 [0.664 ; 0.972]</w:t>
                  </w:r>
                </w:p>
              </w:tc>
              <w:tc>
                <w:tcPr/>
                <w:p>
                  <w:pPr>
                    <w:pStyle w:val="Compact"/>
                    <w:jc w:val="center"/>
                    <w:jc w:val="center"/>
                  </w:pPr>
                  <w:r>
                    <w:t xml:space="preserve">1.59</w:t>
                  </w:r>
                </w:p>
              </w:tc>
              <w:tc>
                <w:tcPr/>
                <w:p>
                  <w:pPr>
                    <w:pStyle w:val="Compact"/>
                    <w:jc w:val="center"/>
                    <w:jc w:val="center"/>
                  </w:pPr>
                  <w:r>
                    <w:t xml:space="preserve">0.26</w:t>
                  </w:r>
                </w:p>
              </w:tc>
            </w:tr>
            <w:tr>
              <w:tc>
                <w:tcPr/>
                <w:p>
                  <w:pPr>
                    <w:pStyle w:val="Compact"/>
                    <w:jc w:val="center"/>
                    <w:jc w:val="center"/>
                  </w:pPr>
                  <w:r>
                    <w:t xml:space="preserve">ULNT2a</w:t>
                  </w:r>
                </w:p>
              </w:tc>
              <w:tc>
                <w:tcPr/>
                <w:p>
                  <w:pPr>
                    <w:pStyle w:val="Compact"/>
                    <w:jc w:val="center"/>
                    <w:jc w:val="center"/>
                  </w:pPr>
                  <w:r>
                    <w:t xml:space="preserve">0.731 [0.522 ; 0.884]</w:t>
                  </w:r>
                </w:p>
              </w:tc>
              <w:tc>
                <w:tcPr/>
                <w:p>
                  <w:pPr>
                    <w:pStyle w:val="Compact"/>
                    <w:jc w:val="center"/>
                    <w:jc w:val="center"/>
                  </w:pPr>
                  <w:r>
                    <w:t xml:space="preserve">0.4 [0.257 ; 0.557]</w:t>
                  </w:r>
                </w:p>
              </w:tc>
              <w:tc>
                <w:tcPr/>
                <w:p>
                  <w:pPr>
                    <w:pStyle w:val="Compact"/>
                    <w:jc w:val="center"/>
                    <w:jc w:val="center"/>
                  </w:pPr>
                  <w:r>
                    <w:t xml:space="preserve">0.413 [0.27 ; 0.568]</w:t>
                  </w:r>
                </w:p>
              </w:tc>
              <w:tc>
                <w:tcPr/>
                <w:p>
                  <w:pPr>
                    <w:pStyle w:val="Compact"/>
                    <w:jc w:val="center"/>
                    <w:jc w:val="center"/>
                  </w:pPr>
                  <w:r>
                    <w:t xml:space="preserve">0.72 [0.506 ; 0.879]</w:t>
                  </w:r>
                </w:p>
              </w:tc>
              <w:tc>
                <w:tcPr/>
                <w:p>
                  <w:pPr>
                    <w:pStyle w:val="Compact"/>
                    <w:jc w:val="center"/>
                    <w:jc w:val="center"/>
                  </w:pPr>
                  <w:r>
                    <w:t xml:space="preserve">1.22</w:t>
                  </w:r>
                </w:p>
              </w:tc>
              <w:tc>
                <w:tcPr/>
                <w:p>
                  <w:pPr>
                    <w:pStyle w:val="Compact"/>
                    <w:jc w:val="center"/>
                    <w:jc w:val="center"/>
                  </w:pPr>
                  <w:r>
                    <w:t xml:space="preserve">0.67</w:t>
                  </w:r>
                </w:p>
              </w:tc>
            </w:tr>
            <w:tr>
              <w:tc>
                <w:tcPr/>
                <w:p>
                  <w:pPr>
                    <w:pStyle w:val="Compact"/>
                    <w:jc w:val="center"/>
                    <w:jc w:val="center"/>
                  </w:pPr>
                  <w:r>
                    <w:t xml:space="preserve">ULNT2b</w:t>
                  </w:r>
                </w:p>
              </w:tc>
              <w:tc>
                <w:tcPr/>
                <w:p>
                  <w:pPr>
                    <w:pStyle w:val="Compact"/>
                    <w:jc w:val="center"/>
                    <w:jc w:val="center"/>
                  </w:pPr>
                  <w:r>
                    <w:t xml:space="preserve">0.654 [0.443 ; 0.828]</w:t>
                  </w:r>
                </w:p>
              </w:tc>
              <w:tc>
                <w:tcPr/>
                <w:p>
                  <w:pPr>
                    <w:pStyle w:val="Compact"/>
                    <w:jc w:val="center"/>
                    <w:jc w:val="center"/>
                  </w:pPr>
                  <w:r>
                    <w:t xml:space="preserve">0.511 [0.358 ; 0.663]</w:t>
                  </w:r>
                </w:p>
              </w:tc>
              <w:tc>
                <w:tcPr/>
                <w:p>
                  <w:pPr>
                    <w:pStyle w:val="Compact"/>
                    <w:jc w:val="center"/>
                    <w:jc w:val="center"/>
                  </w:pPr>
                  <w:r>
                    <w:t xml:space="preserve">0.436 [0.278 ; 0.604]</w:t>
                  </w:r>
                </w:p>
              </w:tc>
              <w:tc>
                <w:tcPr/>
                <w:p>
                  <w:pPr>
                    <w:pStyle w:val="Compact"/>
                    <w:jc w:val="center"/>
                    <w:jc w:val="center"/>
                  </w:pPr>
                  <w:r>
                    <w:t xml:space="preserve">0.719 [0.533 ; 0.863]</w:t>
                  </w:r>
                </w:p>
              </w:tc>
              <w:tc>
                <w:tcPr/>
                <w:p>
                  <w:pPr>
                    <w:pStyle w:val="Compact"/>
                    <w:jc w:val="center"/>
                    <w:jc w:val="center"/>
                  </w:pPr>
                  <w:r>
                    <w:t xml:space="preserve">1.34</w:t>
                  </w:r>
                </w:p>
              </w:tc>
              <w:tc>
                <w:tcPr/>
                <w:p>
                  <w:pPr>
                    <w:pStyle w:val="Compact"/>
                    <w:jc w:val="center"/>
                    <w:jc w:val="center"/>
                  </w:pPr>
                  <w:r>
                    <w:t xml:space="preserve">0.68</w:t>
                  </w:r>
                </w:p>
              </w:tc>
            </w:tr>
            <w:tr>
              <w:tc>
                <w:tcPr/>
                <w:p>
                  <w:pPr>
                    <w:pStyle w:val="Compact"/>
                    <w:jc w:val="center"/>
                    <w:jc w:val="center"/>
                  </w:pPr>
                  <w:r>
                    <w:t xml:space="preserve">ULNT3</w:t>
                  </w:r>
                </w:p>
              </w:tc>
              <w:tc>
                <w:tcPr/>
                <w:p>
                  <w:pPr>
                    <w:pStyle w:val="Compact"/>
                    <w:jc w:val="center"/>
                    <w:jc w:val="center"/>
                  </w:pPr>
                  <w:r>
                    <w:t xml:space="preserve">0.385 [0.202 ; 0.594]</w:t>
                  </w:r>
                </w:p>
              </w:tc>
              <w:tc>
                <w:tcPr/>
                <w:p>
                  <w:pPr>
                    <w:pStyle w:val="Compact"/>
                    <w:jc w:val="center"/>
                    <w:jc w:val="center"/>
                  </w:pPr>
                  <w:r>
                    <w:t xml:space="preserve">0.667 [0.51 ; 0.8]</w:t>
                  </w:r>
                </w:p>
              </w:tc>
              <w:tc>
                <w:tcPr/>
                <w:p>
                  <w:pPr>
                    <w:pStyle w:val="Compact"/>
                    <w:jc w:val="center"/>
                    <w:jc w:val="center"/>
                  </w:pPr>
                  <w:r>
                    <w:t xml:space="preserve">0.4 [0.211 ; 0.613]</w:t>
                  </w:r>
                </w:p>
              </w:tc>
              <w:tc>
                <w:tcPr/>
                <w:p>
                  <w:pPr>
                    <w:pStyle w:val="Compact"/>
                    <w:jc w:val="center"/>
                    <w:jc w:val="center"/>
                  </w:pPr>
                  <w:r>
                    <w:t xml:space="preserve">0.652 [0.498 ; 0.786]</w:t>
                  </w:r>
                </w:p>
              </w:tc>
              <w:tc>
                <w:tcPr/>
                <w:p>
                  <w:pPr>
                    <w:pStyle w:val="Compact"/>
                    <w:jc w:val="center"/>
                    <w:jc w:val="center"/>
                  </w:pPr>
                  <w:r>
                    <w:t xml:space="preserve">1.15</w:t>
                  </w:r>
                </w:p>
              </w:tc>
              <w:tc>
                <w:tcPr/>
                <w:p>
                  <w:pPr>
                    <w:pStyle w:val="Compact"/>
                    <w:jc w:val="center"/>
                    <w:jc w:val="center"/>
                  </w:pPr>
                  <w:r>
                    <w:t xml:space="preserve">0.92</w:t>
                  </w:r>
                </w:p>
              </w:tc>
            </w:tr>
          </w:tbl>
          <w:bookmarkEnd w:id="15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4" w:name="tbl-comp-a2-spe"/>
          <w:p>
            <w:pPr>
              <w:jc w:val="center"/>
            </w:pPr>
            <w:pPr>
              <w:jc w:val="left"/>
              <w:spacing w:before="200"/>
              <w:pStyle w:val="ImageCaption"/>
            </w:pPr>
            <w:r>
              <w:t xml:space="preserve">Table 9: Approche 2 - Comparaison de la spécificité : GS final vs confirmation par infiltration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Test</w:t>
                  </w:r>
                </w:p>
              </w:tc>
              <w:tc>
                <w:tcPr/>
                <w:p>
                  <w:pPr>
                    <w:pStyle w:val="Compact"/>
                    <w:jc w:val="center"/>
                    <w:jc w:val="center"/>
                  </w:pPr>
                  <w:r>
                    <w:t xml:space="preserve">Sp GS final</w:t>
                  </w:r>
                </w:p>
              </w:tc>
              <w:tc>
                <w:tcPr/>
                <w:p>
                  <w:pPr>
                    <w:pStyle w:val="Compact"/>
                    <w:jc w:val="center"/>
                    <w:jc w:val="center"/>
                  </w:pPr>
                  <w:r>
                    <w:t xml:space="preserve">Sp GS infiltr.+</w:t>
                  </w:r>
                </w:p>
              </w:tc>
            </w:tr>
            <w:tr>
              <w:tc>
                <w:tcPr/>
                <w:p>
                  <w:pPr>
                    <w:pStyle w:val="Compact"/>
                    <w:jc w:val="center"/>
                    <w:jc w:val="center"/>
                  </w:pPr>
                  <w:r>
                    <w:t xml:space="preserve">ULNT1</w:t>
                  </w:r>
                </w:p>
              </w:tc>
              <w:tc>
                <w:tcPr/>
                <w:p>
                  <w:pPr>
                    <w:pStyle w:val="Compact"/>
                    <w:jc w:val="center"/>
                    <w:jc w:val="center"/>
                  </w:pPr>
                  <w:r>
                    <w:t xml:space="preserve">0.615 [0.406 ; 0.798]</w:t>
                  </w:r>
                </w:p>
              </w:tc>
              <w:tc>
                <w:tcPr/>
                <w:p>
                  <w:pPr>
                    <w:pStyle w:val="Compact"/>
                    <w:jc w:val="center"/>
                    <w:jc w:val="center"/>
                  </w:pPr>
                  <w:r>
                    <w:t xml:space="preserve">0.444 [0.296 ; 0.6]</w:t>
                  </w:r>
                </w:p>
              </w:tc>
            </w:tr>
            <w:tr>
              <w:tc>
                <w:tcPr/>
                <w:p>
                  <w:pPr>
                    <w:pStyle w:val="Compact"/>
                    <w:jc w:val="center"/>
                    <w:jc w:val="center"/>
                  </w:pPr>
                  <w:r>
                    <w:t xml:space="preserve">ULNT2a</w:t>
                  </w:r>
                </w:p>
              </w:tc>
              <w:tc>
                <w:tcPr/>
                <w:p>
                  <w:pPr>
                    <w:pStyle w:val="Compact"/>
                    <w:jc w:val="center"/>
                    <w:jc w:val="center"/>
                  </w:pPr>
                  <w:r>
                    <w:t xml:space="preserve">0.577 [0.369 ; 0.766]</w:t>
                  </w:r>
                </w:p>
              </w:tc>
              <w:tc>
                <w:tcPr/>
                <w:p>
                  <w:pPr>
                    <w:pStyle w:val="Compact"/>
                    <w:jc w:val="center"/>
                    <w:jc w:val="center"/>
                  </w:pPr>
                  <w:r>
                    <w:t xml:space="preserve">0.4 [0.257 ; 0.557]</w:t>
                  </w:r>
                </w:p>
              </w:tc>
            </w:tr>
            <w:tr>
              <w:tc>
                <w:tcPr/>
                <w:p>
                  <w:pPr>
                    <w:pStyle w:val="Compact"/>
                    <w:jc w:val="center"/>
                    <w:jc w:val="center"/>
                  </w:pPr>
                  <w:r>
                    <w:t xml:space="preserve">ULNT2b</w:t>
                  </w:r>
                </w:p>
              </w:tc>
              <w:tc>
                <w:tcPr/>
                <w:p>
                  <w:pPr>
                    <w:pStyle w:val="Compact"/>
                    <w:jc w:val="center"/>
                    <w:jc w:val="center"/>
                  </w:pPr>
                  <w:r>
                    <w:t xml:space="preserve">0.692 [0.482 ; 0.857]</w:t>
                  </w:r>
                </w:p>
              </w:tc>
              <w:tc>
                <w:tcPr/>
                <w:p>
                  <w:pPr>
                    <w:pStyle w:val="Compact"/>
                    <w:jc w:val="center"/>
                    <w:jc w:val="center"/>
                  </w:pPr>
                  <w:r>
                    <w:t xml:space="preserve">0.511 [0.358 ; 0.663]</w:t>
                  </w:r>
                </w:p>
              </w:tc>
            </w:tr>
            <w:tr>
              <w:tc>
                <w:tcPr/>
                <w:p>
                  <w:pPr>
                    <w:pStyle w:val="Compact"/>
                    <w:jc w:val="center"/>
                    <w:jc w:val="center"/>
                  </w:pPr>
                  <w:r>
                    <w:t xml:space="preserve">ULNT3</w:t>
                  </w:r>
                </w:p>
              </w:tc>
              <w:tc>
                <w:tcPr/>
                <w:p>
                  <w:pPr>
                    <w:pStyle w:val="Compact"/>
                    <w:jc w:val="center"/>
                    <w:jc w:val="center"/>
                  </w:pPr>
                  <w:r>
                    <w:t xml:space="preserve">0.692 [0.482 ; 0.857]</w:t>
                  </w:r>
                </w:p>
              </w:tc>
              <w:tc>
                <w:tcPr/>
                <w:p>
                  <w:pPr>
                    <w:pStyle w:val="Compact"/>
                    <w:jc w:val="center"/>
                    <w:jc w:val="center"/>
                  </w:pPr>
                  <w:r>
                    <w:t xml:space="preserve">0.667 [0.51 ; 0.8]</w:t>
                  </w:r>
                </w:p>
              </w:tc>
            </w:tr>
          </w:tbl>
          <w:bookmarkEnd w:id="15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5" w:name="tbl-strong-a2-comb"/>
          <w:p>
            <w:pPr>
              <w:jc w:val="center"/>
            </w:pPr>
            <w:pPr>
              <w:jc w:val="left"/>
              <w:spacing w:before="200"/>
              <w:pStyle w:val="ImageCaption"/>
            </w:pPr>
            <w:r>
              <w:t xml:space="preserve">Table 10: Approche 2 - Performances diagnostiques des combinaisons conjonctives</w:t>
            </w:r>
          </w:p>
          <w:tbl>
            <w:tblPr>
              <w:tblStyle w:val="Table"/>
              <w:tblW w:type="pct" w:w="5000"/>
              <w:tblLayout w:type="fixed"/>
              <w:tblLook w:firstRow="1" w:lastRow="0" w:firstColumn="0" w:lastColumn="0" w:noHBand="0" w:noVBand="0" w:val="0020"/>
            </w:tblPr>
            <w:tblGrid>
              <w:gridCol w:w="1330"/>
              <w:gridCol w:w="1457"/>
              <w:gridCol w:w="1457"/>
              <w:gridCol w:w="1457"/>
              <w:gridCol w:w="1457"/>
              <w:gridCol w:w="380"/>
              <w:gridCol w:w="380"/>
            </w:tblGrid>
            <w:tr>
              <w:trPr>
                <w:tblHeader w:val="on"/>
              </w:trPr>
              <w:tc>
                <w:tcPr/>
                <w:p>
                  <w:pPr>
                    <w:pStyle w:val="Compact"/>
                    <w:jc w:val="center"/>
                    <w:jc w:val="center"/>
                  </w:pPr>
                  <w:r>
                    <w:t xml:space="preserve">Combinaison</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U1 + U2a</w:t>
                  </w:r>
                </w:p>
              </w:tc>
              <w:tc>
                <w:tcPr/>
                <w:p>
                  <w:pPr>
                    <w:pStyle w:val="Compact"/>
                    <w:jc w:val="center"/>
                    <w:jc w:val="center"/>
                  </w:pPr>
                  <w:r>
                    <w:t xml:space="preserve">0.654 [0.443 ; 0.828]</w:t>
                  </w:r>
                </w:p>
              </w:tc>
              <w:tc>
                <w:tcPr/>
                <w:p>
                  <w:pPr>
                    <w:pStyle w:val="Compact"/>
                    <w:jc w:val="center"/>
                    <w:jc w:val="center"/>
                  </w:pPr>
                  <w:r>
                    <w:t xml:space="preserve">0.467 [0.317 ; 0.621]</w:t>
                  </w:r>
                </w:p>
              </w:tc>
              <w:tc>
                <w:tcPr/>
                <w:p>
                  <w:pPr>
                    <w:pStyle w:val="Compact"/>
                    <w:jc w:val="center"/>
                    <w:jc w:val="center"/>
                  </w:pPr>
                  <w:r>
                    <w:t xml:space="preserve">0.415 [0.263 ; 0.579]</w:t>
                  </w:r>
                </w:p>
              </w:tc>
              <w:tc>
                <w:tcPr/>
                <w:p>
                  <w:pPr>
                    <w:pStyle w:val="Compact"/>
                    <w:jc w:val="center"/>
                    <w:jc w:val="center"/>
                  </w:pPr>
                  <w:r>
                    <w:t xml:space="preserve">0.7 [0.506 ; 0.853]</w:t>
                  </w:r>
                </w:p>
              </w:tc>
              <w:tc>
                <w:tcPr/>
                <w:p>
                  <w:pPr>
                    <w:pStyle w:val="Compact"/>
                    <w:jc w:val="center"/>
                    <w:jc w:val="center"/>
                  </w:pPr>
                  <w:r>
                    <w:t xml:space="preserve">1.23</w:t>
                  </w:r>
                </w:p>
              </w:tc>
              <w:tc>
                <w:tcPr/>
                <w:p>
                  <w:pPr>
                    <w:pStyle w:val="Compact"/>
                    <w:jc w:val="center"/>
                    <w:jc w:val="center"/>
                  </w:pPr>
                  <w:r>
                    <w:t xml:space="preserve">0.74</w:t>
                  </w:r>
                </w:p>
              </w:tc>
            </w:tr>
            <w:tr>
              <w:tc>
                <w:tcPr/>
                <w:p>
                  <w:pPr>
                    <w:pStyle w:val="Compact"/>
                    <w:jc w:val="center"/>
                    <w:jc w:val="center"/>
                  </w:pPr>
                  <w:r>
                    <w:t xml:space="preserve">U1 + U2b</w:t>
                  </w:r>
                </w:p>
              </w:tc>
              <w:tc>
                <w:tcPr/>
                <w:p>
                  <w:pPr>
                    <w:pStyle w:val="Compact"/>
                    <w:jc w:val="center"/>
                    <w:jc w:val="center"/>
                  </w:pPr>
                  <w:r>
                    <w:t xml:space="preserve">0.538 [0.334 ; 0.734]</w:t>
                  </w:r>
                </w:p>
              </w:tc>
              <w:tc>
                <w:tcPr/>
                <w:p>
                  <w:pPr>
                    <w:pStyle w:val="Compact"/>
                    <w:jc w:val="center"/>
                    <w:jc w:val="center"/>
                  </w:pPr>
                  <w:r>
                    <w:t xml:space="preserve">0.578 [0.422 ; 0.723]</w:t>
                  </w:r>
                </w:p>
              </w:tc>
              <w:tc>
                <w:tcPr/>
                <w:p>
                  <w:pPr>
                    <w:pStyle w:val="Compact"/>
                    <w:jc w:val="center"/>
                    <w:jc w:val="center"/>
                  </w:pPr>
                  <w:r>
                    <w:t xml:space="preserve">0.424 [0.255 ; 0.608]</w:t>
                  </w:r>
                </w:p>
              </w:tc>
              <w:tc>
                <w:tcPr/>
                <w:p>
                  <w:pPr>
                    <w:pStyle w:val="Compact"/>
                    <w:jc w:val="center"/>
                    <w:jc w:val="center"/>
                  </w:pPr>
                  <w:r>
                    <w:t xml:space="preserve">0.684 [0.513 ; 0.825]</w:t>
                  </w:r>
                </w:p>
              </w:tc>
              <w:tc>
                <w:tcPr/>
                <w:p>
                  <w:pPr>
                    <w:pStyle w:val="Compact"/>
                    <w:jc w:val="center"/>
                    <w:jc w:val="center"/>
                  </w:pPr>
                  <w:r>
                    <w:t xml:space="preserve">1.28</w:t>
                  </w:r>
                </w:p>
              </w:tc>
              <w:tc>
                <w:tcPr/>
                <w:p>
                  <w:pPr>
                    <w:pStyle w:val="Compact"/>
                    <w:jc w:val="center"/>
                    <w:jc w:val="center"/>
                  </w:pPr>
                  <w:r>
                    <w:t xml:space="preserve">0.80</w:t>
                  </w:r>
                </w:p>
              </w:tc>
            </w:tr>
            <w:tr>
              <w:tc>
                <w:tcPr/>
                <w:p>
                  <w:pPr>
                    <w:pStyle w:val="Compact"/>
                    <w:jc w:val="center"/>
                    <w:jc w:val="center"/>
                  </w:pPr>
                  <w:r>
                    <w:t xml:space="preserve">U1 + U3</w:t>
                  </w:r>
                </w:p>
              </w:tc>
              <w:tc>
                <w:tcPr/>
                <w:p>
                  <w:pPr>
                    <w:pStyle w:val="Compact"/>
                    <w:jc w:val="center"/>
                    <w:jc w:val="center"/>
                  </w:pPr>
                  <w:r>
                    <w:t xml:space="preserve">0.346 [0.172 ; 0.557]</w:t>
                  </w:r>
                </w:p>
              </w:tc>
              <w:tc>
                <w:tcPr/>
                <w:p>
                  <w:pPr>
                    <w:pStyle w:val="Compact"/>
                    <w:jc w:val="center"/>
                    <w:jc w:val="center"/>
                  </w:pPr>
                  <w:r>
                    <w:t xml:space="preserve">0.667 [0.51 ; 0.8]</w:t>
                  </w:r>
                </w:p>
              </w:tc>
              <w:tc>
                <w:tcPr/>
                <w:p>
                  <w:pPr>
                    <w:pStyle w:val="Compact"/>
                    <w:jc w:val="center"/>
                    <w:jc w:val="center"/>
                  </w:pPr>
                  <w:r>
                    <w:t xml:space="preserve">0.375 [0.188 ; 0.594]</w:t>
                  </w:r>
                </w:p>
              </w:tc>
              <w:tc>
                <w:tcPr/>
                <w:p>
                  <w:pPr>
                    <w:pStyle w:val="Compact"/>
                    <w:jc w:val="center"/>
                    <w:jc w:val="center"/>
                  </w:pPr>
                  <w:r>
                    <w:t xml:space="preserve">0.638 [0.485 ; 0.773]</w:t>
                  </w:r>
                </w:p>
              </w:tc>
              <w:tc>
                <w:tcPr/>
                <w:p>
                  <w:pPr>
                    <w:pStyle w:val="Compact"/>
                    <w:jc w:val="center"/>
                    <w:jc w:val="center"/>
                  </w:pPr>
                  <w:r>
                    <w:t xml:space="preserve">1.04</w:t>
                  </w:r>
                </w:p>
              </w:tc>
              <w:tc>
                <w:tcPr/>
                <w:p>
                  <w:pPr>
                    <w:pStyle w:val="Compact"/>
                    <w:jc w:val="center"/>
                    <w:jc w:val="center"/>
                  </w:pPr>
                  <w:r>
                    <w:t xml:space="preserve">0.98</w:t>
                  </w:r>
                </w:p>
              </w:tc>
            </w:tr>
            <w:tr>
              <w:tc>
                <w:tcPr/>
                <w:p>
                  <w:pPr>
                    <w:pStyle w:val="Compact"/>
                    <w:jc w:val="center"/>
                    <w:jc w:val="center"/>
                  </w:pPr>
                  <w:r>
                    <w:t xml:space="preserve">U2a + U2b</w:t>
                  </w:r>
                </w:p>
              </w:tc>
              <w:tc>
                <w:tcPr/>
                <w:p>
                  <w:pPr>
                    <w:pStyle w:val="Compact"/>
                    <w:jc w:val="center"/>
                    <w:jc w:val="center"/>
                  </w:pPr>
                  <w:r>
                    <w:t xml:space="preserve">0.5 [0.299 ; 0.701]</w:t>
                  </w:r>
                </w:p>
              </w:tc>
              <w:tc>
                <w:tcPr/>
                <w:p>
                  <w:pPr>
                    <w:pStyle w:val="Compact"/>
                    <w:jc w:val="center"/>
                    <w:jc w:val="center"/>
                  </w:pPr>
                  <w:r>
                    <w:t xml:space="preserve">0.533 [0.379 ; 0.683]</w:t>
                  </w:r>
                </w:p>
              </w:tc>
              <w:tc>
                <w:tcPr/>
                <w:p>
                  <w:pPr>
                    <w:pStyle w:val="Compact"/>
                    <w:jc w:val="center"/>
                    <w:jc w:val="center"/>
                  </w:pPr>
                  <w:r>
                    <w:t xml:space="preserve">0.382 [0.222 ; 0.564]</w:t>
                  </w:r>
                </w:p>
              </w:tc>
              <w:tc>
                <w:tcPr/>
                <w:p>
                  <w:pPr>
                    <w:pStyle w:val="Compact"/>
                    <w:jc w:val="center"/>
                    <w:jc w:val="center"/>
                  </w:pPr>
                  <w:r>
                    <w:t xml:space="preserve">0.649 [0.475 ; 0.798]</w:t>
                  </w:r>
                </w:p>
              </w:tc>
              <w:tc>
                <w:tcPr/>
                <w:p>
                  <w:pPr>
                    <w:pStyle w:val="Compact"/>
                    <w:jc w:val="center"/>
                    <w:jc w:val="center"/>
                  </w:pPr>
                  <w:r>
                    <w:t xml:space="preserve">1.07</w:t>
                  </w:r>
                </w:p>
              </w:tc>
              <w:tc>
                <w:tcPr/>
                <w:p>
                  <w:pPr>
                    <w:pStyle w:val="Compact"/>
                    <w:jc w:val="center"/>
                    <w:jc w:val="center"/>
                  </w:pPr>
                  <w:r>
                    <w:t xml:space="preserve">0.94</w:t>
                  </w:r>
                </w:p>
              </w:tc>
            </w:tr>
            <w:tr>
              <w:tc>
                <w:tcPr/>
                <w:p>
                  <w:pPr>
                    <w:pStyle w:val="Compact"/>
                    <w:jc w:val="center"/>
                    <w:jc w:val="center"/>
                  </w:pPr>
                  <w:r>
                    <w:t xml:space="preserve">U2a + U3</w:t>
                  </w:r>
                </w:p>
              </w:tc>
              <w:tc>
                <w:tcPr/>
                <w:p>
                  <w:pPr>
                    <w:pStyle w:val="Compact"/>
                    <w:jc w:val="center"/>
                    <w:jc w:val="center"/>
                  </w:pPr>
                  <w:r>
                    <w:t xml:space="preserve">0.385 [0.202 ; 0.594]</w:t>
                  </w:r>
                </w:p>
              </w:tc>
              <w:tc>
                <w:tcPr/>
                <w:p>
                  <w:pPr>
                    <w:pStyle w:val="Compact"/>
                    <w:jc w:val="center"/>
                    <w:jc w:val="center"/>
                  </w:pPr>
                  <w:r>
                    <w:t xml:space="preserve">0.667 [0.51 ; 0.8]</w:t>
                  </w:r>
                </w:p>
              </w:tc>
              <w:tc>
                <w:tcPr/>
                <w:p>
                  <w:pPr>
                    <w:pStyle w:val="Compact"/>
                    <w:jc w:val="center"/>
                    <w:jc w:val="center"/>
                  </w:pPr>
                  <w:r>
                    <w:t xml:space="preserve">0.4 [0.211 ; 0.613]</w:t>
                  </w:r>
                </w:p>
              </w:tc>
              <w:tc>
                <w:tcPr/>
                <w:p>
                  <w:pPr>
                    <w:pStyle w:val="Compact"/>
                    <w:jc w:val="center"/>
                    <w:jc w:val="center"/>
                  </w:pPr>
                  <w:r>
                    <w:t xml:space="preserve">0.652 [0.498 ; 0.786]</w:t>
                  </w:r>
                </w:p>
              </w:tc>
              <w:tc>
                <w:tcPr/>
                <w:p>
                  <w:pPr>
                    <w:pStyle w:val="Compact"/>
                    <w:jc w:val="center"/>
                    <w:jc w:val="center"/>
                  </w:pPr>
                  <w:r>
                    <w:t xml:space="preserve">1.15</w:t>
                  </w:r>
                </w:p>
              </w:tc>
              <w:tc>
                <w:tcPr/>
                <w:p>
                  <w:pPr>
                    <w:pStyle w:val="Compact"/>
                    <w:jc w:val="center"/>
                    <w:jc w:val="center"/>
                  </w:pPr>
                  <w:r>
                    <w:t xml:space="preserve">0.92</w:t>
                  </w:r>
                </w:p>
              </w:tc>
            </w:tr>
            <w:tr>
              <w:tc>
                <w:tcPr/>
                <w:p>
                  <w:pPr>
                    <w:pStyle w:val="Compact"/>
                    <w:jc w:val="center"/>
                    <w:jc w:val="center"/>
                  </w:pPr>
                  <w:r>
                    <w:t xml:space="preserve">U2b + U3</w:t>
                  </w:r>
                </w:p>
              </w:tc>
              <w:tc>
                <w:tcPr/>
                <w:p>
                  <w:pPr>
                    <w:pStyle w:val="Compact"/>
                    <w:jc w:val="center"/>
                    <w:jc w:val="center"/>
                  </w:pPr>
                  <w:r>
                    <w:t xml:space="preserve">0.192 [0.066 ; 0.394]</w:t>
                  </w:r>
                </w:p>
              </w:tc>
              <w:tc>
                <w:tcPr/>
                <w:p>
                  <w:pPr>
                    <w:pStyle w:val="Compact"/>
                    <w:jc w:val="center"/>
                    <w:jc w:val="center"/>
                  </w:pPr>
                  <w:r>
                    <w:t xml:space="preserve">0.711 [0.557 ; 0.836]</w:t>
                  </w:r>
                </w:p>
              </w:tc>
              <w:tc>
                <w:tcPr/>
                <w:p>
                  <w:pPr>
                    <w:pStyle w:val="Compact"/>
                    <w:jc w:val="center"/>
                    <w:jc w:val="center"/>
                  </w:pPr>
                  <w:r>
                    <w:t xml:space="preserve">0.278 [0.097 ; 0.535]</w:t>
                  </w:r>
                </w:p>
              </w:tc>
              <w:tc>
                <w:tcPr/>
                <w:p>
                  <w:pPr>
                    <w:pStyle w:val="Compact"/>
                    <w:jc w:val="center"/>
                    <w:jc w:val="center"/>
                  </w:pPr>
                  <w:r>
                    <w:t xml:space="preserve">0.604 [0.46 ; 0.735]</w:t>
                  </w:r>
                </w:p>
              </w:tc>
              <w:tc>
                <w:tcPr/>
                <w:p>
                  <w:pPr>
                    <w:pStyle w:val="Compact"/>
                    <w:jc w:val="center"/>
                    <w:jc w:val="center"/>
                  </w:pPr>
                  <w:r>
                    <w:t xml:space="preserve">0.67</w:t>
                  </w:r>
                </w:p>
              </w:tc>
              <w:tc>
                <w:tcPr/>
                <w:p>
                  <w:pPr>
                    <w:pStyle w:val="Compact"/>
                    <w:jc w:val="center"/>
                    <w:jc w:val="center"/>
                  </w:pPr>
                  <w:r>
                    <w:t xml:space="preserve">1.14</w:t>
                  </w:r>
                </w:p>
              </w:tc>
            </w:tr>
            <w:tr>
              <w:tc>
                <w:tcPr/>
                <w:p>
                  <w:pPr>
                    <w:pStyle w:val="Compact"/>
                    <w:jc w:val="center"/>
                    <w:jc w:val="center"/>
                  </w:pPr>
                  <w:r>
                    <w:t xml:space="preserve">U1 + U2a + U2b</w:t>
                  </w:r>
                </w:p>
              </w:tc>
              <w:tc>
                <w:tcPr/>
                <w:p>
                  <w:pPr>
                    <w:pStyle w:val="Compact"/>
                    <w:jc w:val="center"/>
                    <w:jc w:val="center"/>
                  </w:pPr>
                  <w:r>
                    <w:t xml:space="preserve">0.423 [0.234 ; 0.631]</w:t>
                  </w:r>
                </w:p>
              </w:tc>
              <w:tc>
                <w:tcPr/>
                <w:p>
                  <w:pPr>
                    <w:pStyle w:val="Compact"/>
                    <w:jc w:val="center"/>
                    <w:jc w:val="center"/>
                  </w:pPr>
                  <w:r>
                    <w:t xml:space="preserve">0.578 [0.422 ; 0.723]</w:t>
                  </w:r>
                </w:p>
              </w:tc>
              <w:tc>
                <w:tcPr/>
                <w:p>
                  <w:pPr>
                    <w:pStyle w:val="Compact"/>
                    <w:jc w:val="center"/>
                    <w:jc w:val="center"/>
                  </w:pPr>
                  <w:r>
                    <w:t xml:space="preserve">0.367 [0.199 ; 0.561]</w:t>
                  </w:r>
                </w:p>
              </w:tc>
              <w:tc>
                <w:tcPr/>
                <w:p>
                  <w:pPr>
                    <w:pStyle w:val="Compact"/>
                    <w:jc w:val="center"/>
                    <w:jc w:val="center"/>
                  </w:pPr>
                  <w:r>
                    <w:t xml:space="preserve">0.634 [0.469 ; 0.779]</w:t>
                  </w:r>
                </w:p>
              </w:tc>
              <w:tc>
                <w:tcPr/>
                <w:p>
                  <w:pPr>
                    <w:pStyle w:val="Compact"/>
                    <w:jc w:val="center"/>
                    <w:jc w:val="center"/>
                  </w:pPr>
                  <w:r>
                    <w:t xml:space="preserve">1.00</w:t>
                  </w:r>
                </w:p>
              </w:tc>
              <w:tc>
                <w:tcPr/>
                <w:p>
                  <w:pPr>
                    <w:pStyle w:val="Compact"/>
                    <w:jc w:val="center"/>
                    <w:jc w:val="center"/>
                  </w:pPr>
                  <w:r>
                    <w:t xml:space="preserve">1.00</w:t>
                  </w:r>
                </w:p>
              </w:tc>
            </w:tr>
            <w:tr>
              <w:tc>
                <w:tcPr/>
                <w:p>
                  <w:pPr>
                    <w:pStyle w:val="Compact"/>
                    <w:jc w:val="center"/>
                    <w:jc w:val="center"/>
                  </w:pPr>
                  <w:r>
                    <w:t xml:space="preserve">U1 + U2a + U3</w:t>
                  </w:r>
                </w:p>
              </w:tc>
              <w:tc>
                <w:tcPr/>
                <w:p>
                  <w:pPr>
                    <w:pStyle w:val="Compact"/>
                    <w:jc w:val="center"/>
                    <w:jc w:val="center"/>
                  </w:pPr>
                  <w:r>
                    <w:t xml:space="preserve">0.346 [0.172 ; 0.557]</w:t>
                  </w:r>
                </w:p>
              </w:tc>
              <w:tc>
                <w:tcPr/>
                <w:p>
                  <w:pPr>
                    <w:pStyle w:val="Compact"/>
                    <w:jc w:val="center"/>
                    <w:jc w:val="center"/>
                  </w:pPr>
                  <w:r>
                    <w:t xml:space="preserve">0.667 [0.51 ; 0.8]</w:t>
                  </w:r>
                </w:p>
              </w:tc>
              <w:tc>
                <w:tcPr/>
                <w:p>
                  <w:pPr>
                    <w:pStyle w:val="Compact"/>
                    <w:jc w:val="center"/>
                    <w:jc w:val="center"/>
                  </w:pPr>
                  <w:r>
                    <w:t xml:space="preserve">0.375 [0.188 ; 0.594]</w:t>
                  </w:r>
                </w:p>
              </w:tc>
              <w:tc>
                <w:tcPr/>
                <w:p>
                  <w:pPr>
                    <w:pStyle w:val="Compact"/>
                    <w:jc w:val="center"/>
                    <w:jc w:val="center"/>
                  </w:pPr>
                  <w:r>
                    <w:t xml:space="preserve">0.638 [0.485 ; 0.773]</w:t>
                  </w:r>
                </w:p>
              </w:tc>
              <w:tc>
                <w:tcPr/>
                <w:p>
                  <w:pPr>
                    <w:pStyle w:val="Compact"/>
                    <w:jc w:val="center"/>
                    <w:jc w:val="center"/>
                  </w:pPr>
                  <w:r>
                    <w:t xml:space="preserve">1.04</w:t>
                  </w:r>
                </w:p>
              </w:tc>
              <w:tc>
                <w:tcPr/>
                <w:p>
                  <w:pPr>
                    <w:pStyle w:val="Compact"/>
                    <w:jc w:val="center"/>
                    <w:jc w:val="center"/>
                  </w:pPr>
                  <w:r>
                    <w:t xml:space="preserve">0.98</w:t>
                  </w:r>
                </w:p>
              </w:tc>
            </w:tr>
            <w:tr>
              <w:tc>
                <w:tcPr/>
                <w:p>
                  <w:pPr>
                    <w:pStyle w:val="Compact"/>
                    <w:jc w:val="center"/>
                    <w:jc w:val="center"/>
                  </w:pPr>
                  <w:r>
                    <w:t xml:space="preserve">U1 + U2b + U3</w:t>
                  </w:r>
                </w:p>
              </w:tc>
              <w:tc>
                <w:tcPr/>
                <w:p>
                  <w:pPr>
                    <w:pStyle w:val="Compact"/>
                    <w:jc w:val="center"/>
                    <w:jc w:val="center"/>
                  </w:pPr>
                  <w:r>
                    <w:t xml:space="preserve">0.154 [0.044 ; 0.349]</w:t>
                  </w:r>
                </w:p>
              </w:tc>
              <w:tc>
                <w:tcPr/>
                <w:p>
                  <w:pPr>
                    <w:pStyle w:val="Compact"/>
                    <w:jc w:val="center"/>
                    <w:jc w:val="center"/>
                  </w:pPr>
                  <w:r>
                    <w:t xml:space="preserve">0.711 [0.557 ; 0.836]</w:t>
                  </w:r>
                </w:p>
              </w:tc>
              <w:tc>
                <w:tcPr/>
                <w:p>
                  <w:pPr>
                    <w:pStyle w:val="Compact"/>
                    <w:jc w:val="center"/>
                    <w:jc w:val="center"/>
                  </w:pPr>
                  <w:r>
                    <w:t xml:space="preserve">0.235 [0.068 ; 0.499]</w:t>
                  </w:r>
                </w:p>
              </w:tc>
              <w:tc>
                <w:tcPr/>
                <w:p>
                  <w:pPr>
                    <w:pStyle w:val="Compact"/>
                    <w:jc w:val="center"/>
                    <w:jc w:val="center"/>
                  </w:pPr>
                  <w:r>
                    <w:t xml:space="preserve">0.593 [0.45 ; 0.724]</w:t>
                  </w:r>
                </w:p>
              </w:tc>
              <w:tc>
                <w:tcPr/>
                <w:p>
                  <w:pPr>
                    <w:pStyle w:val="Compact"/>
                    <w:jc w:val="center"/>
                    <w:jc w:val="center"/>
                  </w:pPr>
                  <w:r>
                    <w:t xml:space="preserve">0.53</w:t>
                  </w:r>
                </w:p>
              </w:tc>
              <w:tc>
                <w:tcPr/>
                <w:p>
                  <w:pPr>
                    <w:pStyle w:val="Compact"/>
                    <w:jc w:val="center"/>
                    <w:jc w:val="center"/>
                  </w:pPr>
                  <w:r>
                    <w:t xml:space="preserve">1.19</w:t>
                  </w:r>
                </w:p>
              </w:tc>
            </w:tr>
            <w:tr>
              <w:tc>
                <w:tcPr/>
                <w:p>
                  <w:pPr>
                    <w:pStyle w:val="Compact"/>
                    <w:jc w:val="center"/>
                    <w:jc w:val="center"/>
                  </w:pPr>
                  <w:r>
                    <w:t xml:space="preserve">U2a + U2b + U3</w:t>
                  </w:r>
                </w:p>
              </w:tc>
              <w:tc>
                <w:tcPr/>
                <w:p>
                  <w:pPr>
                    <w:pStyle w:val="Compact"/>
                    <w:jc w:val="center"/>
                    <w:jc w:val="center"/>
                  </w:pPr>
                  <w:r>
                    <w:t xml:space="preserve">0.192 [0.066 ; 0.394]</w:t>
                  </w:r>
                </w:p>
              </w:tc>
              <w:tc>
                <w:tcPr/>
                <w:p>
                  <w:pPr>
                    <w:pStyle w:val="Compact"/>
                    <w:jc w:val="center"/>
                    <w:jc w:val="center"/>
                  </w:pPr>
                  <w:r>
                    <w:t xml:space="preserve">0.711 [0.557 ; 0.836]</w:t>
                  </w:r>
                </w:p>
              </w:tc>
              <w:tc>
                <w:tcPr/>
                <w:p>
                  <w:pPr>
                    <w:pStyle w:val="Compact"/>
                    <w:jc w:val="center"/>
                    <w:jc w:val="center"/>
                  </w:pPr>
                  <w:r>
                    <w:t xml:space="preserve">0.278 [0.097 ; 0.535]</w:t>
                  </w:r>
                </w:p>
              </w:tc>
              <w:tc>
                <w:tcPr/>
                <w:p>
                  <w:pPr>
                    <w:pStyle w:val="Compact"/>
                    <w:jc w:val="center"/>
                    <w:jc w:val="center"/>
                  </w:pPr>
                  <w:r>
                    <w:t xml:space="preserve">0.604 [0.46 ; 0.735]</w:t>
                  </w:r>
                </w:p>
              </w:tc>
              <w:tc>
                <w:tcPr/>
                <w:p>
                  <w:pPr>
                    <w:pStyle w:val="Compact"/>
                    <w:jc w:val="center"/>
                    <w:jc w:val="center"/>
                  </w:pPr>
                  <w:r>
                    <w:t xml:space="preserve">0.67</w:t>
                  </w:r>
                </w:p>
              </w:tc>
              <w:tc>
                <w:tcPr/>
                <w:p>
                  <w:pPr>
                    <w:pStyle w:val="Compact"/>
                    <w:jc w:val="center"/>
                    <w:jc w:val="center"/>
                  </w:pPr>
                  <w:r>
                    <w:t xml:space="preserve">1.14</w:t>
                  </w:r>
                </w:p>
              </w:tc>
            </w:tr>
            <w:tr>
              <w:tc>
                <w:tcPr/>
                <w:p>
                  <w:pPr>
                    <w:pStyle w:val="Compact"/>
                    <w:jc w:val="center"/>
                    <w:jc w:val="center"/>
                  </w:pPr>
                  <w:r>
                    <w:t xml:space="preserve">U1 + U2a + U2b + U3</w:t>
                  </w:r>
                </w:p>
              </w:tc>
              <w:tc>
                <w:tcPr/>
                <w:p>
                  <w:pPr>
                    <w:pStyle w:val="Compact"/>
                    <w:jc w:val="center"/>
                    <w:jc w:val="center"/>
                  </w:pPr>
                  <w:r>
                    <w:t xml:space="preserve">0.154 [0.044 ; 0.349]</w:t>
                  </w:r>
                </w:p>
              </w:tc>
              <w:tc>
                <w:tcPr/>
                <w:p>
                  <w:pPr>
                    <w:pStyle w:val="Compact"/>
                    <w:jc w:val="center"/>
                    <w:jc w:val="center"/>
                  </w:pPr>
                  <w:r>
                    <w:t xml:space="preserve">0.711 [0.557 ; 0.836]</w:t>
                  </w:r>
                </w:p>
              </w:tc>
              <w:tc>
                <w:tcPr/>
                <w:p>
                  <w:pPr>
                    <w:pStyle w:val="Compact"/>
                    <w:jc w:val="center"/>
                    <w:jc w:val="center"/>
                  </w:pPr>
                  <w:r>
                    <w:t xml:space="preserve">0.235 [0.068 ; 0.499]</w:t>
                  </w:r>
                </w:p>
              </w:tc>
              <w:tc>
                <w:tcPr/>
                <w:p>
                  <w:pPr>
                    <w:pStyle w:val="Compact"/>
                    <w:jc w:val="center"/>
                    <w:jc w:val="center"/>
                  </w:pPr>
                  <w:r>
                    <w:t xml:space="preserve">0.593 [0.45 ; 0.724]</w:t>
                  </w:r>
                </w:p>
              </w:tc>
              <w:tc>
                <w:tcPr/>
                <w:p>
                  <w:pPr>
                    <w:pStyle w:val="Compact"/>
                    <w:jc w:val="center"/>
                    <w:jc w:val="center"/>
                  </w:pPr>
                  <w:r>
                    <w:t xml:space="preserve">0.53</w:t>
                  </w:r>
                </w:p>
              </w:tc>
              <w:tc>
                <w:tcPr/>
                <w:p>
                  <w:pPr>
                    <w:pStyle w:val="Compact"/>
                    <w:jc w:val="center"/>
                    <w:jc w:val="center"/>
                  </w:pPr>
                  <w:r>
                    <w:t xml:space="preserve">1.19</w:t>
                  </w:r>
                </w:p>
              </w:tc>
            </w:tr>
          </w:tbl>
          <w:bookmarkEnd w:id="1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6" w:name="tbl-comp-a2-comb"/>
          <w:p>
            <w:pPr>
              <w:jc w:val="center"/>
            </w:pPr>
            <w:pPr>
              <w:jc w:val="left"/>
              <w:spacing w:before="200"/>
              <w:pStyle w:val="ImageCaption"/>
            </w:pPr>
            <w:r>
              <w:t xml:space="preserve">Table 11: Approche 2 - Comparaison des combinaisons (Se &amp; Sp) : GS final vs confirmation par infiltration</w:t>
            </w:r>
          </w:p>
          <w:tbl>
            <w:tblPr>
              <w:tblStyle w:val="Table"/>
              <w:tblW w:type="pct" w:w="5000"/>
              <w:tblLayout w:type="fixed"/>
              <w:tblLook w:firstRow="1" w:lastRow="0" w:firstColumn="0" w:lastColumn="0" w:noHBand="0" w:noVBand="0" w:val="0020"/>
            </w:tblPr>
            <w:tblGrid>
              <w:gridCol w:w="1471"/>
              <w:gridCol w:w="1612"/>
              <w:gridCol w:w="1612"/>
              <w:gridCol w:w="1612"/>
              <w:gridCol w:w="1612"/>
            </w:tblGrid>
            <w:tr>
              <w:trPr>
                <w:tblHeader w:val="on"/>
              </w:trPr>
              <w:tc>
                <w:tcPr/>
                <w:p>
                  <w:pPr>
                    <w:pStyle w:val="Compact"/>
                    <w:jc w:val="center"/>
                    <w:jc w:val="center"/>
                  </w:pPr>
                  <w:r>
                    <w:t xml:space="preserve">Combinaison</w:t>
                  </w:r>
                </w:p>
              </w:tc>
              <w:tc>
                <w:tcPr/>
                <w:p>
                  <w:pPr>
                    <w:pStyle w:val="Compact"/>
                    <w:jc w:val="center"/>
                    <w:jc w:val="center"/>
                  </w:pPr>
                  <w:r>
                    <w:t xml:space="preserve">Se GS final</w:t>
                  </w:r>
                </w:p>
              </w:tc>
              <w:tc>
                <w:tcPr/>
                <w:p>
                  <w:pPr>
                    <w:pStyle w:val="Compact"/>
                    <w:jc w:val="center"/>
                    <w:jc w:val="center"/>
                  </w:pPr>
                  <w:r>
                    <w:t xml:space="preserve">Se GS infiltr.+</w:t>
                  </w:r>
                </w:p>
              </w:tc>
              <w:tc>
                <w:tcPr/>
                <w:p>
                  <w:pPr>
                    <w:pStyle w:val="Compact"/>
                    <w:jc w:val="center"/>
                    <w:jc w:val="center"/>
                  </w:pPr>
                  <w:r>
                    <w:t xml:space="preserve">Sp GS final</w:t>
                  </w:r>
                </w:p>
              </w:tc>
              <w:tc>
                <w:tcPr/>
                <w:p>
                  <w:pPr>
                    <w:pStyle w:val="Compact"/>
                    <w:jc w:val="center"/>
                    <w:jc w:val="center"/>
                  </w:pPr>
                  <w:r>
                    <w:t xml:space="preserve">Sp GS infiltr.+</w:t>
                  </w:r>
                </w:p>
              </w:tc>
            </w:tr>
            <w:tr>
              <w:tc>
                <w:tcPr/>
                <w:p>
                  <w:pPr>
                    <w:pStyle w:val="Compact"/>
                    <w:jc w:val="center"/>
                    <w:jc w:val="center"/>
                  </w:pPr>
                  <w:r>
                    <w:t xml:space="preserve">U1 + U2a</w:t>
                  </w:r>
                </w:p>
              </w:tc>
              <w:tc>
                <w:tcPr/>
                <w:p>
                  <w:pPr>
                    <w:pStyle w:val="Compact"/>
                    <w:jc w:val="center"/>
                    <w:jc w:val="center"/>
                  </w:pPr>
                  <w:r>
                    <w:t xml:space="preserve">0.689 [0.534 ; 0.818]</w:t>
                  </w:r>
                </w:p>
              </w:tc>
              <w:tc>
                <w:tcPr/>
                <w:p>
                  <w:pPr>
                    <w:pStyle w:val="Compact"/>
                    <w:jc w:val="center"/>
                    <w:jc w:val="center"/>
                  </w:pPr>
                  <w:r>
                    <w:t xml:space="preserve">0.654 [0.443 ; 0.828]</w:t>
                  </w:r>
                </w:p>
              </w:tc>
              <w:tc>
                <w:tcPr/>
                <w:p>
                  <w:pPr>
                    <w:pStyle w:val="Compact"/>
                    <w:jc w:val="center"/>
                    <w:jc w:val="center"/>
                  </w:pPr>
                  <w:r>
                    <w:t xml:space="preserve">0.615 [0.406 ; 0.798]</w:t>
                  </w:r>
                </w:p>
              </w:tc>
              <w:tc>
                <w:tcPr/>
                <w:p>
                  <w:pPr>
                    <w:pStyle w:val="Compact"/>
                    <w:jc w:val="center"/>
                    <w:jc w:val="center"/>
                  </w:pPr>
                  <w:r>
                    <w:t xml:space="preserve">0.467 [0.317 ; 0.621]</w:t>
                  </w:r>
                </w:p>
              </w:tc>
            </w:tr>
            <w:tr>
              <w:tc>
                <w:tcPr/>
                <w:p>
                  <w:pPr>
                    <w:pStyle w:val="Compact"/>
                    <w:jc w:val="center"/>
                    <w:jc w:val="center"/>
                  </w:pPr>
                  <w:r>
                    <w:t xml:space="preserve">U1 + U2b</w:t>
                  </w:r>
                </w:p>
              </w:tc>
              <w:tc>
                <w:tcPr/>
                <w:p>
                  <w:pPr>
                    <w:pStyle w:val="Compact"/>
                    <w:jc w:val="center"/>
                    <w:jc w:val="center"/>
                  </w:pPr>
                  <w:r>
                    <w:t xml:space="preserve">0.578 [0.422 ; 0.723]</w:t>
                  </w:r>
                </w:p>
              </w:tc>
              <w:tc>
                <w:tcPr/>
                <w:p>
                  <w:pPr>
                    <w:pStyle w:val="Compact"/>
                    <w:jc w:val="center"/>
                    <w:jc w:val="center"/>
                  </w:pPr>
                  <w:r>
                    <w:t xml:space="preserve">0.538 [0.334 ; 0.734]</w:t>
                  </w:r>
                </w:p>
              </w:tc>
              <w:tc>
                <w:tcPr/>
                <w:p>
                  <w:pPr>
                    <w:pStyle w:val="Compact"/>
                    <w:jc w:val="center"/>
                    <w:jc w:val="center"/>
                  </w:pPr>
                  <w:r>
                    <w:t xml:space="preserve">0.731 [0.522 ; 0.884]</w:t>
                  </w:r>
                </w:p>
              </w:tc>
              <w:tc>
                <w:tcPr/>
                <w:p>
                  <w:pPr>
                    <w:pStyle w:val="Compact"/>
                    <w:jc w:val="center"/>
                    <w:jc w:val="center"/>
                  </w:pPr>
                  <w:r>
                    <w:t xml:space="preserve">0.578 [0.422 ; 0.723]</w:t>
                  </w:r>
                </w:p>
              </w:tc>
            </w:tr>
            <w:tr>
              <w:tc>
                <w:tcPr/>
                <w:p>
                  <w:pPr>
                    <w:pStyle w:val="Compact"/>
                    <w:jc w:val="center"/>
                    <w:jc w:val="center"/>
                  </w:pPr>
                  <w:r>
                    <w:t xml:space="preserve">U1 + U3</w:t>
                  </w:r>
                </w:p>
              </w:tc>
              <w:tc>
                <w:tcPr/>
                <w:p>
                  <w:pPr>
                    <w:pStyle w:val="Compact"/>
                    <w:jc w:val="center"/>
                    <w:jc w:val="center"/>
                  </w:pPr>
                  <w:r>
                    <w:t xml:space="preserve">0.356 [0.219 ; 0.512]</w:t>
                  </w:r>
                </w:p>
              </w:tc>
              <w:tc>
                <w:tcPr/>
                <w:p>
                  <w:pPr>
                    <w:pStyle w:val="Compact"/>
                    <w:jc w:val="center"/>
                    <w:jc w:val="center"/>
                  </w:pPr>
                  <w:r>
                    <w:t xml:space="preserve">0.346 [0.172 ; 0.557]</w:t>
                  </w:r>
                </w:p>
              </w:tc>
              <w:tc>
                <w:tcPr/>
                <w:p>
                  <w:pPr>
                    <w:pStyle w:val="Compact"/>
                    <w:jc w:val="center"/>
                    <w:jc w:val="center"/>
                  </w:pPr>
                  <w:r>
                    <w:t xml:space="preserve">0.692 [0.482 ; 0.857]</w:t>
                  </w:r>
                </w:p>
              </w:tc>
              <w:tc>
                <w:tcPr/>
                <w:p>
                  <w:pPr>
                    <w:pStyle w:val="Compact"/>
                    <w:jc w:val="center"/>
                    <w:jc w:val="center"/>
                  </w:pPr>
                  <w:r>
                    <w:t xml:space="preserve">0.667 [0.51 ; 0.8]</w:t>
                  </w:r>
                </w:p>
              </w:tc>
            </w:tr>
            <w:tr>
              <w:tc>
                <w:tcPr/>
                <w:p>
                  <w:pPr>
                    <w:pStyle w:val="Compact"/>
                    <w:jc w:val="center"/>
                    <w:jc w:val="center"/>
                  </w:pPr>
                  <w:r>
                    <w:t xml:space="preserve">U2a + U2b</w:t>
                  </w:r>
                </w:p>
              </w:tc>
              <w:tc>
                <w:tcPr/>
                <w:p>
                  <w:pPr>
                    <w:pStyle w:val="Compact"/>
                    <w:jc w:val="center"/>
                    <w:jc w:val="center"/>
                  </w:pPr>
                  <w:r>
                    <w:t xml:space="preserve">0.6 [0.443 ; 0.743]</w:t>
                  </w:r>
                </w:p>
              </w:tc>
              <w:tc>
                <w:tcPr/>
                <w:p>
                  <w:pPr>
                    <w:pStyle w:val="Compact"/>
                    <w:jc w:val="center"/>
                    <w:jc w:val="center"/>
                  </w:pPr>
                  <w:r>
                    <w:t xml:space="preserve">0.5 [0.299 ; 0.701]</w:t>
                  </w:r>
                </w:p>
              </w:tc>
              <w:tc>
                <w:tcPr/>
                <w:p>
                  <w:pPr>
                    <w:pStyle w:val="Compact"/>
                    <w:jc w:val="center"/>
                    <w:jc w:val="center"/>
                  </w:pPr>
                  <w:r>
                    <w:t xml:space="preserve">0.731 [0.522 ; 0.884]</w:t>
                  </w:r>
                </w:p>
              </w:tc>
              <w:tc>
                <w:tcPr/>
                <w:p>
                  <w:pPr>
                    <w:pStyle w:val="Compact"/>
                    <w:jc w:val="center"/>
                    <w:jc w:val="center"/>
                  </w:pPr>
                  <w:r>
                    <w:t xml:space="preserve">0.533 [0.379 ; 0.683]</w:t>
                  </w:r>
                </w:p>
              </w:tc>
            </w:tr>
            <w:tr>
              <w:tc>
                <w:tcPr/>
                <w:p>
                  <w:pPr>
                    <w:pStyle w:val="Compact"/>
                    <w:jc w:val="center"/>
                    <w:jc w:val="center"/>
                  </w:pPr>
                  <w:r>
                    <w:t xml:space="preserve">U2a + U3</w:t>
                  </w:r>
                </w:p>
              </w:tc>
              <w:tc>
                <w:tcPr/>
                <w:p>
                  <w:pPr>
                    <w:pStyle w:val="Compact"/>
                    <w:jc w:val="center"/>
                    <w:jc w:val="center"/>
                  </w:pPr>
                  <w:r>
                    <w:t xml:space="preserve">0.378 [0.238 ; 0.535]</w:t>
                  </w:r>
                </w:p>
              </w:tc>
              <w:tc>
                <w:tcPr/>
                <w:p>
                  <w:pPr>
                    <w:pStyle w:val="Compact"/>
                    <w:jc w:val="center"/>
                    <w:jc w:val="center"/>
                  </w:pPr>
                  <w:r>
                    <w:t xml:space="preserve">0.385 [0.202 ; 0.594]</w:t>
                  </w:r>
                </w:p>
              </w:tc>
              <w:tc>
                <w:tcPr/>
                <w:p>
                  <w:pPr>
                    <w:pStyle w:val="Compact"/>
                    <w:jc w:val="center"/>
                    <w:jc w:val="center"/>
                  </w:pPr>
                  <w:r>
                    <w:t xml:space="preserve">0.692 [0.482 ; 0.857]</w:t>
                  </w:r>
                </w:p>
              </w:tc>
              <w:tc>
                <w:tcPr/>
                <w:p>
                  <w:pPr>
                    <w:pStyle w:val="Compact"/>
                    <w:jc w:val="center"/>
                    <w:jc w:val="center"/>
                  </w:pPr>
                  <w:r>
                    <w:t xml:space="preserve">0.667 [0.51 ; 0.8]</w:t>
                  </w:r>
                </w:p>
              </w:tc>
            </w:tr>
            <w:tr>
              <w:tc>
                <w:tcPr/>
                <w:p>
                  <w:pPr>
                    <w:pStyle w:val="Compact"/>
                    <w:jc w:val="center"/>
                    <w:jc w:val="center"/>
                  </w:pPr>
                  <w:r>
                    <w:t xml:space="preserve">U2b + U3</w:t>
                  </w:r>
                </w:p>
              </w:tc>
              <w:tc>
                <w:tcPr/>
                <w:p>
                  <w:pPr>
                    <w:pStyle w:val="Compact"/>
                    <w:jc w:val="center"/>
                    <w:jc w:val="center"/>
                  </w:pPr>
                  <w:r>
                    <w:t xml:space="preserve">0.267 [0.146 ; 0.419]</w:t>
                  </w:r>
                </w:p>
              </w:tc>
              <w:tc>
                <w:tcPr/>
                <w:p>
                  <w:pPr>
                    <w:pStyle w:val="Compact"/>
                    <w:jc w:val="center"/>
                    <w:jc w:val="center"/>
                  </w:pPr>
                  <w:r>
                    <w:t xml:space="preserve">0.192 [0.066 ; 0.394]</w:t>
                  </w:r>
                </w:p>
              </w:tc>
              <w:tc>
                <w:tcPr/>
                <w:p>
                  <w:pPr>
                    <w:pStyle w:val="Compact"/>
                    <w:jc w:val="center"/>
                    <w:jc w:val="center"/>
                  </w:pPr>
                  <w:r>
                    <w:t xml:space="preserve">0.769 [0.564 ; 0.91]</w:t>
                  </w:r>
                </w:p>
              </w:tc>
              <w:tc>
                <w:tcPr/>
                <w:p>
                  <w:pPr>
                    <w:pStyle w:val="Compact"/>
                    <w:jc w:val="center"/>
                    <w:jc w:val="center"/>
                  </w:pPr>
                  <w:r>
                    <w:t xml:space="preserve">0.711 [0.557 ; 0.836]</w:t>
                  </w:r>
                </w:p>
              </w:tc>
            </w:tr>
            <w:tr>
              <w:tc>
                <w:tcPr/>
                <w:p>
                  <w:pPr>
                    <w:pStyle w:val="Compact"/>
                    <w:jc w:val="center"/>
                    <w:jc w:val="center"/>
                  </w:pPr>
                  <w:r>
                    <w:t xml:space="preserve">U1 + U2a + U2b</w:t>
                  </w:r>
                </w:p>
              </w:tc>
              <w:tc>
                <w:tcPr/>
                <w:p>
                  <w:pPr>
                    <w:pStyle w:val="Compact"/>
                    <w:jc w:val="center"/>
                    <w:jc w:val="center"/>
                  </w:pPr>
                  <w:r>
                    <w:t xml:space="preserve">0.511 [0.358 ; 0.663]</w:t>
                  </w:r>
                </w:p>
              </w:tc>
              <w:tc>
                <w:tcPr/>
                <w:p>
                  <w:pPr>
                    <w:pStyle w:val="Compact"/>
                    <w:jc w:val="center"/>
                    <w:jc w:val="center"/>
                  </w:pPr>
                  <w:r>
                    <w:t xml:space="preserve">0.423 [0.234 ; 0.631]</w:t>
                  </w:r>
                </w:p>
              </w:tc>
              <w:tc>
                <w:tcPr/>
                <w:p>
                  <w:pPr>
                    <w:pStyle w:val="Compact"/>
                    <w:jc w:val="center"/>
                    <w:jc w:val="center"/>
                  </w:pPr>
                  <w:r>
                    <w:t xml:space="preserve">0.731 [0.522 ; 0.884]</w:t>
                  </w:r>
                </w:p>
              </w:tc>
              <w:tc>
                <w:tcPr/>
                <w:p>
                  <w:pPr>
                    <w:pStyle w:val="Compact"/>
                    <w:jc w:val="center"/>
                    <w:jc w:val="center"/>
                  </w:pPr>
                  <w:r>
                    <w:t xml:space="preserve">0.578 [0.422 ; 0.723]</w:t>
                  </w:r>
                </w:p>
              </w:tc>
            </w:tr>
            <w:tr>
              <w:tc>
                <w:tcPr/>
                <w:p>
                  <w:pPr>
                    <w:pStyle w:val="Compact"/>
                    <w:jc w:val="center"/>
                    <w:jc w:val="center"/>
                  </w:pPr>
                  <w:r>
                    <w:t xml:space="preserve">U1 + U2a + U3</w:t>
                  </w:r>
                </w:p>
              </w:tc>
              <w:tc>
                <w:tcPr/>
                <w:p>
                  <w:pPr>
                    <w:pStyle w:val="Compact"/>
                    <w:jc w:val="center"/>
                    <w:jc w:val="center"/>
                  </w:pPr>
                  <w:r>
                    <w:t xml:space="preserve">0.356 [0.219 ; 0.512]</w:t>
                  </w:r>
                </w:p>
              </w:tc>
              <w:tc>
                <w:tcPr/>
                <w:p>
                  <w:pPr>
                    <w:pStyle w:val="Compact"/>
                    <w:jc w:val="center"/>
                    <w:jc w:val="center"/>
                  </w:pPr>
                  <w:r>
                    <w:t xml:space="preserve">0.346 [0.172 ; 0.557]</w:t>
                  </w:r>
                </w:p>
              </w:tc>
              <w:tc>
                <w:tcPr/>
                <w:p>
                  <w:pPr>
                    <w:pStyle w:val="Compact"/>
                    <w:jc w:val="center"/>
                    <w:jc w:val="center"/>
                  </w:pPr>
                  <w:r>
                    <w:t xml:space="preserve">0.692 [0.482 ; 0.857]</w:t>
                  </w:r>
                </w:p>
              </w:tc>
              <w:tc>
                <w:tcPr/>
                <w:p>
                  <w:pPr>
                    <w:pStyle w:val="Compact"/>
                    <w:jc w:val="center"/>
                    <w:jc w:val="center"/>
                  </w:pPr>
                  <w:r>
                    <w:t xml:space="preserve">0.667 [0.51 ; 0.8]</w:t>
                  </w:r>
                </w:p>
              </w:tc>
            </w:tr>
            <w:tr>
              <w:tc>
                <w:tcPr/>
                <w:p>
                  <w:pPr>
                    <w:pStyle w:val="Compact"/>
                    <w:jc w:val="center"/>
                    <w:jc w:val="center"/>
                  </w:pPr>
                  <w:r>
                    <w:t xml:space="preserve">U1 + U2b + U3</w:t>
                  </w:r>
                </w:p>
              </w:tc>
              <w:tc>
                <w:tcPr/>
                <w:p>
                  <w:pPr>
                    <w:pStyle w:val="Compact"/>
                    <w:jc w:val="center"/>
                    <w:jc w:val="center"/>
                  </w:pPr>
                  <w:r>
                    <w:t xml:space="preserve">0.244 [0.129 ; 0.395]</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0.711 [0.557 ; 0.836]</w:t>
                  </w:r>
                </w:p>
              </w:tc>
            </w:tr>
            <w:tr>
              <w:tc>
                <w:tcPr/>
                <w:p>
                  <w:pPr>
                    <w:pStyle w:val="Compact"/>
                    <w:jc w:val="center"/>
                    <w:jc w:val="center"/>
                  </w:pPr>
                  <w:r>
                    <w:t xml:space="preserve">U2a + U2b + U3</w:t>
                  </w:r>
                </w:p>
              </w:tc>
              <w:tc>
                <w:tcPr/>
                <w:p>
                  <w:pPr>
                    <w:pStyle w:val="Compact"/>
                    <w:jc w:val="center"/>
                    <w:jc w:val="center"/>
                  </w:pPr>
                  <w:r>
                    <w:t xml:space="preserve">0.267 [0.146 ; 0.419]</w:t>
                  </w:r>
                </w:p>
              </w:tc>
              <w:tc>
                <w:tcPr/>
                <w:p>
                  <w:pPr>
                    <w:pStyle w:val="Compact"/>
                    <w:jc w:val="center"/>
                    <w:jc w:val="center"/>
                  </w:pPr>
                  <w:r>
                    <w:t xml:space="preserve">0.192 [0.066 ; 0.394]</w:t>
                  </w:r>
                </w:p>
              </w:tc>
              <w:tc>
                <w:tcPr/>
                <w:p>
                  <w:pPr>
                    <w:pStyle w:val="Compact"/>
                    <w:jc w:val="center"/>
                    <w:jc w:val="center"/>
                  </w:pPr>
                  <w:r>
                    <w:t xml:space="preserve">0.769 [0.564 ; 0.91]</w:t>
                  </w:r>
                </w:p>
              </w:tc>
              <w:tc>
                <w:tcPr/>
                <w:p>
                  <w:pPr>
                    <w:pStyle w:val="Compact"/>
                    <w:jc w:val="center"/>
                    <w:jc w:val="center"/>
                  </w:pPr>
                  <w:r>
                    <w:t xml:space="preserve">0.711 [0.557 ; 0.836]</w:t>
                  </w:r>
                </w:p>
              </w:tc>
            </w:tr>
            <w:tr>
              <w:tc>
                <w:tcPr/>
                <w:p>
                  <w:pPr>
                    <w:pStyle w:val="Compact"/>
                    <w:jc w:val="center"/>
                    <w:jc w:val="center"/>
                  </w:pPr>
                  <w:r>
                    <w:t xml:space="preserve">U1 + U2a + U2b + U3</w:t>
                  </w:r>
                </w:p>
              </w:tc>
              <w:tc>
                <w:tcPr/>
                <w:p>
                  <w:pPr>
                    <w:pStyle w:val="Compact"/>
                    <w:jc w:val="center"/>
                    <w:jc w:val="center"/>
                  </w:pPr>
                  <w:r>
                    <w:t xml:space="preserve">0.244 [0.129 ; 0.395]</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0.711 [0.557 ; 0.836]</w:t>
                  </w:r>
                </w:p>
              </w:tc>
            </w:tr>
          </w:tbl>
          <w:bookmarkEnd w:id="15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7" w:name="tbl-strong-a2-score"/>
          <w:p>
            <w:pPr>
              <w:jc w:val="center"/>
            </w:pPr>
            <w:pPr>
              <w:jc w:val="left"/>
              <w:spacing w:before="200"/>
              <w:pStyle w:val="ImageCaption"/>
            </w:pPr>
            <w:r>
              <w:t xml:space="preserve">Table 12: Approche 2 - Performances diagnostiques du score global</w:t>
            </w:r>
          </w:p>
          <w:tbl>
            <w:tblPr>
              <w:tblStyle w:val="Table"/>
              <w:tblW w:type="pct" w:w="5000"/>
              <w:tblLayout w:type="fixed"/>
              <w:tblLook w:firstRow="1" w:lastRow="0" w:firstColumn="0" w:lastColumn="0" w:noHBand="0" w:noVBand="0" w:val="0020"/>
            </w:tblPr>
            <w:tblGrid>
              <w:gridCol w:w="819"/>
              <w:gridCol w:w="1570"/>
              <w:gridCol w:w="1570"/>
              <w:gridCol w:w="1570"/>
              <w:gridCol w:w="1570"/>
              <w:gridCol w:w="409"/>
              <w:gridCol w:w="409"/>
            </w:tblGrid>
            <w:tr>
              <w:trPr>
                <w:tblHeader w:val="on"/>
              </w:trPr>
              <w:tc>
                <w:tcPr/>
                <w:p>
                  <w:pPr>
                    <w:pStyle w:val="Compact"/>
                    <w:jc w:val="center"/>
                    <w:jc w:val="center"/>
                  </w:pPr>
                  <w:r>
                    <w:t xml:space="preserve">Seuil</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Score &gt;= 1</w:t>
                  </w:r>
                </w:p>
              </w:tc>
              <w:tc>
                <w:tcPr/>
                <w:p>
                  <w:pPr>
                    <w:pStyle w:val="Compact"/>
                    <w:jc w:val="center"/>
                    <w:jc w:val="center"/>
                  </w:pPr>
                  <w:r>
                    <w:t xml:space="preserve">1 [0.868 ; 1]</w:t>
                  </w:r>
                </w:p>
              </w:tc>
              <w:tc>
                <w:tcPr/>
                <w:p>
                  <w:pPr>
                    <w:pStyle w:val="Compact"/>
                    <w:jc w:val="center"/>
                    <w:jc w:val="center"/>
                  </w:pPr>
                  <w:r>
                    <w:t xml:space="preserve">0.356 [0.219 ; 0.512]</w:t>
                  </w:r>
                </w:p>
              </w:tc>
              <w:tc>
                <w:tcPr/>
                <w:p>
                  <w:pPr>
                    <w:pStyle w:val="Compact"/>
                    <w:jc w:val="center"/>
                    <w:jc w:val="center"/>
                  </w:pPr>
                  <w:r>
                    <w:t xml:space="preserve">0.473 [0.337 ; 0.612]</w:t>
                  </w:r>
                </w:p>
              </w:tc>
              <w:tc>
                <w:tcPr/>
                <w:p>
                  <w:pPr>
                    <w:pStyle w:val="Compact"/>
                    <w:jc w:val="center"/>
                    <w:jc w:val="center"/>
                  </w:pPr>
                  <w:r>
                    <w:t xml:space="preserve">1 [0.794 ; 1]</w:t>
                  </w:r>
                </w:p>
              </w:tc>
              <w:tc>
                <w:tcPr/>
                <w:p>
                  <w:pPr>
                    <w:pStyle w:val="Compact"/>
                    <w:jc w:val="center"/>
                    <w:jc w:val="center"/>
                  </w:pPr>
                  <w:r>
                    <w:t xml:space="preserve">1.55</w:t>
                  </w:r>
                </w:p>
              </w:tc>
              <w:tc>
                <w:tcPr/>
                <w:p>
                  <w:pPr>
                    <w:pStyle w:val="Compact"/>
                    <w:jc w:val="center"/>
                    <w:jc w:val="center"/>
                  </w:pPr>
                  <w:r>
                    <w:t xml:space="preserve">0.00</w:t>
                  </w:r>
                </w:p>
              </w:tc>
            </w:tr>
            <w:tr>
              <w:tc>
                <w:tcPr/>
                <w:p>
                  <w:pPr>
                    <w:pStyle w:val="Compact"/>
                    <w:jc w:val="center"/>
                    <w:jc w:val="center"/>
                  </w:pPr>
                  <w:r>
                    <w:t xml:space="preserve">Score &gt;= 2</w:t>
                  </w:r>
                </w:p>
              </w:tc>
              <w:tc>
                <w:tcPr/>
                <w:p>
                  <w:pPr>
                    <w:pStyle w:val="Compact"/>
                    <w:jc w:val="center"/>
                    <w:jc w:val="center"/>
                  </w:pPr>
                  <w:r>
                    <w:t xml:space="preserve">0.846 [0.651 ; 0.956]</w:t>
                  </w:r>
                </w:p>
              </w:tc>
              <w:tc>
                <w:tcPr/>
                <w:p>
                  <w:pPr>
                    <w:pStyle w:val="Compact"/>
                    <w:jc w:val="center"/>
                    <w:jc w:val="center"/>
                  </w:pPr>
                  <w:r>
                    <w:t xml:space="preserve">0.422 [0.277 ; 0.578]</w:t>
                  </w:r>
                </w:p>
              </w:tc>
              <w:tc>
                <w:tcPr/>
                <w:p>
                  <w:pPr>
                    <w:pStyle w:val="Compact"/>
                    <w:jc w:val="center"/>
                    <w:jc w:val="center"/>
                  </w:pPr>
                  <w:r>
                    <w:t xml:space="preserve">0.458 [0.314 ; 0.608]</w:t>
                  </w:r>
                </w:p>
              </w:tc>
              <w:tc>
                <w:tcPr/>
                <w:p>
                  <w:pPr>
                    <w:pStyle w:val="Compact"/>
                    <w:jc w:val="center"/>
                    <w:jc w:val="center"/>
                  </w:pPr>
                  <w:r>
                    <w:t xml:space="preserve">0.826 [0.612 ; 0.95]</w:t>
                  </w:r>
                </w:p>
              </w:tc>
              <w:tc>
                <w:tcPr/>
                <w:p>
                  <w:pPr>
                    <w:pStyle w:val="Compact"/>
                    <w:jc w:val="center"/>
                    <w:jc w:val="center"/>
                  </w:pPr>
                  <w:r>
                    <w:t xml:space="preserve">1.46</w:t>
                  </w:r>
                </w:p>
              </w:tc>
              <w:tc>
                <w:tcPr/>
                <w:p>
                  <w:pPr>
                    <w:pStyle w:val="Compact"/>
                    <w:jc w:val="center"/>
                    <w:jc w:val="center"/>
                  </w:pPr>
                  <w:r>
                    <w:t xml:space="preserve">0.36</w:t>
                  </w:r>
                </w:p>
              </w:tc>
            </w:tr>
            <w:tr>
              <w:tc>
                <w:tcPr/>
                <w:p>
                  <w:pPr>
                    <w:pStyle w:val="Compact"/>
                    <w:jc w:val="center"/>
                    <w:jc w:val="center"/>
                  </w:pPr>
                  <w:r>
                    <w:t xml:space="preserve">Score &gt;= 3</w:t>
                  </w:r>
                </w:p>
              </w:tc>
              <w:tc>
                <w:tcPr/>
                <w:p>
                  <w:pPr>
                    <w:pStyle w:val="Compact"/>
                    <w:jc w:val="center"/>
                    <w:jc w:val="center"/>
                  </w:pPr>
                  <w:r>
                    <w:t xml:space="preserve">0.654 [0.443 ; 0.828]</w:t>
                  </w:r>
                </w:p>
              </w:tc>
              <w:tc>
                <w:tcPr/>
                <w:p>
                  <w:pPr>
                    <w:pStyle w:val="Compact"/>
                    <w:jc w:val="center"/>
                    <w:jc w:val="center"/>
                  </w:pPr>
                  <w:r>
                    <w:t xml:space="preserve">0.533 [0.379 ; 0.683]</w:t>
                  </w:r>
                </w:p>
              </w:tc>
              <w:tc>
                <w:tcPr/>
                <w:p>
                  <w:pPr>
                    <w:pStyle w:val="Compact"/>
                    <w:jc w:val="center"/>
                    <w:jc w:val="center"/>
                  </w:pPr>
                  <w:r>
                    <w:t xml:space="preserve">0.447 [0.286 ; 0.617]</w:t>
                  </w:r>
                </w:p>
              </w:tc>
              <w:tc>
                <w:tcPr/>
                <w:p>
                  <w:pPr>
                    <w:pStyle w:val="Compact"/>
                    <w:jc w:val="center"/>
                    <w:jc w:val="center"/>
                  </w:pPr>
                  <w:r>
                    <w:t xml:space="preserve">0.727 [0.545 ; 0.867]</w:t>
                  </w:r>
                </w:p>
              </w:tc>
              <w:tc>
                <w:tcPr/>
                <w:p>
                  <w:pPr>
                    <w:pStyle w:val="Compact"/>
                    <w:jc w:val="center"/>
                    <w:jc w:val="center"/>
                  </w:pPr>
                  <w:r>
                    <w:t xml:space="preserve">1.40</w:t>
                  </w:r>
                </w:p>
              </w:tc>
              <w:tc>
                <w:tcPr/>
                <w:p>
                  <w:pPr>
                    <w:pStyle w:val="Compact"/>
                    <w:jc w:val="center"/>
                    <w:jc w:val="center"/>
                  </w:pPr>
                  <w:r>
                    <w:t xml:space="preserve">0.65</w:t>
                  </w:r>
                </w:p>
              </w:tc>
            </w:tr>
            <w:tr>
              <w:tc>
                <w:tcPr/>
                <w:p>
                  <w:pPr>
                    <w:pStyle w:val="Compact"/>
                    <w:jc w:val="center"/>
                    <w:jc w:val="center"/>
                  </w:pPr>
                  <w:r>
                    <w:t xml:space="preserve">Score &gt;= 4</w:t>
                  </w:r>
                </w:p>
              </w:tc>
              <w:tc>
                <w:tcPr/>
                <w:p>
                  <w:pPr>
                    <w:pStyle w:val="Compact"/>
                    <w:jc w:val="center"/>
                    <w:jc w:val="center"/>
                  </w:pPr>
                  <w:r>
                    <w:t xml:space="preserve">0.154 [0.044 ; 0.349]</w:t>
                  </w:r>
                </w:p>
              </w:tc>
              <w:tc>
                <w:tcPr/>
                <w:p>
                  <w:pPr>
                    <w:pStyle w:val="Compact"/>
                    <w:jc w:val="center"/>
                    <w:jc w:val="center"/>
                  </w:pPr>
                  <w:r>
                    <w:t xml:space="preserve">0.711 [0.557 ; 0.836]</w:t>
                  </w:r>
                </w:p>
              </w:tc>
              <w:tc>
                <w:tcPr/>
                <w:p>
                  <w:pPr>
                    <w:pStyle w:val="Compact"/>
                    <w:jc w:val="center"/>
                    <w:jc w:val="center"/>
                  </w:pPr>
                  <w:r>
                    <w:t xml:space="preserve">0.235 [0.068 ; 0.499]</w:t>
                  </w:r>
                </w:p>
              </w:tc>
              <w:tc>
                <w:tcPr/>
                <w:p>
                  <w:pPr>
                    <w:pStyle w:val="Compact"/>
                    <w:jc w:val="center"/>
                    <w:jc w:val="center"/>
                  </w:pPr>
                  <w:r>
                    <w:t xml:space="preserve">0.593 [0.45 ; 0.724]</w:t>
                  </w:r>
                </w:p>
              </w:tc>
              <w:tc>
                <w:tcPr/>
                <w:p>
                  <w:pPr>
                    <w:pStyle w:val="Compact"/>
                    <w:jc w:val="center"/>
                    <w:jc w:val="center"/>
                  </w:pPr>
                  <w:r>
                    <w:t xml:space="preserve">0.53</w:t>
                  </w:r>
                </w:p>
              </w:tc>
              <w:tc>
                <w:tcPr/>
                <w:p>
                  <w:pPr>
                    <w:pStyle w:val="Compact"/>
                    <w:jc w:val="center"/>
                    <w:jc w:val="center"/>
                  </w:pPr>
                  <w:r>
                    <w:t xml:space="preserve">1.19</w:t>
                  </w:r>
                </w:p>
              </w:tc>
            </w:tr>
          </w:tbl>
          <w:bookmarkEnd w:id="15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8" w:name="tbl-comp-a2-score"/>
          <w:p>
            <w:pPr>
              <w:jc w:val="center"/>
            </w:pPr>
            <w:pPr>
              <w:jc w:val="left"/>
              <w:spacing w:before="200"/>
              <w:pStyle w:val="ImageCaption"/>
            </w:pPr>
            <w:r>
              <w:t xml:space="preserve">Table 13: Approche 2 - Comparaison du score global (Se &amp; Sp) : GS final vs confirmation par infiltration</w:t>
            </w:r>
          </w:p>
          <w:tbl>
            <w:tblPr>
              <w:tblStyle w:val="Table"/>
              <w:tblW w:type="pct" w:w="5000"/>
              <w:tblLayout w:type="fixed"/>
              <w:tblLook w:firstRow="1" w:lastRow="0" w:firstColumn="0" w:lastColumn="0" w:noHBand="0" w:noVBand="0" w:val="0020"/>
            </w:tblPr>
            <w:tblGrid>
              <w:gridCol w:w="913"/>
              <w:gridCol w:w="1751"/>
              <w:gridCol w:w="1751"/>
              <w:gridCol w:w="1751"/>
              <w:gridCol w:w="1751"/>
            </w:tblGrid>
            <w:tr>
              <w:trPr>
                <w:tblHeader w:val="on"/>
              </w:trPr>
              <w:tc>
                <w:tcPr/>
                <w:p>
                  <w:pPr>
                    <w:pStyle w:val="Compact"/>
                    <w:jc w:val="center"/>
                    <w:jc w:val="center"/>
                  </w:pPr>
                  <w:r>
                    <w:t xml:space="preserve">Seuil</w:t>
                  </w:r>
                </w:p>
              </w:tc>
              <w:tc>
                <w:tcPr/>
                <w:p>
                  <w:pPr>
                    <w:pStyle w:val="Compact"/>
                    <w:jc w:val="center"/>
                    <w:jc w:val="center"/>
                  </w:pPr>
                  <w:r>
                    <w:t xml:space="preserve">Se GS final</w:t>
                  </w:r>
                </w:p>
              </w:tc>
              <w:tc>
                <w:tcPr/>
                <w:p>
                  <w:pPr>
                    <w:pStyle w:val="Compact"/>
                    <w:jc w:val="center"/>
                    <w:jc w:val="center"/>
                  </w:pPr>
                  <w:r>
                    <w:t xml:space="preserve">Se GS infiltr.+</w:t>
                  </w:r>
                </w:p>
              </w:tc>
              <w:tc>
                <w:tcPr/>
                <w:p>
                  <w:pPr>
                    <w:pStyle w:val="Compact"/>
                    <w:jc w:val="center"/>
                    <w:jc w:val="center"/>
                  </w:pPr>
                  <w:r>
                    <w:t xml:space="preserve">Sp GS final</w:t>
                  </w:r>
                </w:p>
              </w:tc>
              <w:tc>
                <w:tcPr/>
                <w:p>
                  <w:pPr>
                    <w:pStyle w:val="Compact"/>
                    <w:jc w:val="center"/>
                    <w:jc w:val="center"/>
                  </w:pPr>
                  <w:r>
                    <w:t xml:space="preserve">Sp GS infiltr.+</w:t>
                  </w:r>
                </w:p>
              </w:tc>
            </w:tr>
            <w:tr>
              <w:tc>
                <w:tcPr/>
                <w:p>
                  <w:pPr>
                    <w:pStyle w:val="Compact"/>
                    <w:jc w:val="center"/>
                    <w:jc w:val="center"/>
                  </w:pPr>
                  <w:r>
                    <w:t xml:space="preserve">Score &gt;= 1</w:t>
                  </w:r>
                </w:p>
              </w:tc>
              <w:tc>
                <w:tcPr/>
                <w:p>
                  <w:pPr>
                    <w:pStyle w:val="Compact"/>
                    <w:jc w:val="center"/>
                    <w:jc w:val="center"/>
                  </w:pPr>
                  <w:r>
                    <w:t xml:space="preserve">0.956 [0.849 ; 0.995]</w:t>
                  </w:r>
                </w:p>
              </w:tc>
              <w:tc>
                <w:tcPr/>
                <w:p>
                  <w:pPr>
                    <w:pStyle w:val="Compact"/>
                    <w:jc w:val="center"/>
                    <w:jc w:val="center"/>
                  </w:pPr>
                  <w:r>
                    <w:t xml:space="preserve">1 [0.868 ; 1]</w:t>
                  </w:r>
                </w:p>
              </w:tc>
              <w:tc>
                <w:tcPr/>
                <w:p>
                  <w:pPr>
                    <w:pStyle w:val="Compact"/>
                    <w:jc w:val="center"/>
                    <w:jc w:val="center"/>
                  </w:pPr>
                  <w:r>
                    <w:t xml:space="preserve">0.538 [0.334 ; 0.734]</w:t>
                  </w:r>
                </w:p>
              </w:tc>
              <w:tc>
                <w:tcPr/>
                <w:p>
                  <w:pPr>
                    <w:pStyle w:val="Compact"/>
                    <w:jc w:val="center"/>
                    <w:jc w:val="center"/>
                  </w:pPr>
                  <w:r>
                    <w:t xml:space="preserve">0.356 [0.219 ; 0.512]</w:t>
                  </w:r>
                </w:p>
              </w:tc>
            </w:tr>
            <w:tr>
              <w:tc>
                <w:tcPr/>
                <w:p>
                  <w:pPr>
                    <w:pStyle w:val="Compact"/>
                    <w:jc w:val="center"/>
                    <w:jc w:val="center"/>
                  </w:pPr>
                  <w:r>
                    <w:t xml:space="preserve">Score &gt;= 2</w:t>
                  </w:r>
                </w:p>
              </w:tc>
              <w:tc>
                <w:tcPr/>
                <w:p>
                  <w:pPr>
                    <w:pStyle w:val="Compact"/>
                    <w:jc w:val="center"/>
                    <w:jc w:val="center"/>
                  </w:pPr>
                  <w:r>
                    <w:t xml:space="preserve">0.844 [0.705 ; 0.935]</w:t>
                  </w:r>
                </w:p>
              </w:tc>
              <w:tc>
                <w:tcPr/>
                <w:p>
                  <w:pPr>
                    <w:pStyle w:val="Compact"/>
                    <w:jc w:val="center"/>
                    <w:jc w:val="center"/>
                  </w:pPr>
                  <w:r>
                    <w:t xml:space="preserve">0.846 [0.651 ; 0.956]</w:t>
                  </w:r>
                </w:p>
              </w:tc>
              <w:tc>
                <w:tcPr/>
                <w:p>
                  <w:pPr>
                    <w:pStyle w:val="Compact"/>
                    <w:jc w:val="center"/>
                    <w:jc w:val="center"/>
                  </w:pPr>
                  <w:r>
                    <w:t xml:space="preserve">0.615 [0.406 ; 0.798]</w:t>
                  </w:r>
                </w:p>
              </w:tc>
              <w:tc>
                <w:tcPr/>
                <w:p>
                  <w:pPr>
                    <w:pStyle w:val="Compact"/>
                    <w:jc w:val="center"/>
                    <w:jc w:val="center"/>
                  </w:pPr>
                  <w:r>
                    <w:t xml:space="preserve">0.422 [0.277 ; 0.578]</w:t>
                  </w:r>
                </w:p>
              </w:tc>
            </w:tr>
            <w:tr>
              <w:tc>
                <w:tcPr/>
                <w:p>
                  <w:pPr>
                    <w:pStyle w:val="Compact"/>
                    <w:jc w:val="center"/>
                    <w:jc w:val="center"/>
                  </w:pPr>
                  <w:r>
                    <w:t xml:space="preserve">Score &gt;= 3</w:t>
                  </w:r>
                </w:p>
              </w:tc>
              <w:tc>
                <w:tcPr/>
                <w:p>
                  <w:pPr>
                    <w:pStyle w:val="Compact"/>
                    <w:jc w:val="center"/>
                    <w:jc w:val="center"/>
                  </w:pPr>
                  <w:r>
                    <w:t xml:space="preserve">0.644 [0.488 ; 0.781]</w:t>
                  </w:r>
                </w:p>
              </w:tc>
              <w:tc>
                <w:tcPr/>
                <w:p>
                  <w:pPr>
                    <w:pStyle w:val="Compact"/>
                    <w:jc w:val="center"/>
                    <w:jc w:val="center"/>
                  </w:pPr>
                  <w:r>
                    <w:t xml:space="preserve">0.654 [0.443 ; 0.828]</w:t>
                  </w:r>
                </w:p>
              </w:tc>
              <w:tc>
                <w:tcPr/>
                <w:p>
                  <w:pPr>
                    <w:pStyle w:val="Compact"/>
                    <w:jc w:val="center"/>
                    <w:jc w:val="center"/>
                  </w:pPr>
                  <w:r>
                    <w:t xml:space="preserve">0.654 [0.443 ; 0.828]</w:t>
                  </w:r>
                </w:p>
              </w:tc>
              <w:tc>
                <w:tcPr/>
                <w:p>
                  <w:pPr>
                    <w:pStyle w:val="Compact"/>
                    <w:jc w:val="center"/>
                    <w:jc w:val="center"/>
                  </w:pPr>
                  <w:r>
                    <w:t xml:space="preserve">0.533 [0.379 ; 0.683]</w:t>
                  </w:r>
                </w:p>
              </w:tc>
            </w:tr>
            <w:tr>
              <w:tc>
                <w:tcPr/>
                <w:p>
                  <w:pPr>
                    <w:pStyle w:val="Compact"/>
                    <w:jc w:val="center"/>
                    <w:jc w:val="center"/>
                  </w:pPr>
                  <w:r>
                    <w:t xml:space="preserve">Score &gt;= 4</w:t>
                  </w:r>
                </w:p>
              </w:tc>
              <w:tc>
                <w:tcPr/>
                <w:p>
                  <w:pPr>
                    <w:pStyle w:val="Compact"/>
                    <w:jc w:val="center"/>
                    <w:jc w:val="center"/>
                  </w:pPr>
                  <w:r>
                    <w:t xml:space="preserve">0.244 [0.129 ; 0.395]</w:t>
                  </w:r>
                </w:p>
              </w:tc>
              <w:tc>
                <w:tcPr/>
                <w:p>
                  <w:pPr>
                    <w:pStyle w:val="Compact"/>
                    <w:jc w:val="center"/>
                    <w:jc w:val="center"/>
                  </w:pPr>
                  <w:r>
                    <w:t xml:space="preserve">0.154 [0.044 ; 0.349]</w:t>
                  </w:r>
                </w:p>
              </w:tc>
              <w:tc>
                <w:tcPr/>
                <w:p>
                  <w:pPr>
                    <w:pStyle w:val="Compact"/>
                    <w:jc w:val="center"/>
                    <w:jc w:val="center"/>
                  </w:pPr>
                  <w:r>
                    <w:t xml:space="preserve">0.769 [0.564 ; 0.91]</w:t>
                  </w:r>
                </w:p>
              </w:tc>
              <w:tc>
                <w:tcPr/>
                <w:p>
                  <w:pPr>
                    <w:pStyle w:val="Compact"/>
                    <w:jc w:val="center"/>
                    <w:jc w:val="center"/>
                  </w:pPr>
                  <w:r>
                    <w:t xml:space="preserve">0.711 [0.557 ; 0.836]</w:t>
                  </w:r>
                </w:p>
              </w:tc>
            </w:tr>
          </w:tbl>
          <w:bookmarkEnd w:id="158"/>
          <w:p/>
        </w:tc>
      </w:tr>
    </w:tbl>
    <w:bookmarkStart w:id="161" w:name="refs"/>
    <w:bookmarkStart w:id="160" w:name="X130cc6218cdcb99520dccce7f8b213552eaa63a"/>
    <w:p>
      <w:pPr>
        <w:pStyle w:val="Bibliography"/>
      </w:pPr>
      <w:r>
        <w:t xml:space="preserve">Landis, J. R., and G. G. Koch. 1977.</w:t>
      </w:r>
      <w:r>
        <w:t xml:space="preserve"> </w:t>
      </w:r>
      <w:r>
        <w:t xml:space="preserve">“</w:t>
      </w:r>
      <w:hyperlink r:id="rId159">
        <w:r>
          <w:rPr>
            <w:rStyle w:val="Hyperlink"/>
          </w:rPr>
          <w:t xml:space="preserve">The Measurement of Observer Agreement for Categorical Data</w:t>
        </w:r>
      </w:hyperlink>
      <w:r>
        <w:t xml:space="preserve">.”</w:t>
      </w:r>
      <w:r>
        <w:t xml:space="preserve"> </w:t>
      </w:r>
      <w:r>
        <w:rPr>
          <w:i/>
          <w:iCs/>
        </w:rPr>
        <w:t xml:space="preserve">Biometrics</w:t>
      </w:r>
      <w:r>
        <w:t xml:space="preserve"> </w:t>
      </w:r>
      <w:r>
        <w:t xml:space="preserve">33 (1): 159–74.</w:t>
      </w:r>
    </w:p>
    <w:bookmarkEnd w:id="160"/>
    <w:bookmarkEnd w:id="161"/>
    <w:bookmarkEnd w:id="162"/>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88" Target="media/rId88.png" /><Relationship Type="http://schemas.openxmlformats.org/officeDocument/2006/relationships/image" Id="rId126" Target="media/rId126.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80" Target="media/rId80.png" /><Relationship Type="http://schemas.openxmlformats.org/officeDocument/2006/relationships/image" Id="rId53" Target="media/rId53.png" /><Relationship Type="http://schemas.openxmlformats.org/officeDocument/2006/relationships/image" Id="rId138" Target="media/rId138.png" /><Relationship Type="http://schemas.openxmlformats.org/officeDocument/2006/relationships/image" Id="rId41" Target="media/rId41.png" /><Relationship Type="http://schemas.openxmlformats.org/officeDocument/2006/relationships/image" Id="rId57" Target="media/rId57.png" /><Relationship Type="http://schemas.openxmlformats.org/officeDocument/2006/relationships/image" Id="rId113" Target="media/rId113.png" /><Relationship Type="http://schemas.openxmlformats.org/officeDocument/2006/relationships/image" Id="rId110" Target="media/rId110.png" /><Relationship Type="http://schemas.openxmlformats.org/officeDocument/2006/relationships/image" Id="rId133" Target="media/rId133.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01" Target="media/rId101.png" /><Relationship Type="http://schemas.openxmlformats.org/officeDocument/2006/relationships/image" Id="rId34" Target="media/rId34.png" /><Relationship Type="http://schemas.openxmlformats.org/officeDocument/2006/relationships/image" Id="rId49" Target="media/rId49.png" /><Relationship Type="http://schemas.openxmlformats.org/officeDocument/2006/relationships/hyperlink" Id="rId159" Target="https://www.ncbi.nlm.nih.gov/pubmed/843571" TargetMode="External" /></Relationships>
</file>

<file path=word/_rels/footnotes.xml.rels><?xml version="1.0" encoding="UTF-8"?><Relationships xmlns="http://schemas.openxmlformats.org/package/2006/relationships"><Relationship Type="http://schemas.openxmlformats.org/officeDocument/2006/relationships/hyperlink" Id="rId159" Target="https://www.ncbi.nlm.nih.gov/pubmed/8435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Stats Thèse Brieuc</dc:title>
  <dc:creator>Thomas Husson</dc:creator>
  <cp:keywords/>
  <dcterms:created xsi:type="dcterms:W3CDTF">2026-07-10T11:10:14Z</dcterms:created>
  <dcterms:modified xsi:type="dcterms:W3CDTF">2026-07-10T11:10:14Z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biblio.bib</vt:lpwstr>
  </property>
  <property fmtid="{D5CDD505-2E9C-101B-9397-08002B2CF9AE}" pid="5" name="by-author">
    <vt:lpwstr/>
  </property>
  <property fmtid="{D5CDD505-2E9C-101B-9397-08002B2CF9AE}" pid="6" name="geometry">
    <vt:lpwstr>margin=2.5cm</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refer-pdf">
    <vt:lpwstr>True</vt:lpwstr>
  </property>
  <property fmtid="{D5CDD505-2E9C-101B-9397-08002B2CF9AE}" pid="12" name="toc-title">
    <vt:lpwstr>Table of contents</vt:lpwstr>
  </property>
</Properties>
</file>