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7.png" ContentType="image/png"/>
  <Override PartName="/word/media/rId117.png" ContentType="image/png"/>
  <Override PartName="/word/media/rId121.png" ContentType="image/png"/>
  <Override PartName="/word/media/rId88.png" ContentType="image/png"/>
  <Override PartName="/word/media/rId126.png" ContentType="image/png"/>
  <Override PartName="/word/media/rId77.png" ContentType="image/png"/>
  <Override PartName="/word/media/rId83.png" ContentType="image/png"/>
  <Override PartName="/word/media/rId80.png" ContentType="image/png"/>
  <Override PartName="/word/media/rId53.png" ContentType="image/png"/>
  <Override PartName="/word/media/rId138.png" ContentType="image/png"/>
  <Override PartName="/word/media/rId41.png" ContentType="image/png"/>
  <Override PartName="/word/media/rId57.png" ContentType="image/png"/>
  <Override PartName="/word/media/rId113.png" ContentType="image/png"/>
  <Override PartName="/word/media/rId110.png" ContentType="image/png"/>
  <Override PartName="/word/media/rId133.png" ContentType="image/png"/>
  <Override PartName="/word/media/rId94.png" ContentType="image/png"/>
  <Override PartName="/word/media/rId98.png" ContentType="image/png"/>
  <Override PartName="/word/media/rId104.png" ContentType="image/png"/>
  <Override PartName="/word/media/rId101.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au gold standard final issu de la colonne</w:t>
      </w:r>
      <w:r>
        <w:t xml:space="preserve"> </w:t>
      </w:r>
      <w:r>
        <w:rPr>
          <w:rStyle w:val="VerbatimChar"/>
        </w:rPr>
        <w:t xml:space="preserve">Gold_Standard</w:t>
      </w:r>
      <w:r>
        <w:t xml:space="preserve">, corrigée par un senior.</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 gold standard, l’analyse principale utilise la colonne</w:t>
      </w:r>
      <w:r>
        <w:t xml:space="preserve"> </w:t>
      </w:r>
      <w:r>
        <w:rPr>
          <w:rStyle w:val="VerbatimChar"/>
        </w:rPr>
        <w:t xml:space="preserve">Gold_Standard</w:t>
      </w:r>
      <w:r>
        <w:t xml:space="preserve">, corrigée par un senior. La réponse à l’infiltration est conservée uniquement comme analyse secondaire exploratoire, car 35 patients ont eu une infiltration et 35 patients ont un résultat renseigné.</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final était renseigné et interprétable dans la base analysée. Dans cette version du recueil, la variable</w:t>
      </w:r>
      <w:r>
        <w:t xml:space="preserve"> </w:t>
      </w:r>
      <w:r>
        <w:rPr>
          <w:rStyle w:val="VerbatimChar"/>
        </w:rPr>
        <w:t xml:space="preserve">Gold_Standard</w:t>
      </w:r>
      <w:r>
        <w:t xml:space="preserve"> </w:t>
      </w:r>
      <w:r>
        <w:t xml:space="preserve">correspond au diagnostic final corrigé par un senior et 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final corrigé par senior.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final corrigé par senior.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 L’association entre chaque ULNT et le gold standard final a été étudiée par le test exact de Fisher.</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Deux types de combinaisons ont été évaluées : des combinaisons conjonctives entre les différents ULNT, ainsi qu’un score global de positivité ULNT, défini comme le nombre total d’ULNT positifs chez un même patient. Ce score global a été étudié selon différents seuils de positivité. L’importance relative de chaque test dans ce score global a été explorée par une approche de type Shapley value (permutation de l’ordre d’inclusion des tests dans le score, et estimation de la contribution de chaque test à la sensibilité et à la spécificité du score à chaque seuil).</w:t>
      </w:r>
    </w:p>
    <w:p>
      <w:pPr>
        <w:pStyle w:val="BodyText"/>
      </w:pPr>
      <w:r>
        <w:t xml:space="preserve">Des analyses exploratoires ont également été réalisées. La première analyse étudiant la performance des tests selon le niveau métamérique. Pour chaque niveau, la performance de chaque ULNT a été évaluée ainsi que l’association entre le niveau métamérique et la probabilité de névralgie cervico-brachiale. La seconde analyse exploratoire a porté sur une définition secondaire plus restrictive des cas positifs, associant un gold standard final positif et une infiltration thérapeutique positive ; elle ne remplace pas le gold standard final corrigé par senior.</w:t>
      </w:r>
    </w:p>
    <w:p>
      <w:pPr>
        <w:pStyle w:val="BodyText"/>
      </w:pPr>
      <w:r>
        <w:t xml:space="preserve">Les résultats sont présentés sous forme d’estimations ponctuelles avec leurs intervalles de confiance à 95 %. Les variables quantitatives ont été décrites par des paramètes de position et de dispersion adapté à leur distribution.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étant donné le caractère observationnel de l’étude.</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26 cas négatifs sur un effectif total de 71 patients, soit une prévalence de NCB de 63.4 %.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71 patients</w:t>
            </w:r>
          </w:p>
          <w:p>
            <w:pPr>
              <w:pStyle w:val="Compact"/>
              <w:numPr>
                <w:ilvl w:val="1"/>
                <w:numId w:val="1006"/>
              </w:numPr>
            </w:pPr>
            <w:r>
              <w:t xml:space="preserve">Effectif négatif : 26 patients</w:t>
            </w:r>
          </w:p>
          <w:p>
            <w:pPr>
              <w:pStyle w:val="Compact"/>
              <w:numPr>
                <w:ilvl w:val="1"/>
                <w:numId w:val="1006"/>
              </w:numPr>
            </w:pPr>
            <w:r>
              <w:t xml:space="preserve">Prévalence observée : 63.4 %</w:t>
            </w:r>
          </w:p>
          <w:p>
            <w:pPr>
              <w:pStyle w:val="Compact"/>
              <w:numPr>
                <w:ilvl w:val="1"/>
                <w:numId w:val="1006"/>
              </w:numPr>
            </w:pPr>
            <w:r>
              <w:t xml:space="preserve">Spécificité observée pour la combinaison de tests la plus spécifique : 0.769, avec un IC95% de [0.564 ; 0.91]</w:t>
            </w:r>
          </w:p>
          <w:p>
            <w:pPr>
              <w:pStyle w:val="Compact"/>
              <w:numPr>
                <w:ilvl w:val="1"/>
                <w:numId w:val="1006"/>
              </w:numPr>
            </w:pPr>
            <w:r>
              <w:t xml:space="preserve">Marge de précision observée pour la spécificité : 0.206, donc supérieure à la marge de précision prévue de 0.149</w:t>
            </w:r>
          </w:p>
          <w:p>
            <w:r>
              <w:pict>
                <v:rect style="width:0;height:1.5pt" o:hralign="center" o:hrstd="t" o:hr="t"/>
              </w:pict>
            </w:r>
          </w:p>
          <w:p>
            <w:pPr>
              <w:pStyle w:val="FirstParagraph"/>
            </w:pPr>
            <w:r>
              <w:t xml:space="preserve">Ce que je propose : l’effectif total requis est atteint (71 patients versus 68). En revanche, le nombre de sujets négatifs n’est pas atteint (26 versus 27), en lien avec une prévalence observée de 63.4 % contre 60 % attendus.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64"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43.5</w:t>
            </w:r>
          </w:p>
        </w:tc>
        <w:tc>
          <w:tcPr/>
          <w:p>
            <w:pPr>
              <w:pStyle w:val="Compact"/>
              <w:jc w:val="right"/>
            </w:pPr>
            <w:r>
              <w:t xml:space="preserve">51</w:t>
            </w:r>
          </w:p>
        </w:tc>
        <w:tc>
          <w:tcPr/>
          <w:p>
            <w:pPr>
              <w:pStyle w:val="Compact"/>
              <w:jc w:val="right"/>
            </w:pPr>
            <w:r>
              <w:t xml:space="preserve">51.73239</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last_recueil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71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last_recueil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last_recueil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last_recueil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26.39394</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66 patients sur 71.</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last_recueil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38</w:t>
            </w:r>
          </w:p>
        </w:tc>
        <w:tc>
          <w:tcPr/>
          <w:p>
            <w:pPr>
              <w:pStyle w:val="Compact"/>
              <w:jc w:val="center"/>
            </w:pPr>
            <w:r>
              <w:t xml:space="preserve">58.5</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41.5</w:t>
            </w:r>
          </w:p>
        </w:tc>
      </w:tr>
    </w:tbl>
    <w:p>
      <w:pPr>
        <w:pStyle w:val="Compact"/>
        <w:numPr>
          <w:ilvl w:val="0"/>
          <w:numId w:val="1012"/>
        </w:numPr>
      </w:pPr>
      <w:r>
        <w:t xml:space="preserve">Le statut tabagique est renseigné chez 65 patients sur 71.</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last_recueil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36</w:t>
            </w:r>
          </w:p>
        </w:tc>
        <w:tc>
          <w:tcPr/>
          <w:p>
            <w:pPr>
              <w:pStyle w:val="Compact"/>
              <w:jc w:val="center"/>
            </w:pPr>
            <w:r>
              <w:t xml:space="preserve">50.7</w:t>
            </w:r>
          </w:p>
        </w:tc>
      </w:tr>
      <w:tr>
        <w:tc>
          <w:tcPr/>
          <w:p>
            <w:pPr>
              <w:pStyle w:val="Compact"/>
              <w:jc w:val="center"/>
            </w:pPr>
            <w:r>
              <w:t xml:space="preserve">Oui</w:t>
            </w:r>
          </w:p>
        </w:tc>
        <w:tc>
          <w:tcPr/>
          <w:p>
            <w:pPr>
              <w:pStyle w:val="Compact"/>
              <w:jc w:val="center"/>
            </w:pPr>
            <w:r>
              <w:t xml:space="preserve">35</w:t>
            </w:r>
          </w:p>
        </w:tc>
        <w:tc>
          <w:tcPr/>
          <w:p>
            <w:pPr>
              <w:pStyle w:val="Compact"/>
              <w:jc w:val="center"/>
            </w:pPr>
            <w:r>
              <w:t xml:space="preserve">49.3</w:t>
            </w:r>
          </w:p>
        </w:tc>
      </w:tr>
    </w:tbl>
    <w:p>
      <w:pPr>
        <w:pStyle w:val="Compact"/>
        <w:numPr>
          <w:ilvl w:val="0"/>
          <w:numId w:val="1013"/>
        </w:numPr>
      </w:pPr>
      <w:r>
        <w:t xml:space="preserve">Le statut d’infiltration est interprétable chez 71 patients sur 71.</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last_recueil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8</w:t>
            </w:r>
          </w:p>
        </w:tc>
        <w:tc>
          <w:tcPr/>
          <w:p>
            <w:pPr>
              <w:pStyle w:val="Compact"/>
              <w:jc w:val="center"/>
            </w:pPr>
            <w:r>
              <w:t xml:space="preserve">22.9</w:t>
            </w:r>
          </w:p>
        </w:tc>
      </w:tr>
      <w:tr>
        <w:tc>
          <w:tcPr/>
          <w:p>
            <w:pPr>
              <w:pStyle w:val="Compact"/>
              <w:jc w:val="center"/>
            </w:pPr>
            <w:r>
              <w:t xml:space="preserve">Positif</w:t>
            </w:r>
          </w:p>
        </w:tc>
        <w:tc>
          <w:tcPr/>
          <w:p>
            <w:pPr>
              <w:pStyle w:val="Compact"/>
              <w:jc w:val="center"/>
            </w:pPr>
            <w:r>
              <w:t xml:space="preserve">27</w:t>
            </w:r>
          </w:p>
        </w:tc>
        <w:tc>
          <w:tcPr/>
          <w:p>
            <w:pPr>
              <w:pStyle w:val="Compact"/>
              <w:jc w:val="center"/>
            </w:pPr>
            <w:r>
              <w:t xml:space="preserve">77.1</w:t>
            </w:r>
          </w:p>
        </w:tc>
      </w:tr>
    </w:tbl>
    <w:p>
      <w:pPr>
        <w:pStyle w:val="Compact"/>
        <w:numPr>
          <w:ilvl w:val="0"/>
          <w:numId w:val="1014"/>
        </w:numPr>
      </w:pPr>
      <w:r>
        <w:t xml:space="preserve">Parmi les 35 patients ayant eu une infiltration, le résultat est renseigné chez 35.</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last_recueil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71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(23.0,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(35%)</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6"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6"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(67.6%)</w:t>
            </w:r>
          </w:p>
        </w:tc>
        <w:tc>
          <w:tcPr/>
          <w:p>
            <w:pPr>
              <w:pStyle w:val="Compact"/>
              <w:jc w:val="center"/>
            </w:pPr>
            <w:r>
              <w:t xml:space="preserve">23 (32.4%)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38 (53.5%)</w:t>
            </w:r>
          </w:p>
        </w:tc>
        <w:tc>
          <w:tcPr/>
          <w:p>
            <w:pPr>
              <w:pStyle w:val="Compact"/>
              <w:jc w:val="center"/>
            </w:pPr>
            <w:r>
              <w:t xml:space="preserve">10 (14.1%)</w:t>
            </w:r>
          </w:p>
        </w:tc>
        <w:tc>
          <w:tcPr/>
          <w:p>
            <w:pPr>
              <w:pStyle w:val="Compact"/>
              <w:jc w:val="center"/>
            </w:pPr>
            <w:r>
              <w:t xml:space="preserve">48 (67.6%)</w:t>
            </w:r>
          </w:p>
        </w:tc>
      </w:tr>
      <w:tr>
        <w:tc>
          <w:tcPr/>
          <w:p>
            <w:pPr>
              <w:pStyle w:val="Compact"/>
              <w:jc w:val="center"/>
            </w:pPr>
            <w:r>
              <w:t xml:space="preserve">T-</w:t>
            </w:r>
          </w:p>
        </w:tc>
        <w:tc>
          <w:tcPr/>
          <w:p>
            <w:pPr>
              <w:pStyle w:val="Compact"/>
              <w:jc w:val="center"/>
            </w:pPr>
            <w:r>
              <w:t xml:space="preserve">7 (9.9%)</w:t>
            </w:r>
          </w:p>
        </w:tc>
        <w:tc>
          <w:tcPr/>
          <w:p>
            <w:pPr>
              <w:pStyle w:val="Compact"/>
              <w:jc w:val="center"/>
            </w:pPr>
            <w:r>
              <w:t xml:space="preserve">16 (22.5%)</w:t>
            </w:r>
          </w:p>
        </w:tc>
        <w:tc>
          <w:tcPr/>
          <w:p>
            <w:pPr>
              <w:pStyle w:val="Compact"/>
              <w:jc w:val="center"/>
            </w:pPr>
            <w:r>
              <w:t xml:space="preserve">23 (32.4%)</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71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44"/>
        <w:gridCol w:w="1320"/>
        <w:gridCol w:w="1320"/>
        <w:gridCol w:w="1262"/>
        <w:gridCol w:w="1320"/>
        <w:gridCol w:w="286"/>
        <w:gridCol w:w="344"/>
        <w:gridCol w:w="459"/>
        <w:gridCol w:w="1262"/>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w:t>
            </w:r>
          </w:p>
        </w:tc>
        <w:tc>
          <w:tcPr/>
          <w:p>
            <w:pPr>
              <w:pStyle w:val="Compact"/>
              <w:jc w:val="center"/>
            </w:pPr>
            <w:r>
              <w:t xml:space="preserve">0.25</w:t>
            </w:r>
          </w:p>
        </w:tc>
        <w:tc>
          <w:tcPr/>
          <w:p>
            <w:pPr>
              <w:pStyle w:val="Compact"/>
              <w:jc w:val="center"/>
            </w:pPr>
            <w:r>
              <w:t xml:space="preserve">0.46</w:t>
            </w:r>
          </w:p>
        </w:tc>
        <w:tc>
          <w:tcPr/>
          <w:p>
            <w:pPr>
              <w:pStyle w:val="Compact"/>
              <w:jc w:val="center"/>
            </w:pPr>
            <w:r>
              <w:t xml:space="preserve">0.73 [0.621 ; 0.839]</w:t>
            </w:r>
          </w:p>
        </w:tc>
      </w:tr>
    </w:tbl>
    <w:bookmarkEnd w:id="64"/>
    <w:bookmarkStart w:id="65"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élevée (0.844) : repère bien les patients avec NCB</w:t>
      </w:r>
    </w:p>
    <w:p>
      <w:pPr>
        <w:pStyle w:val="Compact"/>
        <w:numPr>
          <w:ilvl w:val="1"/>
          <w:numId w:val="1019"/>
        </w:numPr>
      </w:pPr>
      <w:r>
        <w:t xml:space="preserve">LR- bas (0.25) : un test négatif rend la NCB moins probable (probabilité post-test = probabilité pré-test x LR-).</w:t>
      </w:r>
    </w:p>
    <w:p>
      <w:r>
        <w:br w:type="page"/>
      </w:r>
    </w:p>
    <w:bookmarkEnd w:id="65"/>
    <w:bookmarkEnd w:id="66"/>
    <w:bookmarkStart w:id="69" w:name="ulnt2a"/>
    <w:p>
      <w:pPr>
        <w:pStyle w:val="Heading3"/>
      </w:pPr>
      <w:r>
        <w:t xml:space="preserve">ULNT2a</w:t>
      </w:r>
    </w:p>
    <w:bookmarkStart w:id="67"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64.8</w:t>
            </w:r>
          </w:p>
        </w:tc>
        <w:tc>
          <w:tcPr/>
          <w:p>
            <w:pPr>
              <w:pStyle w:val="Compact"/>
              <w:jc w:val="center"/>
            </w:pPr>
            <w:r>
              <w:t xml:space="preserve">25</w:t>
            </w:r>
          </w:p>
        </w:tc>
        <w:tc>
          <w:tcPr/>
          <w:p>
            <w:pPr>
              <w:pStyle w:val="Compact"/>
              <w:jc w:val="center"/>
            </w:pPr>
            <w:r>
              <w:t xml:space="preserve">35.2</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35 (49.3%)</w:t>
            </w:r>
          </w:p>
        </w:tc>
        <w:tc>
          <w:tcPr/>
          <w:p>
            <w:pPr>
              <w:pStyle w:val="Compact"/>
              <w:jc w:val="center"/>
            </w:pPr>
            <w:r>
              <w:t xml:space="preserve">11 (15.5%)</w:t>
            </w:r>
          </w:p>
        </w:tc>
        <w:tc>
          <w:tcPr/>
          <w:p>
            <w:pPr>
              <w:pStyle w:val="Compact"/>
              <w:jc w:val="center"/>
            </w:pPr>
            <w:r>
              <w:t xml:space="preserve">46 (64.8%)</w:t>
            </w:r>
          </w:p>
        </w:tc>
      </w:tr>
      <w:tr>
        <w:tc>
          <w:tcPr/>
          <w:p>
            <w:pPr>
              <w:pStyle w:val="Compact"/>
              <w:jc w:val="center"/>
            </w:pPr>
            <w:r>
              <w:t xml:space="preserve">T-</w:t>
            </w:r>
          </w:p>
        </w:tc>
        <w:tc>
          <w:tcPr/>
          <w:p>
            <w:pPr>
              <w:pStyle w:val="Compact"/>
              <w:jc w:val="center"/>
            </w:pPr>
            <w:r>
              <w:t xml:space="preserve">10 (14.1%)</w:t>
            </w:r>
          </w:p>
        </w:tc>
        <w:tc>
          <w:tcPr/>
          <w:p>
            <w:pPr>
              <w:pStyle w:val="Compact"/>
              <w:jc w:val="center"/>
            </w:pPr>
            <w:r>
              <w:t xml:space="preserve">15 (21.1%)</w:t>
            </w:r>
          </w:p>
        </w:tc>
        <w:tc>
          <w:tcPr/>
          <w:p>
            <w:pPr>
              <w:pStyle w:val="Compact"/>
              <w:jc w:val="center"/>
            </w:pPr>
            <w:r>
              <w:t xml:space="preserve">25 (35.2%)</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310"/>
        <w:gridCol w:w="1310"/>
        <w:gridCol w:w="1310"/>
        <w:gridCol w:w="1196"/>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c>
          <w:tcPr/>
          <w:p>
            <w:pPr>
              <w:pStyle w:val="Compact"/>
              <w:jc w:val="center"/>
            </w:pPr>
            <w:r>
              <w:t xml:space="preserve">0.677 [0.563 ; 0.792]</w:t>
            </w:r>
          </w:p>
        </w:tc>
      </w:tr>
    </w:tbl>
    <w:bookmarkEnd w:id="67"/>
    <w:bookmarkStart w:id="68"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68"/>
    <w:bookmarkEnd w:id="69"/>
    <w:bookmarkStart w:id="72" w:name="ulnt2b"/>
    <w:p>
      <w:pPr>
        <w:pStyle w:val="Heading3"/>
      </w:pPr>
      <w:r>
        <w:t xml:space="preserve">ULNT2b</w:t>
      </w:r>
    </w:p>
    <w:bookmarkStart w:id="70"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54.9</w:t>
            </w:r>
          </w:p>
        </w:tc>
        <w:tc>
          <w:tcPr/>
          <w:p>
            <w:pPr>
              <w:pStyle w:val="Compact"/>
              <w:jc w:val="center"/>
            </w:pPr>
            <w:r>
              <w:t xml:space="preserve">32</w:t>
            </w:r>
          </w:p>
        </w:tc>
        <w:tc>
          <w:tcPr/>
          <w:p>
            <w:pPr>
              <w:pStyle w:val="Compact"/>
              <w:jc w:val="center"/>
            </w:pPr>
            <w:r>
              <w:t xml:space="preserve">45.1</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(43.7%)</w:t>
            </w:r>
          </w:p>
        </w:tc>
        <w:tc>
          <w:tcPr/>
          <w:p>
            <w:pPr>
              <w:pStyle w:val="Compact"/>
              <w:jc w:val="center"/>
            </w:pPr>
            <w:r>
              <w:t xml:space="preserve">8 (11.3%)</w:t>
            </w:r>
          </w:p>
        </w:tc>
        <w:tc>
          <w:tcPr/>
          <w:p>
            <w:pPr>
              <w:pStyle w:val="Compact"/>
              <w:jc w:val="center"/>
            </w:pPr>
            <w:r>
              <w:t xml:space="preserve">39 (54.9%)</w:t>
            </w:r>
          </w:p>
        </w:tc>
      </w:tr>
      <w:tr>
        <w:tc>
          <w:tcPr/>
          <w:p>
            <w:pPr>
              <w:pStyle w:val="Compact"/>
              <w:jc w:val="center"/>
            </w:pPr>
            <w:r>
              <w:t xml:space="preserve">T-</w:t>
            </w:r>
          </w:p>
        </w:tc>
        <w:tc>
          <w:tcPr/>
          <w:p>
            <w:pPr>
              <w:pStyle w:val="Compact"/>
              <w:jc w:val="center"/>
            </w:pPr>
            <w:r>
              <w:t xml:space="preserve">14 (19.7%)</w:t>
            </w:r>
          </w:p>
        </w:tc>
        <w:tc>
          <w:tcPr/>
          <w:p>
            <w:pPr>
              <w:pStyle w:val="Compact"/>
              <w:jc w:val="center"/>
            </w:pPr>
            <w:r>
              <w:t xml:space="preserve">18 (25.4%)</w:t>
            </w:r>
          </w:p>
        </w:tc>
        <w:tc>
          <w:tcPr/>
          <w:p>
            <w:pPr>
              <w:pStyle w:val="Compact"/>
              <w:jc w:val="center"/>
            </w:pPr>
            <w:r>
              <w:t xml:space="preserve">32 (45.1%)</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71</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c>
          <w:tcPr/>
          <w:p>
            <w:pPr>
              <w:pStyle w:val="Compact"/>
              <w:jc w:val="center"/>
            </w:pPr>
            <w:r>
              <w:t xml:space="preserve">0.691 [0.577 ; 0.804]</w:t>
            </w:r>
          </w:p>
        </w:tc>
      </w:tr>
    </w:tbl>
    <w:bookmarkEnd w:id="70"/>
    <w:bookmarkStart w:id="71"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1"/>
    <w:bookmarkEnd w:id="72"/>
    <w:bookmarkStart w:id="75" w:name="ulnt3"/>
    <w:p>
      <w:pPr>
        <w:pStyle w:val="Heading3"/>
      </w:pPr>
      <w:r>
        <w:t xml:space="preserve">ULNT3</w:t>
      </w:r>
    </w:p>
    <w:bookmarkStart w:id="73"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35.2</w:t>
            </w:r>
          </w:p>
        </w:tc>
        <w:tc>
          <w:tcPr/>
          <w:p>
            <w:pPr>
              <w:pStyle w:val="Compact"/>
              <w:jc w:val="center"/>
            </w:pPr>
            <w:r>
              <w:t xml:space="preserve">46</w:t>
            </w:r>
          </w:p>
        </w:tc>
        <w:tc>
          <w:tcPr/>
          <w:p>
            <w:pPr>
              <w:pStyle w:val="Compact"/>
              <w:jc w:val="center"/>
            </w:pPr>
            <w:r>
              <w:t xml:space="preserve">64.8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17 (23.9%)</w:t>
            </w:r>
          </w:p>
        </w:tc>
        <w:tc>
          <w:tcPr/>
          <w:p>
            <w:pPr>
              <w:pStyle w:val="Compact"/>
              <w:jc w:val="center"/>
            </w:pPr>
            <w:r>
              <w:t xml:space="preserve">8 (11.3%)</w:t>
            </w:r>
          </w:p>
        </w:tc>
        <w:tc>
          <w:tcPr/>
          <w:p>
            <w:pPr>
              <w:pStyle w:val="Compact"/>
              <w:jc w:val="center"/>
            </w:pPr>
            <w:r>
              <w:t xml:space="preserve">25 (35.2%)</w:t>
            </w:r>
          </w:p>
        </w:tc>
      </w:tr>
      <w:tr>
        <w:tc>
          <w:tcPr/>
          <w:p>
            <w:pPr>
              <w:pStyle w:val="Compact"/>
              <w:jc w:val="center"/>
            </w:pPr>
            <w:r>
              <w:t xml:space="preserve">T-</w:t>
            </w:r>
          </w:p>
        </w:tc>
        <w:tc>
          <w:tcPr/>
          <w:p>
            <w:pPr>
              <w:pStyle w:val="Compact"/>
              <w:jc w:val="center"/>
            </w:pPr>
            <w:r>
              <w:t xml:space="preserve">28 (39.4%)</w:t>
            </w:r>
          </w:p>
        </w:tc>
        <w:tc>
          <w:tcPr/>
          <w:p>
            <w:pPr>
              <w:pStyle w:val="Compact"/>
              <w:jc w:val="center"/>
            </w:pPr>
            <w:r>
              <w:t xml:space="preserve">18 (25.4%)</w:t>
            </w:r>
          </w:p>
        </w:tc>
        <w:tc>
          <w:tcPr/>
          <w:p>
            <w:pPr>
              <w:pStyle w:val="Compact"/>
              <w:jc w:val="center"/>
            </w:pPr>
            <w:r>
              <w:t xml:space="preserve">46 (64.8%)</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71</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6"/>
        <w:gridCol w:w="1329"/>
        <w:gridCol w:w="1329"/>
        <w:gridCol w:w="1271"/>
        <w:gridCol w:w="1329"/>
        <w:gridCol w:w="346"/>
        <w:gridCol w:w="289"/>
        <w:gridCol w:w="462"/>
        <w:gridCol w:w="121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w:t>
            </w:r>
          </w:p>
        </w:tc>
        <w:tc>
          <w:tcPr/>
          <w:p>
            <w:pPr>
              <w:pStyle w:val="Compact"/>
              <w:jc w:val="center"/>
            </w:pPr>
            <w:r>
              <w:t xml:space="preserve">0.07</w:t>
            </w:r>
          </w:p>
        </w:tc>
        <w:tc>
          <w:tcPr/>
          <w:p>
            <w:pPr>
              <w:pStyle w:val="Compact"/>
              <w:jc w:val="center"/>
            </w:pPr>
            <w:r>
              <w:t xml:space="preserve">0.535 [0.42 ; 0.65]</w:t>
            </w:r>
          </w:p>
        </w:tc>
      </w:tr>
    </w:tbl>
    <w:bookmarkEnd w:id="73"/>
    <w:bookmarkStart w:id="74" w:name="interprétation-3"/>
    <w:p>
      <w:pPr>
        <w:pStyle w:val="Heading4"/>
      </w:pPr>
      <w:r>
        <w:t xml:space="preserve">Interprétation</w:t>
      </w:r>
    </w:p>
    <w:p>
      <w:pPr>
        <w:pStyle w:val="Compact"/>
        <w:numPr>
          <w:ilvl w:val="0"/>
          <w:numId w:val="1022"/>
        </w:numPr>
      </w:pPr>
      <w:r>
        <w:t xml:space="preserve">Le moins sensible de tous (Se = 0.378) ; sa spécificité est parmi les plus élevées (Sp = 0.692), à égalité avec U2b et U3.</w:t>
      </w:r>
    </w:p>
    <w:p>
      <w:pPr>
        <w:pStyle w:val="Compact"/>
        <w:numPr>
          <w:ilvl w:val="0"/>
          <w:numId w:val="1022"/>
        </w:numPr>
      </w:pPr>
      <w:r>
        <w:t xml:space="preserve">Faible intérêt isolé étant donné son manque de sensibilité</w:t>
      </w:r>
    </w:p>
    <w:p>
      <w:r>
        <w:br w:type="page"/>
      </w:r>
    </w:p>
    <w:bookmarkEnd w:id="74"/>
    <w:bookmarkEnd w:id="75"/>
    <w:bookmarkEnd w:id="76"/>
    <w:bookmarkStart w:id="86"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71</w:t>
            </w:r>
          </w:p>
        </w:tc>
      </w:tr>
      <w:tr>
        <w:tc>
          <w:tcPr/>
          <w:p>
            <w:pPr>
              <w:pStyle w:val="Compact"/>
              <w:jc w:val="center"/>
            </w:pPr>
            <w:r>
              <w:t xml:space="preserve">U2a</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71</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r>
        <w:tc>
          <w:tcPr/>
          <w:p>
            <w:pPr>
              <w:pStyle w:val="Compact"/>
              <w:jc w:val="center"/>
            </w:pPr>
            <w:r>
              <w:t xml:space="preserve">U3</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0.73 [0.621 ; 0.839]</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0.677 [0.563 ; 0.792]</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0.691 [0.577 ; 0.804]</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0.535 [0.42 ; 0.65]</w:t>
            </w:r>
          </w:p>
        </w:tc>
      </w:tr>
    </w:tbl>
    <w:p>
      <w:pPr>
        <w:pStyle w:val="CaptionedFigure"/>
      </w:pPr>
      <w:r>
        <w:drawing>
          <wp:inline>
            <wp:extent cx="5334000" cy="3429000"/>
            <wp:effectExtent b="0" l="0" r="0" t="0"/>
            <wp:docPr descr="Composition des tableaux de contingence 2x2 par test" title="" id="78" name="Picture"/>
            <a:graphic>
              <a:graphicData uri="http://schemas.openxmlformats.org/drawingml/2006/picture">
                <pic:pic>
                  <pic:nvPicPr>
                    <pic:cNvPr descr="these_brieuc_last_recueil_files/figure-docx/global-contingency-plot-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1" name="Picture"/>
            <a:graphic>
              <a:graphicData uri="http://schemas.openxmlformats.org/drawingml/2006/picture">
                <pic:pic>
                  <pic:nvPicPr>
                    <pic:cNvPr descr="these_brieuc_last_recueil_files/figure-docx/global-performance-plots-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4" name="Picture"/>
            <a:graphic>
              <a:graphicData uri="http://schemas.openxmlformats.org/drawingml/2006/picture">
                <pic:pic>
                  <pic:nvPicPr>
                    <pic:cNvPr descr="these_brieuc_last_recueil_files/figure-docx/global-performance-combined-plot-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t xml:space="preserve">U1 est le plus sensible (faux négatif plus faible sur le premier graphique)</w:t>
      </w:r>
    </w:p>
    <w:p>
      <w:pPr>
        <w:numPr>
          <w:ilvl w:val="0"/>
          <w:numId w:val="1023"/>
        </w:numPr>
      </w:pPr>
      <w:r>
        <w:t xml:space="preserve">U2b et U3 sont les plus spécifiques (faux positif plus faible).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6"/>
    <w:bookmarkStart w:id="87"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0.844</w:t>
      </w:r>
    </w:p>
    <w:p>
      <w:pPr>
        <w:pStyle w:val="BodyText"/>
      </w:pPr>
      <w:r>
        <w:t xml:space="preserve">0.778</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0.844</w:t>
      </w:r>
    </w:p>
    <w:p>
      <w:pPr>
        <w:pStyle w:val="BodyText"/>
      </w:pPr>
      <w:r>
        <w:t xml:space="preserve">0.689</w:t>
      </w:r>
    </w:p>
    <w:p>
      <w:pPr>
        <w:pStyle w:val="BodyText"/>
      </w:pPr>
      <w:r>
        <w:t xml:space="preserve">0.156</w:t>
      </w:r>
    </w:p>
    <w:p>
      <w:pPr>
        <w:pStyle w:val="BodyText"/>
      </w:pPr>
      <w:r>
        <w:t xml:space="preserve">12 / 5</w:t>
      </w:r>
    </w:p>
    <w:p>
      <w:pPr>
        <w:pStyle w:val="BodyText"/>
      </w:pPr>
      <w:r>
        <w:t xml:space="preserve">0.146</w:t>
      </w:r>
    </w:p>
    <w:p>
      <w:pPr>
        <w:pStyle w:val="BodyText"/>
      </w:pPr>
      <w:r>
        <w:t xml:space="preserve">U1 vs U3</w:t>
      </w:r>
    </w:p>
    <w:p>
      <w:pPr>
        <w:pStyle w:val="BodyText"/>
      </w:pPr>
      <w:r>
        <w:t xml:space="preserve">45</w:t>
      </w:r>
    </w:p>
    <w:p>
      <w:pPr>
        <w:pStyle w:val="BodyText"/>
      </w:pPr>
      <w:r>
        <w:t xml:space="preserve">0.844</w:t>
      </w:r>
    </w:p>
    <w:p>
      <w:pPr>
        <w:pStyle w:val="BodyText"/>
      </w:pPr>
      <w:r>
        <w:t xml:space="preserve">0.378</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0.778</w:t>
      </w:r>
    </w:p>
    <w:p>
      <w:pPr>
        <w:pStyle w:val="BodyText"/>
      </w:pPr>
      <w:r>
        <w:t xml:space="preserve">0.689</w:t>
      </w:r>
    </w:p>
    <w:p>
      <w:pPr>
        <w:pStyle w:val="BodyText"/>
      </w:pPr>
      <w:r>
        <w:t xml:space="preserve">0.089</w:t>
      </w:r>
    </w:p>
    <w:p>
      <w:pPr>
        <w:pStyle w:val="BodyText"/>
      </w:pPr>
      <w:r>
        <w:t xml:space="preserve">8 / 4</w:t>
      </w:r>
    </w:p>
    <w:p>
      <w:pPr>
        <w:pStyle w:val="BodyText"/>
      </w:pPr>
      <w:r>
        <w:t xml:space="preserve">0.386</w:t>
      </w:r>
    </w:p>
    <w:p>
      <w:pPr>
        <w:pStyle w:val="BodyText"/>
      </w:pPr>
      <w:r>
        <w:t xml:space="preserve">U2a vs U3</w:t>
      </w:r>
    </w:p>
    <w:p>
      <w:pPr>
        <w:pStyle w:val="BodyText"/>
      </w:pPr>
      <w:r>
        <w:t xml:space="preserve">45</w:t>
      </w:r>
    </w:p>
    <w:p>
      <w:pPr>
        <w:pStyle w:val="BodyText"/>
      </w:pPr>
      <w:r>
        <w:t xml:space="preserve">0.778</w:t>
      </w:r>
    </w:p>
    <w:p>
      <w:pPr>
        <w:pStyle w:val="BodyText"/>
      </w:pPr>
      <w:r>
        <w:t xml:space="preserve">0.378</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0.378</w:t>
      </w:r>
    </w:p>
    <w:p>
      <w:pPr>
        <w:pStyle w:val="BodyText"/>
      </w:pPr>
      <w:r>
        <w:t xml:space="preserve">0.311</w:t>
      </w:r>
    </w:p>
    <w:p>
      <w:pPr>
        <w:pStyle w:val="BodyText"/>
      </w:pPr>
      <w:r>
        <w:t xml:space="preserve">19 / 5</w:t>
      </w:r>
    </w:p>
    <w:p>
      <w:pPr>
        <w:pStyle w:val="BodyText"/>
      </w:pPr>
      <w:r>
        <w:t xml:space="preserve">0.00796</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26</w:t>
      </w:r>
    </w:p>
    <w:p>
      <w:pPr>
        <w:pStyle w:val="BodyText"/>
      </w:pPr>
      <w:r>
        <w:t xml:space="preserve">0.615</w:t>
      </w:r>
    </w:p>
    <w:p>
      <w:pPr>
        <w:pStyle w:val="BodyText"/>
      </w:pPr>
      <w:r>
        <w:t xml:space="preserve">0.577</w:t>
      </w:r>
    </w:p>
    <w:p>
      <w:pPr>
        <w:pStyle w:val="BodyText"/>
      </w:pPr>
      <w:r>
        <w:t xml:space="preserve">0.038</w:t>
      </w:r>
    </w:p>
    <w:p>
      <w:pPr>
        <w:pStyle w:val="BodyText"/>
      </w:pPr>
      <w:r>
        <w:t xml:space="preserve">1 / 0</w:t>
      </w:r>
    </w:p>
    <w:p>
      <w:pPr>
        <w:pStyle w:val="BodyText"/>
      </w:pPr>
      <w:r>
        <w:t xml:space="preserve">1</w:t>
      </w:r>
    </w:p>
    <w:p>
      <w:pPr>
        <w:pStyle w:val="BodyText"/>
      </w:pPr>
      <w:r>
        <w:t xml:space="preserve">U1 vs U2b</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1 / 3</w:t>
      </w:r>
    </w:p>
    <w:p>
      <w:pPr>
        <w:pStyle w:val="BodyText"/>
      </w:pPr>
      <w:r>
        <w:t xml:space="preserve">0.617</w:t>
      </w:r>
    </w:p>
    <w:p>
      <w:pPr>
        <w:pStyle w:val="BodyText"/>
      </w:pPr>
      <w:r>
        <w:t xml:space="preserve">U1 vs U3</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0 / 2</w:t>
      </w:r>
    </w:p>
    <w:p>
      <w:pPr>
        <w:pStyle w:val="BodyText"/>
      </w:pPr>
      <w:r>
        <w:t xml:space="preserve">0.48</w:t>
      </w:r>
    </w:p>
    <w:p>
      <w:pPr>
        <w:pStyle w:val="BodyText"/>
      </w:pPr>
      <w:r>
        <w:t xml:space="preserve">U2a vs U2b</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1 / 4</w:t>
      </w:r>
    </w:p>
    <w:p>
      <w:pPr>
        <w:pStyle w:val="BodyText"/>
      </w:pPr>
      <w:r>
        <w:t xml:space="preserve">0.371</w:t>
      </w:r>
    </w:p>
    <w:p>
      <w:pPr>
        <w:pStyle w:val="BodyText"/>
      </w:pPr>
      <w:r>
        <w:t xml:space="preserve">U2a vs U3</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0 / 3</w:t>
      </w:r>
    </w:p>
    <w:p>
      <w:pPr>
        <w:pStyle w:val="BodyText"/>
      </w:pPr>
      <w:r>
        <w:t xml:space="preserve">0.248</w:t>
      </w:r>
    </w:p>
    <w:p>
      <w:pPr>
        <w:pStyle w:val="BodyText"/>
      </w:pPr>
      <w:r>
        <w:t xml:space="preserve">U2b vs U3</w:t>
      </w:r>
    </w:p>
    <w:p>
      <w:pPr>
        <w:pStyle w:val="BodyText"/>
      </w:pPr>
      <w:r>
        <w:t xml:space="preserve">26</w:t>
      </w:r>
    </w:p>
    <w:p>
      <w:pPr>
        <w:pStyle w:val="BodyText"/>
      </w:pPr>
      <w:r>
        <w:t xml:space="preserve">0.692</w:t>
      </w:r>
    </w:p>
    <w:p>
      <w:pPr>
        <w:pStyle w:val="BodyText"/>
      </w:pPr>
      <w:r>
        <w:t xml:space="preserve">0.692</w:t>
      </w:r>
    </w:p>
    <w:p>
      <w:pPr>
        <w:pStyle w:val="BodyText"/>
      </w:pPr>
      <w:r>
        <w:t xml:space="preserve">0.000</w:t>
      </w:r>
    </w:p>
    <w:p>
      <w:pPr>
        <w:pStyle w:val="BodyText"/>
      </w:pPr>
      <w:r>
        <w:t xml:space="preserve">2 / 2</w:t>
      </w:r>
    </w:p>
    <w:p>
      <w:pPr>
        <w:pStyle w:val="BodyText"/>
      </w:pPr>
      <w:r>
        <w:t xml:space="preserve">1</w:t>
      </w:r>
    </w:p>
    <w:p>
      <w:pPr>
        <w:pStyle w:val="BodyText"/>
      </w:pPr>
      <w:r>
        <w:t xml:space="preserve">Même conclusions que les graphiques précédents.</w:t>
      </w:r>
    </w:p>
    <w:p>
      <w:pPr>
        <w:pStyle w:val="BodyText"/>
      </w:pPr>
      <w:r>
        <w:t xml:space="preserve">Concernant la sensibilité :</w:t>
      </w:r>
    </w:p>
    <w:p>
      <w:pPr>
        <w:numPr>
          <w:ilvl w:val="0"/>
          <w:numId w:val="1025"/>
        </w:numPr>
      </w:pPr>
      <w:r>
        <w:t xml:space="preserve">Paires significativement différentes : U1 vs U3, U2a vs U3, U2b vs U3</w:t>
      </w:r>
    </w:p>
    <w:p>
      <w:pPr>
        <w:numPr>
          <w:ilvl w:val="0"/>
          <w:numId w:val="1025"/>
        </w:numPr>
      </w:pPr>
      <w:r>
        <w:t xml:space="preserve">Pour la spécificité : aucune paire.</w:t>
      </w:r>
    </w:p>
    <w:p>
      <w:r>
        <w:br w:type="page"/>
      </w:r>
    </w:p>
    <w:bookmarkEnd w:id="87"/>
    <w:bookmarkStart w:id="92"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61</w:t>
            </w:r>
          </w:p>
        </w:tc>
        <w:tc>
          <w:tcPr/>
          <w:p>
            <w:pPr>
              <w:pStyle w:val="Compact"/>
              <w:jc w:val="center"/>
            </w:pPr>
            <w:r>
              <w:t xml:space="preserve">0.885</w:t>
            </w:r>
          </w:p>
        </w:tc>
        <w:tc>
          <w:tcPr/>
          <w:p>
            <w:pPr>
              <w:pStyle w:val="Compact"/>
              <w:jc w:val="center"/>
            </w:pPr>
            <w:r>
              <w:t xml:space="preserve">0.698</w:t>
            </w:r>
          </w:p>
        </w:tc>
        <w:tc>
          <w:tcPr/>
          <w:p>
            <w:pPr>
              <w:pStyle w:val="Compact"/>
              <w:jc w:val="center"/>
            </w:pPr>
            <w:r>
              <w:t xml:space="preserve">0.492</w:t>
            </w:r>
          </w:p>
        </w:tc>
        <w:tc>
          <w:tcPr/>
          <w:p>
            <w:pPr>
              <w:pStyle w:val="Compact"/>
              <w:jc w:val="center"/>
            </w:pPr>
            <w:r>
              <w:t xml:space="preserve">0.905</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61</w:t>
            </w:r>
          </w:p>
        </w:tc>
        <w:tc>
          <w:tcPr/>
          <w:p>
            <w:pPr>
              <w:pStyle w:val="Compact"/>
              <w:jc w:val="center"/>
            </w:pPr>
            <w:r>
              <w:t xml:space="preserve">0.836</w:t>
            </w:r>
          </w:p>
        </w:tc>
        <w:tc>
          <w:tcPr/>
          <w:p>
            <w:pPr>
              <w:pStyle w:val="Compact"/>
              <w:jc w:val="center"/>
            </w:pPr>
            <w:r>
              <w:t xml:space="preserve">0.618</w:t>
            </w:r>
          </w:p>
        </w:tc>
        <w:tc>
          <w:tcPr/>
          <w:p>
            <w:pPr>
              <w:pStyle w:val="Compact"/>
              <w:jc w:val="center"/>
            </w:pPr>
            <w:r>
              <w:t xml:space="preserve">0.405</w:t>
            </w:r>
          </w:p>
        </w:tc>
        <w:tc>
          <w:tcPr/>
          <w:p>
            <w:pPr>
              <w:pStyle w:val="Compact"/>
              <w:jc w:val="center"/>
            </w:pPr>
            <w:r>
              <w:t xml:space="preserve">0.831</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0.605</w:t>
            </w:r>
          </w:p>
        </w:tc>
        <w:tc>
          <w:tcPr/>
          <w:p>
            <w:pPr>
              <w:pStyle w:val="Compact"/>
              <w:jc w:val="center"/>
            </w:pPr>
            <w:r>
              <w:t xml:space="preserve">0.396</w:t>
            </w:r>
          </w:p>
        </w:tc>
        <w:tc>
          <w:tcPr/>
          <w:p>
            <w:pPr>
              <w:pStyle w:val="Compact"/>
              <w:jc w:val="center"/>
            </w:pPr>
            <w:r>
              <w:t xml:space="preserve">0.814</w:t>
            </w:r>
          </w:p>
        </w:tc>
        <w:tc>
          <w:tcPr/>
          <w:p>
            <w:pPr>
              <w:pStyle w:val="Compact"/>
              <w:jc w:val="center"/>
            </w:pPr>
            <w:r>
              <w:t xml:space="preserve">substantielle</w:t>
            </w:r>
          </w:p>
        </w:tc>
      </w:tr>
      <w:tr>
        <w:tc>
          <w:tcPr/>
          <w:p>
            <w:pPr>
              <w:pStyle w:val="Compact"/>
              <w:jc w:val="center"/>
            </w:pPr>
            <w:r>
              <w:t xml:space="preserve">U3</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0.629</w:t>
            </w:r>
          </w:p>
        </w:tc>
        <w:tc>
          <w:tcPr/>
          <w:p>
            <w:pPr>
              <w:pStyle w:val="Compact"/>
              <w:jc w:val="center"/>
            </w:pPr>
            <w:r>
              <w:t xml:space="preserve">0.432</w:t>
            </w:r>
          </w:p>
        </w:tc>
        <w:tc>
          <w:tcPr/>
          <w:p>
            <w:pPr>
              <w:pStyle w:val="Compact"/>
              <w:jc w:val="center"/>
            </w:pPr>
            <w:r>
              <w:t xml:space="preserve">0.827</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1" w:name="fig-kappa-interobserver"/>
          <w:p>
            <w:pPr>
              <w:pStyle w:val="Compact"/>
              <w:jc w:val="center"/>
            </w:pPr>
            <w:r>
              <w:drawing>
                <wp:inline>
                  <wp:extent cx="5334000" cy="3556000"/>
                  <wp:effectExtent b="0" l="0" r="0" t="0"/>
                  <wp:docPr descr="" title="" id="89" name="Picture"/>
                  <a:graphic>
                    <a:graphicData uri="http://schemas.openxmlformats.org/drawingml/2006/picture">
                      <pic:pic>
                        <pic:nvPicPr>
                          <pic:cNvPr descr="these_brieuc_last_recueil_files/figure-docx/fig-kappa-interobserver-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1"/>
        </w:tc>
      </w:tr>
    </w:tbl>
    <w:p>
      <w:pPr>
        <w:pStyle w:val="BodyText"/>
      </w:pPr>
      <w:r>
        <w:t xml:space="preserve">Interprétation : les coefficients sont dans la classe substantielle.</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2"/>
    <w:bookmarkStart w:id="109"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3" w:name="combinaisons-conjonctives-prédéfinies"/>
    <w:p>
      <w:pPr>
        <w:pStyle w:val="Heading3"/>
      </w:pPr>
      <w:r>
        <w:t xml:space="preserve">Combinaisons conjonctives prédéfinies</w:t>
      </w:r>
    </w:p>
    <w:p>
      <w:pPr>
        <w:numPr>
          <w:ilvl w:val="0"/>
          <w:numId w:val="1028"/>
        </w:numPr>
      </w:pPr>
      <w:r>
        <w:t xml:space="preserve">Combinaison la plus sensible : U1 (Se = 0.844, Sp = 0.615).</w:t>
      </w:r>
    </w:p>
    <w:p>
      <w:pPr>
        <w:numPr>
          <w:ilvl w:val="0"/>
          <w:numId w:val="1028"/>
        </w:numPr>
      </w:pPr>
      <w:r>
        <w:t xml:space="preserve">Combinaison(s) la/les plus spécifique(s) : U2b + U3, U2a + U2b + U3, U1 + U2b + U3 et U1 + U2a + U2b + U3, avec Sp = 0.769. La combinaison retenue pour la meilleure spécificité est U2b + U3, car elle conserve la meilleure sensibilité parmi les ex aequo (Se = 0.267) puis la meilleure parcimonie (2 tests).</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0.460</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 [0.443 ; 0.743]</w:t>
            </w:r>
          </w:p>
        </w:tc>
        <w:tc>
          <w:tcPr/>
          <w:p>
            <w:pPr>
              <w:pStyle w:val="Compact"/>
              <w:jc w:val="center"/>
            </w:pPr>
            <w:r>
              <w:t xml:space="preserve">0.731 [0.522 ; 0.884]</w:t>
            </w:r>
          </w:p>
        </w:tc>
        <w:tc>
          <w:tcPr/>
          <w:p>
            <w:pPr>
              <w:pStyle w:val="Compact"/>
              <w:jc w:val="center"/>
            </w:pPr>
            <w:r>
              <w:t xml:space="preserve">0.794 [0.621 ; 0.913]</w:t>
            </w:r>
          </w:p>
        </w:tc>
        <w:tc>
          <w:tcPr/>
          <w:p>
            <w:pPr>
              <w:pStyle w:val="Compact"/>
              <w:jc w:val="center"/>
            </w:pPr>
            <w:r>
              <w:t xml:space="preserve">0.514 [0.344 ; 0.681]</w:t>
            </w:r>
          </w:p>
        </w:tc>
        <w:tc>
          <w:tcPr/>
          <w:p>
            <w:pPr>
              <w:pStyle w:val="Compact"/>
              <w:jc w:val="center"/>
            </w:pPr>
            <w:r>
              <w:t xml:space="preserve">2.23</w:t>
            </w:r>
          </w:p>
        </w:tc>
        <w:tc>
          <w:tcPr/>
          <w:p>
            <w:pPr>
              <w:pStyle w:val="Compact"/>
              <w:jc w:val="center"/>
            </w:pPr>
            <w:r>
              <w:t xml:space="preserve">0.55</w:t>
            </w:r>
          </w:p>
        </w:tc>
        <w:tc>
          <w:tcPr/>
          <w:p>
            <w:pPr>
              <w:pStyle w:val="Compact"/>
              <w:jc w:val="center"/>
            </w:pPr>
            <w:r>
              <w:t xml:space="preserve">0.331</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0.578 [0.422 ; 0.723]</w:t>
            </w:r>
          </w:p>
        </w:tc>
        <w:tc>
          <w:tcPr/>
          <w:p>
            <w:pPr>
              <w:pStyle w:val="Compact"/>
              <w:jc w:val="center"/>
            </w:pPr>
            <w:r>
              <w:t xml:space="preserve">0.731 [0.522 ; 0.884]</w:t>
            </w:r>
          </w:p>
        </w:tc>
        <w:tc>
          <w:tcPr/>
          <w:p>
            <w:pPr>
              <w:pStyle w:val="Compact"/>
              <w:jc w:val="center"/>
            </w:pPr>
            <w:r>
              <w:t xml:space="preserve">0.788 [0.611 ; 0.91]</w:t>
            </w:r>
          </w:p>
        </w:tc>
        <w:tc>
          <w:tcPr/>
          <w:p>
            <w:pPr>
              <w:pStyle w:val="Compact"/>
              <w:jc w:val="center"/>
            </w:pPr>
            <w:r>
              <w:t xml:space="preserve">0.5 [0.334 ; 0.666]</w:t>
            </w:r>
          </w:p>
        </w:tc>
        <w:tc>
          <w:tcPr/>
          <w:p>
            <w:pPr>
              <w:pStyle w:val="Compact"/>
              <w:jc w:val="center"/>
            </w:pPr>
            <w:r>
              <w:t xml:space="preserve">2.15</w:t>
            </w:r>
          </w:p>
        </w:tc>
        <w:tc>
          <w:tcPr/>
          <w:p>
            <w:pPr>
              <w:pStyle w:val="Compact"/>
              <w:jc w:val="center"/>
            </w:pPr>
            <w:r>
              <w:t xml:space="preserve">0.58</w:t>
            </w:r>
          </w:p>
        </w:tc>
        <w:tc>
          <w:tcPr/>
          <w:p>
            <w:pPr>
              <w:pStyle w:val="Compact"/>
              <w:jc w:val="center"/>
            </w:pPr>
            <w:r>
              <w:t xml:space="preserve">0.309</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0.615 [0.406 ; 0.798]</w:t>
            </w:r>
          </w:p>
        </w:tc>
        <w:tc>
          <w:tcPr/>
          <w:p>
            <w:pPr>
              <w:pStyle w:val="Compact"/>
              <w:jc w:val="center"/>
            </w:pPr>
            <w:r>
              <w:t xml:space="preserve">0.756 [0.597 ; 0.876]</w:t>
            </w:r>
          </w:p>
        </w:tc>
        <w:tc>
          <w:tcPr/>
          <w:p>
            <w:pPr>
              <w:pStyle w:val="Compact"/>
              <w:jc w:val="center"/>
            </w:pPr>
            <w:r>
              <w:t xml:space="preserve">0.533 [0.343 ; 0.717]</w:t>
            </w:r>
          </w:p>
        </w:tc>
        <w:tc>
          <w:tcPr/>
          <w:p>
            <w:pPr>
              <w:pStyle w:val="Compact"/>
              <w:jc w:val="center"/>
            </w:pPr>
            <w:r>
              <w:t xml:space="preserve">1.79</w:t>
            </w:r>
          </w:p>
        </w:tc>
        <w:tc>
          <w:tcPr/>
          <w:p>
            <w:pPr>
              <w:pStyle w:val="Compact"/>
              <w:jc w:val="center"/>
            </w:pPr>
            <w:r>
              <w:t xml:space="preserve">0.51</w:t>
            </w:r>
          </w:p>
        </w:tc>
        <w:tc>
          <w:tcPr/>
          <w:p>
            <w:pPr>
              <w:pStyle w:val="Compact"/>
              <w:jc w:val="center"/>
            </w:pPr>
            <w:r>
              <w:t xml:space="preserve">0.304</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0.511 [0.358 ; 0.663]</w:t>
            </w:r>
          </w:p>
        </w:tc>
        <w:tc>
          <w:tcPr/>
          <w:p>
            <w:pPr>
              <w:pStyle w:val="Compact"/>
              <w:jc w:val="center"/>
            </w:pPr>
            <w:r>
              <w:t xml:space="preserve">0.731 [0.522 ; 0.884]</w:t>
            </w:r>
          </w:p>
        </w:tc>
        <w:tc>
          <w:tcPr/>
          <w:p>
            <w:pPr>
              <w:pStyle w:val="Compact"/>
              <w:jc w:val="center"/>
            </w:pPr>
            <w:r>
              <w:t xml:space="preserve">0.767 [0.577 ; 0.901]</w:t>
            </w:r>
          </w:p>
        </w:tc>
        <w:tc>
          <w:tcPr/>
          <w:p>
            <w:pPr>
              <w:pStyle w:val="Compact"/>
              <w:jc w:val="center"/>
            </w:pPr>
            <w:r>
              <w:t xml:space="preserve">0.463 [0.307 ; 0.626]</w:t>
            </w:r>
          </w:p>
        </w:tc>
        <w:tc>
          <w:tcPr/>
          <w:p>
            <w:pPr>
              <w:pStyle w:val="Compact"/>
              <w:jc w:val="center"/>
            </w:pPr>
            <w:r>
              <w:t xml:space="preserve">1.90</w:t>
            </w:r>
          </w:p>
        </w:tc>
        <w:tc>
          <w:tcPr/>
          <w:p>
            <w:pPr>
              <w:pStyle w:val="Compact"/>
              <w:jc w:val="center"/>
            </w:pPr>
            <w:r>
              <w:t xml:space="preserve">0.67</w:t>
            </w:r>
          </w:p>
        </w:tc>
        <w:tc>
          <w:tcPr/>
          <w:p>
            <w:pPr>
              <w:pStyle w:val="Compact"/>
              <w:jc w:val="center"/>
            </w:pPr>
            <w:r>
              <w:t xml:space="preserve">0.242</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bl>
    <w:p>
      <w:r>
        <w:br w:type="page"/>
      </w:r>
    </w:p>
    <w:bookmarkEnd w:id="93"/>
    <w:bookmarkStart w:id="108"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26"/>
        <w:gridCol w:w="1686"/>
        <w:gridCol w:w="1686"/>
        <w:gridCol w:w="513"/>
        <w:gridCol w:w="513"/>
        <w:gridCol w:w="586"/>
        <w:gridCol w:w="1906"/>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0.538 [0.334 ; 0.734]</w:t>
            </w:r>
          </w:p>
        </w:tc>
        <w:tc>
          <w:tcPr/>
          <w:p>
            <w:pPr>
              <w:pStyle w:val="Compact"/>
              <w:jc w:val="center"/>
            </w:pPr>
            <w:r>
              <w:t xml:space="preserve">2.070</w:t>
            </w:r>
          </w:p>
        </w:tc>
        <w:tc>
          <w:tcPr/>
          <w:p>
            <w:pPr>
              <w:pStyle w:val="Compact"/>
              <w:jc w:val="center"/>
            </w:pPr>
            <w:r>
              <w:t xml:space="preserve">0.083</w:t>
            </w:r>
          </w:p>
        </w:tc>
        <w:tc>
          <w:tcPr/>
          <w:p>
            <w:pPr>
              <w:pStyle w:val="Compact"/>
              <w:jc w:val="center"/>
            </w:pPr>
            <w:r>
              <w:t xml:space="preserve">0.494</w:t>
            </w:r>
          </w:p>
        </w:tc>
        <w:tc>
          <w:tcPr/>
          <w:p>
            <w:pPr>
              <w:pStyle w:val="Compact"/>
              <w:jc w:val="center"/>
            </w:pPr>
            <w:r>
              <w:t xml:space="preserve">25.083 [4.994 ; 125.974]</w:t>
            </w:r>
          </w:p>
        </w:tc>
      </w:tr>
      <w:tr>
        <w:tc>
          <w:tcPr/>
          <w:p>
            <w:pPr>
              <w:pStyle w:val="Compact"/>
              <w:jc w:val="center"/>
            </w:pPr>
            <w:r>
              <w:t xml:space="preserve">&gt;=2 positifs</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2.196</w:t>
            </w:r>
          </w:p>
        </w:tc>
        <w:tc>
          <w:tcPr/>
          <w:p>
            <w:pPr>
              <w:pStyle w:val="Compact"/>
              <w:jc w:val="center"/>
            </w:pPr>
            <w:r>
              <w:t xml:space="preserve">0.253</w:t>
            </w:r>
          </w:p>
        </w:tc>
        <w:tc>
          <w:tcPr/>
          <w:p>
            <w:pPr>
              <w:pStyle w:val="Compact"/>
              <w:jc w:val="center"/>
            </w:pPr>
            <w:r>
              <w:t xml:space="preserve">0.460</w:t>
            </w:r>
          </w:p>
        </w:tc>
        <w:tc>
          <w:tcPr/>
          <w:p>
            <w:pPr>
              <w:pStyle w:val="Compact"/>
              <w:jc w:val="center"/>
            </w:pPr>
            <w:r>
              <w:t xml:space="preserve">8.686 [2.809 ; 26.855]</w:t>
            </w:r>
          </w:p>
        </w:tc>
      </w:tr>
      <w:tr>
        <w:tc>
          <w:tcPr/>
          <w:p>
            <w:pPr>
              <w:pStyle w:val="Compact"/>
              <w:jc w:val="center"/>
            </w:pPr>
            <w:r>
              <w:t xml:space="preserve">&gt;=3 positifs</w:t>
            </w:r>
          </w:p>
        </w:tc>
        <w:tc>
          <w:tcPr/>
          <w:p>
            <w:pPr>
              <w:pStyle w:val="Compact"/>
              <w:jc w:val="center"/>
            </w:pPr>
            <w:r>
              <w:t xml:space="preserve">0.644 [0.488 ; 0.781]</w:t>
            </w:r>
          </w:p>
        </w:tc>
        <w:tc>
          <w:tcPr/>
          <w:p>
            <w:pPr>
              <w:pStyle w:val="Compact"/>
              <w:jc w:val="center"/>
            </w:pPr>
            <w:r>
              <w:t xml:space="preserve">0.654 [0.443 ; 0.828]</w:t>
            </w:r>
          </w:p>
        </w:tc>
        <w:tc>
          <w:tcPr/>
          <w:p>
            <w:pPr>
              <w:pStyle w:val="Compact"/>
              <w:jc w:val="center"/>
            </w:pPr>
            <w:r>
              <w:t xml:space="preserve">1.862</w:t>
            </w:r>
          </w:p>
        </w:tc>
        <w:tc>
          <w:tcPr/>
          <w:p>
            <w:pPr>
              <w:pStyle w:val="Compact"/>
              <w:jc w:val="center"/>
            </w:pPr>
            <w:r>
              <w:t xml:space="preserve">0.544</w:t>
            </w:r>
          </w:p>
        </w:tc>
        <w:tc>
          <w:tcPr/>
          <w:p>
            <w:pPr>
              <w:pStyle w:val="Compact"/>
              <w:jc w:val="center"/>
            </w:pPr>
            <w:r>
              <w:t xml:space="preserve">0.298</w:t>
            </w:r>
          </w:p>
        </w:tc>
        <w:tc>
          <w:tcPr/>
          <w:p>
            <w:pPr>
              <w:pStyle w:val="Compact"/>
              <w:jc w:val="center"/>
            </w:pPr>
            <w:r>
              <w:t xml:space="preserve">3.424 [1.244 ; 9.424]</w:t>
            </w:r>
          </w:p>
        </w:tc>
      </w:tr>
      <w:tr>
        <w:tc>
          <w:tcPr/>
          <w:p>
            <w:pPr>
              <w:pStyle w:val="Compact"/>
              <w:jc w:val="center"/>
            </w:pPr>
            <w:r>
              <w:t xml:space="preserve">&gt;=4 positifs</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1.059</w:t>
            </w:r>
          </w:p>
        </w:tc>
        <w:tc>
          <w:tcPr/>
          <w:p>
            <w:pPr>
              <w:pStyle w:val="Compact"/>
              <w:jc w:val="center"/>
            </w:pPr>
            <w:r>
              <w:t xml:space="preserve">0.982</w:t>
            </w:r>
          </w:p>
        </w:tc>
        <w:tc>
          <w:tcPr/>
          <w:p>
            <w:pPr>
              <w:pStyle w:val="Compact"/>
              <w:jc w:val="center"/>
            </w:pPr>
            <w:r>
              <w:t xml:space="preserve">0.014</w:t>
            </w:r>
          </w:p>
        </w:tc>
        <w:tc>
          <w:tcPr/>
          <w:p>
            <w:pPr>
              <w:pStyle w:val="Compact"/>
              <w:jc w:val="center"/>
            </w:pPr>
            <w:r>
              <w:t xml:space="preserve">1.078 [0.346 ; 3.364]</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value par permutation de l’ordre d’inclusion des tests et estimation de leur contribution) : on calcule la</w:t>
      </w:r>
      <w:r>
        <w:t xml:space="preserve"> </w:t>
      </w:r>
      <w:r>
        <w:rPr>
          <w:b/>
          <w:bCs/>
        </w:rPr>
        <w:t xml:space="preserve">contribution moyenne</w:t>
      </w:r>
      <w:r>
        <w:t xml:space="preserve"> </w:t>
      </w:r>
      <w:r>
        <w:t xml:space="preserve">de chaque test au gain de performance du score global.</w:t>
      </w:r>
    </w:p>
    <w:bookmarkStart w:id="97" w:name="gain-de-sensibilité"/>
    <w:p>
      <w:pPr>
        <w:pStyle w:val="Heading4"/>
      </w:pPr>
      <w:r>
        <w:t xml:space="preserve">Gain de Sensibilité</w:t>
      </w:r>
    </w:p>
    <w:p>
      <w:pPr>
        <w:pStyle w:val="TableCaption"/>
      </w:pPr>
      <w:r>
        <w:t xml:space="preserve">Contribution moyenne de chaque test a la sensibilite du score : gain de Se</w:t>
      </w:r>
    </w:p>
    <w:tbl>
      <w:tblPr>
        <w:tblStyle w:val="Table"/>
        <w:tblW w:type="auto" w:w="0"/>
        <w:tblLook w:firstRow="1" w:lastRow="0" w:firstColumn="0" w:lastColumn="0" w:noHBand="0" w:noVBand="0" w:val="0020"/>
        <w:tblCaption w:val="Contribution moyenne de chaque test a la sensibilite du score : gain de 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+0.343</w:t>
            </w:r>
          </w:p>
        </w:tc>
        <w:tc>
          <w:tcPr/>
          <w:p>
            <w:pPr>
              <w:pStyle w:val="Compact"/>
              <w:jc w:val="center"/>
            </w:pPr>
            <w:r>
              <w:t xml:space="preserve">+0.261</w:t>
            </w:r>
          </w:p>
        </w:tc>
        <w:tc>
          <w:tcPr/>
          <w:p>
            <w:pPr>
              <w:pStyle w:val="Compact"/>
              <w:jc w:val="center"/>
            </w:pPr>
            <w:r>
              <w:t xml:space="preserve">+0.246</w:t>
            </w:r>
          </w:p>
        </w:tc>
        <w:tc>
          <w:tcPr/>
          <w:p>
            <w:pPr>
              <w:pStyle w:val="Compact"/>
              <w:jc w:val="center"/>
            </w:pPr>
            <w:r>
              <w:t xml:space="preserve">+0.106</w:t>
            </w:r>
          </w:p>
        </w:tc>
      </w:tr>
      <w:tr>
        <w:tc>
          <w:tcPr/>
          <w:p>
            <w:pPr>
              <w:pStyle w:val="Compact"/>
              <w:jc w:val="center"/>
            </w:pPr>
            <w:r>
              <w:t xml:space="preserve">&gt;=2 positifs</w:t>
            </w:r>
          </w:p>
        </w:tc>
        <w:tc>
          <w:tcPr/>
          <w:p>
            <w:pPr>
              <w:pStyle w:val="Compact"/>
              <w:jc w:val="center"/>
            </w:pPr>
            <w:r>
              <w:t xml:space="preserve">+0.254</w:t>
            </w:r>
          </w:p>
        </w:tc>
        <w:tc>
          <w:tcPr/>
          <w:p>
            <w:pPr>
              <w:pStyle w:val="Compact"/>
              <w:jc w:val="center"/>
            </w:pPr>
            <w:r>
              <w:t xml:space="preserve">+0.261</w:t>
            </w:r>
          </w:p>
        </w:tc>
        <w:tc>
          <w:tcPr/>
          <w:p>
            <w:pPr>
              <w:pStyle w:val="Compact"/>
              <w:jc w:val="center"/>
            </w:pPr>
            <w:r>
              <w:t xml:space="preserve">+0.224</w:t>
            </w:r>
          </w:p>
        </w:tc>
        <w:tc>
          <w:tcPr/>
          <w:p>
            <w:pPr>
              <w:pStyle w:val="Compact"/>
              <w:jc w:val="center"/>
            </w:pPr>
            <w:r>
              <w:t xml:space="preserve">+0.106</w:t>
            </w:r>
          </w:p>
        </w:tc>
      </w:tr>
      <w:tr>
        <w:tc>
          <w:tcPr/>
          <w:p>
            <w:pPr>
              <w:pStyle w:val="Compact"/>
              <w:jc w:val="center"/>
            </w:pPr>
            <w:r>
              <w:t xml:space="preserve">&gt;=3 positifs</w:t>
            </w:r>
          </w:p>
        </w:tc>
        <w:tc>
          <w:tcPr/>
          <w:p>
            <w:pPr>
              <w:pStyle w:val="Compact"/>
              <w:jc w:val="center"/>
            </w:pPr>
            <w:r>
              <w:t xml:space="preserve">+0.187</w:t>
            </w:r>
          </w:p>
        </w:tc>
        <w:tc>
          <w:tcPr/>
          <w:p>
            <w:pPr>
              <w:pStyle w:val="Compact"/>
              <w:jc w:val="center"/>
            </w:pPr>
            <w:r>
              <w:t xml:space="preserve">+0.194</w:t>
            </w:r>
          </w:p>
        </w:tc>
        <w:tc>
          <w:tcPr/>
          <w:p>
            <w:pPr>
              <w:pStyle w:val="Compact"/>
              <w:jc w:val="center"/>
            </w:pPr>
            <w:r>
              <w:t xml:space="preserve">+0.157</w:t>
            </w:r>
          </w:p>
        </w:tc>
        <w:tc>
          <w:tcPr/>
          <w:p>
            <w:pPr>
              <w:pStyle w:val="Compact"/>
              <w:jc w:val="center"/>
            </w:pPr>
            <w:r>
              <w:t xml:space="preserve">+0.106</w:t>
            </w:r>
          </w:p>
        </w:tc>
      </w:tr>
      <w:tr>
        <w:tc>
          <w:tcPr/>
          <w:p>
            <w:pPr>
              <w:pStyle w:val="Compact"/>
              <w:jc w:val="center"/>
            </w:pPr>
            <w:r>
              <w:t xml:space="preserve">&gt;=4 positifs</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r>
    </w:tbl>
    <w:p>
      <w:pPr>
        <w:pStyle w:val="CaptionedFigure"/>
      </w:pPr>
      <w:r>
        <w:drawing>
          <wp:inline>
            <wp:extent cx="5334000" cy="3333750"/>
            <wp:effectExtent b="0" l="0" r="0" t="0"/>
            <wp:docPr descr="Contribution de chaque test au gain de sensibilité du score" title="" id="95" name="Picture"/>
            <a:graphic>
              <a:graphicData uri="http://schemas.openxmlformats.org/drawingml/2006/picture">
                <pic:pic>
                  <pic:nvPicPr>
                    <pic:cNvPr descr="these_brieuc_last_recueil_files/figure-docx/score-contribution-se-plo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97"/>
    <w:bookmarkStart w:id="107"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-0.154</w:t>
            </w:r>
          </w:p>
        </w:tc>
        <w:tc>
          <w:tcPr/>
          <w:p>
            <w:pPr>
              <w:pStyle w:val="Compact"/>
              <w:jc w:val="center"/>
            </w:pPr>
            <w:r>
              <w:t xml:space="preserve">-0.109</w:t>
            </w:r>
          </w:p>
        </w:tc>
        <w:tc>
          <w:tcPr/>
          <w:p>
            <w:pPr>
              <w:pStyle w:val="Compact"/>
              <w:jc w:val="center"/>
            </w:pPr>
            <w:r>
              <w:t xml:space="preserve">-0.083</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&gt;=3 positifs</w:t>
            </w:r>
          </w:p>
        </w:tc>
        <w:tc>
          <w:tcPr/>
          <w:p>
            <w:pPr>
              <w:pStyle w:val="Compact"/>
              <w:jc w:val="center"/>
            </w:pPr>
            <w:r>
              <w:t xml:space="preserve">-0.096</w:t>
            </w:r>
          </w:p>
        </w:tc>
        <w:tc>
          <w:tcPr/>
          <w:p>
            <w:pPr>
              <w:pStyle w:val="Compact"/>
              <w:jc w:val="center"/>
            </w:pPr>
            <w:r>
              <w:t xml:space="preserve">-0.096</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&gt;=4 positifs</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r>
    </w:tbl>
    <w:p>
      <w:pPr>
        <w:pStyle w:val="CaptionedFigure"/>
      </w:pPr>
      <w:r>
        <w:drawing>
          <wp:inline>
            <wp:extent cx="5334000" cy="3333750"/>
            <wp:effectExtent b="0" l="0" r="0" t="0"/>
            <wp:docPr descr="Contribution de chaque test au pouvoir d’exclusion (Spécificité)" title="" id="99" name="Picture"/>
            <a:graphic>
              <a:graphicData uri="http://schemas.openxmlformats.org/drawingml/2006/picture">
                <pic:pic>
                  <pic:nvPicPr>
                    <pic:cNvPr descr="these_brieuc_last_recueil_files/figure-docx/score-contribution-sp-plot-1.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2" name="Picture"/>
            <a:graphic>
              <a:graphicData uri="http://schemas.openxmlformats.org/drawingml/2006/picture">
                <pic:pic>
                  <pic:nvPicPr>
                    <pic:cNvPr descr="these_brieuc_last_recueil_files/figure-docx/score-thresholds-plo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5" name="Picture"/>
            <a:graphic>
              <a:graphicData uri="http://schemas.openxmlformats.org/drawingml/2006/picture">
                <pic:pic>
                  <pic:nvPicPr>
                    <pic:cNvPr descr="these_brieuc_last_recueil_files/figure-docx/score-roc-curve-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p>
      <w:r>
        <w:br w:type="page"/>
      </w:r>
    </w:p>
    <w:bookmarkEnd w:id="107"/>
    <w:bookmarkEnd w:id="108"/>
    <w:bookmarkEnd w:id="109"/>
    <w:bookmarkStart w:id="137"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16"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 [0 ; 3]</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20</w:t>
            </w:r>
          </w:p>
        </w:tc>
        <w:tc>
          <w:tcPr/>
          <w:p>
            <w:pPr>
              <w:pStyle w:val="Compact"/>
              <w:jc w:val="center"/>
            </w:pPr>
            <w:r>
              <w:t xml:space="preserve">7</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23</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11</w:t>
            </w:r>
          </w:p>
        </w:tc>
        <w:tc>
          <w:tcPr/>
          <w:p>
            <w:pPr>
              <w:pStyle w:val="Compact"/>
              <w:jc w:val="center"/>
            </w:pPr>
            <w:r>
              <w:t xml:space="preserve">1 [0 ; 3]</w:t>
            </w:r>
          </w:p>
        </w:tc>
      </w:tr>
    </w:tbl>
    <w:p>
      <w:pPr>
        <w:pStyle w:val="CaptionedFigure"/>
      </w:pPr>
      <w:r>
        <w:drawing>
          <wp:inline>
            <wp:extent cx="5334000" cy="4267200"/>
            <wp:effectExtent b="0" l="0" r="0" t="0"/>
            <wp:docPr descr="Effectif de NCB par niveau métamérique" title="" id="111" name="Picture"/>
            <a:graphic>
              <a:graphicData uri="http://schemas.openxmlformats.org/drawingml/2006/picture">
                <pic:pic>
                  <pic:nvPicPr>
                    <pic:cNvPr descr="these_brieuc_last_recueil_files/figure-docx/results-by-level-rate-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4" name="Picture"/>
            <a:graphic>
              <a:graphicData uri="http://schemas.openxmlformats.org/drawingml/2006/picture">
                <pic:pic>
                  <pic:nvPicPr>
                    <pic:cNvPr descr="these_brieuc_last_recueil_files/figure-docx/results-by-level-count-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1"/>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1"/>
        </w:numPr>
      </w:pPr>
      <w:r>
        <w:t xml:space="preserve">Graphique peu interprétable pour les niveaux peu représentés. À C6 et C7, les patients ont</w:t>
      </w:r>
      <w:r>
        <w:t xml:space="preserve"> </w:t>
      </w:r>
      <w:r>
        <w:rPr>
          <w:rStyle w:val="VerbatimChar"/>
        </w:rPr>
        <w:t xml:space="preserve">≥ 3</w:t>
      </w:r>
      <w:r>
        <w:t xml:space="preserve"> </w:t>
      </w:r>
      <w:r>
        <w:t xml:space="preserve">tests positifs dans respectivement 70.4 % et 52.2 % des cas.</w:t>
      </w:r>
    </w:p>
    <w:p>
      <w:r>
        <w:br w:type="page"/>
      </w:r>
    </w:p>
    <w:bookmarkEnd w:id="116"/>
    <w:bookmarkStart w:id="125" w:name="X24df2f30bf32bdef8b2f19a40875147e62cc664"/>
    <w:p>
      <w:pPr>
        <w:pStyle w:val="Heading3"/>
      </w:pPr>
      <w:r>
        <w:t xml:space="preserve">Focus sur les cas confirmés (Gold Standard Positif)</w:t>
      </w:r>
    </w:p>
    <w:p>
      <w:pPr>
        <w:pStyle w:val="FirstParagraph"/>
      </w:pPr>
      <w:r>
        <w:t xml:space="preserve">Afin d’affiner la compréhension clinique, nous isolons ici les patients confirmés comme étant réellement atteints d’une NCB (Gold Standard positif, N = 45).</w:t>
      </w:r>
    </w:p>
    <w:tbl>
      <w:tblPr>
        <w:tblStyle w:val="Table"/>
        <w:tblW w:type="pct" w:w="5000"/>
        <w:tblLayout w:type="fixed"/>
        <w:tblLook w:firstRow="0" w:lastRow="0" w:firstColumn="0" w:lastColumn="0" w:noHBand="0" w:noVBand="0" w:val="0000"/>
      </w:tblPr>
      <w:tblGrid>
        <w:gridCol w:w="7920"/>
      </w:tblGrid>
      <w:tr>
        <w:tc>
          <w:tcPr/>
          <w:bookmarkStart w:id="120" w:name="fig-gs-positive-level"/>
          <w:p>
            <w:pPr>
              <w:pStyle w:val="Compact"/>
              <w:jc w:val="center"/>
            </w:pPr>
            <w:r>
              <w:drawing>
                <wp:inline>
                  <wp:extent cx="5334000" cy="4267200"/>
                  <wp:effectExtent b="0" l="0" r="0" t="0"/>
                  <wp:docPr descr="" title="" id="118" name="Picture"/>
                  <a:graphic>
                    <a:graphicData uri="http://schemas.openxmlformats.org/drawingml/2006/picture">
                      <pic:pic>
                        <pic:nvPicPr>
                          <pic:cNvPr descr="these_brieuc_last_recueil_files/figure-docx/fig-gs-positive-level-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Répartition des niveaux métamériques uniquement chez les cas confirmés</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gs-positive-score"/>
          <w:p>
            <w:pPr>
              <w:pStyle w:val="Compact"/>
              <w:jc w:val="center"/>
            </w:pPr>
            <w:r>
              <w:drawing>
                <wp:inline>
                  <wp:extent cx="5334000" cy="4267200"/>
                  <wp:effectExtent b="0" l="0" r="0" t="0"/>
                  <wp:docPr descr="" title="" id="122" name="Picture"/>
                  <a:graphic>
                    <a:graphicData uri="http://schemas.openxmlformats.org/drawingml/2006/picture">
                      <pic:pic>
                        <pic:nvPicPr>
                          <pic:cNvPr descr="these_brieuc_last_recueil_files/figure-docx/fig-gs-positive-score-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Score ULNT par niveau chez les patients confirmés</w:t>
            </w:r>
          </w:p>
          <w:bookmarkEnd w:id="124"/>
        </w:tc>
      </w:tr>
    </w:tbl>
    <w:bookmarkEnd w:id="125"/>
    <w:bookmarkStart w:id="131" w:name="X703fe49374d10f2f062ed2a4e9ff6878570202b"/>
    <w:p>
      <w:pPr>
        <w:pStyle w:val="Heading3"/>
      </w:pPr>
      <w:r>
        <w:t xml:space="preserve">Performance des tests par niveau (VP, FP, FN, VN)</w:t>
      </w:r>
    </w:p>
    <w:p>
      <w:pPr>
        <w:pStyle w:val="FirstParagraph"/>
      </w:pPr>
      <w:r>
        <w:t xml:space="preserve">Ce graphique permet de visualiser pour chaque étage métamérique la répartition des résultats pour les 4 tests ULNT.</w:t>
      </w:r>
    </w:p>
    <w:tbl>
      <w:tblPr>
        <w:tblStyle w:val="Table"/>
        <w:tblW w:type="pct" w:w="5000"/>
        <w:tblLayout w:type="fixed"/>
        <w:tblLook w:firstRow="0" w:lastRow="0" w:firstColumn="0" w:lastColumn="0" w:noHBand="0" w:noVBand="0" w:val="0000"/>
      </w:tblPr>
      <w:tblGrid>
        <w:gridCol w:w="7920"/>
      </w:tblGrid>
      <w:tr>
        <w:tc>
          <w:tcPr/>
          <w:bookmarkStart w:id="130" w:name="fig-level-performance-individual"/>
          <w:p>
            <w:pPr>
              <w:pStyle w:val="Compact"/>
              <w:jc w:val="center"/>
            </w:pPr>
            <w:bookmarkStart w:id="129" w:name="fig-level-performance-individual"/>
            <w:r>
              <w:drawing>
                <wp:inline>
                  <wp:extent cx="5334000" cy="7467600"/>
                  <wp:effectExtent b="0" l="0" r="0" t="0"/>
                  <wp:docPr descr="" title="" id="127" name="Picture"/>
                  <a:graphic>
                    <a:graphicData uri="http://schemas.openxmlformats.org/drawingml/2006/picture">
                      <pic:pic>
                        <pic:nvPicPr>
                          <pic:cNvPr descr="these_brieuc_last_recueil_files/figure-docx/fig-level-performance-individual-1.png" id="128" name="Picture"/>
                          <pic:cNvPicPr>
                            <a:picLocks noChangeArrowheads="1" noChangeAspect="1"/>
                          </pic:cNvPicPr>
                        </pic:nvPicPr>
                        <pic:blipFill>
                          <a:blip r:embed="rId126"/>
                          <a:stretch>
                            <a:fillRect/>
                          </a:stretch>
                        </pic:blipFill>
                        <pic:spPr bwMode="auto">
                          <a:xfrm>
                            <a:off x="0" y="0"/>
                            <a:ext cx="5334000" cy="7467600"/>
                          </a:xfrm>
                          <a:prstGeom prst="rect">
                            <a:avLst/>
                          </a:prstGeom>
                          <a:noFill/>
                          <a:ln w="9525">
                            <a:noFill/>
                            <a:headEnd/>
                            <a:tailEnd/>
                          </a:ln>
                        </pic:spPr>
                      </pic:pic>
                    </a:graphicData>
                  </a:graphic>
                </wp:inline>
              </w:drawing>
            </w:r>
            <w:bookmarkEnd w:id="129"/>
          </w:p>
          <w:p>
            <w:pPr>
              <w:jc w:val="center"/>
            </w:pPr>
            <w:pPr>
              <w:jc w:val="left"/>
              <w:spacing w:before="200"/>
              <w:pStyle w:val="ImageCaption"/>
            </w:pPr>
            <w:r>
              <w:t xml:space="preserve">Figure 4</w:t>
            </w:r>
          </w:p>
          <w:bookmarkEnd w:id="130"/>
        </w:tc>
      </w:tr>
    </w:tbl>
    <w:p>
      <w:r>
        <w:br w:type="page"/>
      </w:r>
    </w:p>
    <w:bookmarkEnd w:id="131"/>
    <w:bookmarkStart w:id="132"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numPr>
          <w:ilvl w:val="0"/>
          <w:numId w:val="1032"/>
        </w:numPr>
      </w:pPr>
      <w:r>
        <w:t xml:space="preserve">Les effectifs sont très faibles à certains niveaux, ce qui rend les résultats très instables et peu interprétables.</w:t>
      </w:r>
    </w:p>
    <w:p>
      <w:pPr>
        <w:numPr>
          <w:ilvl w:val="0"/>
          <w:numId w:val="1032"/>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3"/>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32"/>
    <w:bookmarkStart w:id="136"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34" name="Picture"/>
            <a:graphic>
              <a:graphicData uri="http://schemas.openxmlformats.org/drawingml/2006/picture">
                <pic:pic>
                  <pic:nvPicPr>
                    <pic:cNvPr descr="these_brieuc_last_recueil_files/figure-docx/results-by-level-test-metric-plot-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pStyle w:val="BodyText"/>
      </w:pPr>
      <w:r>
        <w:t xml:space="preserve">Globalement, 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36"/>
    <w:bookmarkEnd w:id="137"/>
    <w:bookmarkStart w:id="141"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13</w:t>
            </w:r>
          </w:p>
        </w:tc>
        <w:tc>
          <w:tcPr/>
          <w:p>
            <w:pPr>
              <w:pStyle w:val="Compact"/>
              <w:jc w:val="right"/>
            </w:pPr>
            <w:r>
              <w:t xml:space="preserve">0.8333333</w:t>
            </w:r>
          </w:p>
        </w:tc>
        <w:tc>
          <w:tcPr/>
          <w:p>
            <w:pPr>
              <w:pStyle w:val="Compact"/>
              <w:jc w:val="right"/>
            </w:pPr>
            <w:r>
              <w:t xml:space="preserve">0.4615385</w:t>
            </w:r>
          </w:p>
        </w:tc>
      </w:tr>
      <w:tr>
        <w:tc>
          <w:tcPr/>
          <w:p>
            <w:pPr>
              <w:pStyle w:val="Compact"/>
              <w:jc w:val="left"/>
            </w:pPr>
            <w:r>
              <w:t xml:space="preserve">C7-C8</w:t>
            </w:r>
          </w:p>
        </w:tc>
        <w:tc>
          <w:tcPr/>
          <w:p>
            <w:pPr>
              <w:pStyle w:val="Compact"/>
              <w:jc w:val="right"/>
            </w:pPr>
            <w:r>
              <w:t xml:space="preserve">34</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0.8571429</w:t>
            </w:r>
          </w:p>
        </w:tc>
        <w:tc>
          <w:tcPr/>
          <w:p>
            <w:pPr>
              <w:pStyle w:val="Compact"/>
              <w:jc w:val="right"/>
            </w:pPr>
            <w:r>
              <w:t xml:space="preserve">0.7692308</w:t>
            </w:r>
          </w:p>
        </w:tc>
      </w:tr>
    </w:tbl>
    <w:p>
      <w:pPr>
        <w:pStyle w:val="CaptionedFigure"/>
      </w:pPr>
      <w:r>
        <w:drawing>
          <wp:inline>
            <wp:extent cx="5334000" cy="4267200"/>
            <wp:effectExtent b="0" l="0" r="0" t="0"/>
            <wp:docPr descr="Sensibilité et Spécificité (ULNT1) selon l’étage métamérique" title="" id="139" name="Picture"/>
            <a:graphic>
              <a:graphicData uri="http://schemas.openxmlformats.org/drawingml/2006/picture">
                <pic:pic>
                  <pic:nvPicPr>
                    <pic:cNvPr descr="these_brieuc_last_recueil_files/figure-docx/level-grouped-plot-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41"/>
    <w:bookmarkStart w:id="143"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0.769</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71</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26</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63.4 %</w:t>
            </w:r>
          </w:p>
        </w:tc>
      </w:tr>
      <w:tr>
        <w:tc>
          <w:tcPr/>
          <w:p>
            <w:pPr>
              <w:pStyle w:val="Compact"/>
              <w:jc w:val="left"/>
            </w:pPr>
            <w:r>
              <w:t xml:space="preserve">Marge de précision</w:t>
            </w:r>
          </w:p>
        </w:tc>
        <w:tc>
          <w:tcPr/>
          <w:p>
            <w:pPr>
              <w:pStyle w:val="Compact"/>
              <w:jc w:val="left"/>
            </w:pPr>
            <w:r>
              <w:t xml:space="preserve">0.149</w:t>
            </w:r>
          </w:p>
        </w:tc>
        <w:tc>
          <w:tcPr/>
          <w:p>
            <w:pPr>
              <w:pStyle w:val="Compact"/>
              <w:jc w:val="left"/>
            </w:pPr>
            <w:r>
              <w:t xml:space="preserve">0.175</w:t>
            </w:r>
          </w:p>
        </w:tc>
      </w:tr>
    </w:tbl>
    <w:bookmarkStart w:id="142"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4"/>
        </w:numPr>
      </w:pPr>
      <w:r>
        <w:rPr>
          <w:b/>
          <w:bCs/>
        </w:rPr>
        <w:t xml:space="preserve">L’impact de la prévalence</w:t>
      </w:r>
      <w:r>
        <w:t xml:space="preserve"> </w:t>
      </w:r>
      <w:r>
        <w:t xml:space="preserve">: Le recrutement total (N = 71) est conforme à l’objectif. L’insuffisance du nombre de sujets négatifs (n = 26 au lieu de 27) s’explique par une prévalence de la maladie plus forte que prévue sur le terrain (63.4% contre 60% dans le scénario du protocole). Pour atteindre 27 négatifs, il aurait fallu une prévalence maximale de 62%.</w:t>
      </w:r>
    </w:p>
    <w:p>
      <w:pPr>
        <w:pStyle w:val="Compact"/>
        <w:numPr>
          <w:ilvl w:val="0"/>
          <w:numId w:val="1034"/>
        </w:numPr>
      </w:pPr>
      <w:r>
        <w:rPr>
          <w:b/>
          <w:bCs/>
        </w:rPr>
        <w:t xml:space="preserve">Une perte de précision minime liée à l’effectif négatif</w:t>
      </w:r>
      <w:r>
        <w:t xml:space="preserve"> </w:t>
      </w:r>
      <w:r>
        <w:t xml:space="preserve">: Si la spécificité avait été de 0.90, le passage de 27 à 26 sujets négatifs n’aurait modifié la précision sur la borne inférieure de l’intervalle de confiance que d’environ 0.4 points. La spécificité observée plus faible que prévue (0.769 au lieu de 0.90) a un impact plus important sur la précision, avec une marge de 0.175 au lieu de 0.149, soit une perte de précision d’environ 2.6 points par rapport à l’objectif initial.</w:t>
      </w:r>
    </w:p>
    <w:p>
      <w:pPr>
        <w:pStyle w:val="Compact"/>
        <w:numPr>
          <w:ilvl w:val="0"/>
          <w:numId w:val="1034"/>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0.769, il aurait fallu 34 sujets négatifs (soit environ 93 patients au total avec la prévalence observée) pour stabiliser l’estimation avec la marge de 0.149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93 patients avec la prévalence observée, pour compenser une spécificité plus faible qu’attendu.</w:t>
      </w:r>
    </w:p>
    <w:p>
      <w:r>
        <w:br w:type="page"/>
      </w:r>
    </w:p>
    <w:bookmarkEnd w:id="142"/>
    <w:bookmarkEnd w:id="143"/>
    <w:bookmarkStart w:id="163" w:name="Xa74f6e5e5a07d3b1e6f81174b7b050bbc6693ee"/>
    <w:p>
      <w:pPr>
        <w:pStyle w:val="Heading2"/>
      </w:pPr>
      <w:r>
        <w:t xml:space="preserve">Analyse secondaire : confirmation par infiltration thérapeutique</w:t>
      </w:r>
    </w:p>
    <w:p>
      <w:pPr>
        <w:pStyle w:val="FirstParagraph"/>
      </w:pPr>
      <w:r>
        <w:t xml:space="preserve">Cette analyse ne remplace pas le gold standard final corrigé par senior. Elle évalue uniquement une définition secondaire plus restrictive des cas positifs.</w:t>
      </w:r>
    </w:p>
    <w:p>
      <w:pPr>
        <w:pStyle w:val="BodyText"/>
      </w:pPr>
      <w:r>
        <w:t xml:space="preserve">Définition secondaire positive :</w:t>
      </w:r>
      <w:r>
        <w:t xml:space="preserve"> </w:t>
      </w:r>
      <w:r>
        <w:rPr>
          <w:rStyle w:val="VerbatimChar"/>
        </w:rPr>
        <w:t xml:space="preserve">Gold_Standard</w:t>
      </w:r>
      <w:r>
        <w:t xml:space="preserve"> </w:t>
      </w:r>
      <w:r>
        <w:t xml:space="preserve">final positif</w:t>
      </w:r>
      <w:r>
        <w:t xml:space="preserve"> </w:t>
      </w:r>
      <w:r>
        <w:rPr>
          <w:b/>
          <w:bCs/>
        </w:rPr>
        <w:t xml:space="preserve">et</w:t>
      </w:r>
      <w:r>
        <w:t xml:space="preserve"> </w:t>
      </w:r>
      <w:r>
        <w:t xml:space="preserve">infiltration thérapeutique positive.</w:t>
      </w:r>
    </w:p>
    <w:p>
      <w:pPr>
        <w:pStyle w:val="BodyText"/>
      </w:pPr>
      <w:r>
        <w:t xml:space="preserve">Deux approches sont possibles pour les négatifs :</w:t>
      </w:r>
    </w:p>
    <w:p>
      <w:pPr>
        <w:numPr>
          <w:ilvl w:val="0"/>
          <w:numId w:val="1035"/>
        </w:numPr>
      </w:pPr>
      <w:r>
        <w:t xml:space="preserve">Approche 1 : on conserve uniquement les négatifs du gold standard final (exclusion des patients avec</w:t>
      </w:r>
      <w:r>
        <w:t xml:space="preserve"> </w:t>
      </w:r>
      <w:r>
        <w:rPr>
          <w:rStyle w:val="VerbatimChar"/>
        </w:rPr>
        <w:t xml:space="preserve">Gold_Standard</w:t>
      </w:r>
      <w:r>
        <w:t xml:space="preserve"> </w:t>
      </w:r>
      <w:r>
        <w:t xml:space="preserve">final positif mais sans infiltration positive)</w:t>
      </w:r>
    </w:p>
    <w:p>
      <w:pPr>
        <w:numPr>
          <w:ilvl w:val="0"/>
          <w:numId w:val="1035"/>
        </w:numPr>
      </w:pPr>
      <w:r>
        <w:t xml:space="preserve">Approche 2 : on considère comme négatifs tous les patients qui n’ont pas d’infiltration thérapeutique positive, même ceux avec un</w:t>
      </w:r>
      <w:r>
        <w:t xml:space="preserve"> </w:t>
      </w:r>
      <w:r>
        <w:rPr>
          <w:rStyle w:val="VerbatimChar"/>
        </w:rPr>
        <w:t xml:space="preserve">Gold_Standard</w:t>
      </w:r>
      <w:r>
        <w:t xml:space="preserve"> </w:t>
      </w:r>
      <w:r>
        <w:t xml:space="preserve">final positif. Cette approche est volontairement stricte et doit être interprétée comme une analyse exploratoire.</w:t>
      </w:r>
    </w:p>
    <w:bookmarkStart w:id="151" w:name="Xa192f37cf83a10b999fde97a2d384c51e445d4f"/>
    <w:p>
      <w:pPr>
        <w:pStyle w:val="Heading3"/>
      </w:pPr>
      <w:r>
        <w:t xml:space="preserve">Approche 1 : Négatifs = Négatifs du gold standard final</w:t>
      </w:r>
    </w:p>
    <w:p>
      <w:pPr>
        <w:pStyle w:val="FirstParagraph"/>
      </w:pPr>
      <w:r>
        <w:t xml:space="preserve">Les patients ayant un</w:t>
      </w:r>
      <w:r>
        <w:t xml:space="preserve"> </w:t>
      </w:r>
      <w:r>
        <w:rPr>
          <w:rStyle w:val="VerbatimChar"/>
        </w:rPr>
        <w:t xml:space="preserve">Gold_Standard</w:t>
      </w:r>
      <w:r>
        <w:t xml:space="preserve"> </w:t>
      </w:r>
      <w:r>
        <w:t xml:space="preserve">final positif mais sans infiltration thérapeutique positive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52 patients</w:t>
      </w:r>
      <w:r>
        <w:t xml:space="preserve"> </w:t>
      </w:r>
      <w:r>
        <w:t xml:space="preserve">(26 cas positifs avec confirmation par infiltration et 26 cas négatifs du gold standard final).</w:t>
      </w:r>
    </w:p>
    <w:bookmarkStart w:id="150"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car on se concentre sur les cas positifs ayant aussi une confirmation par infiltration.</w:t>
      </w:r>
    </w:p>
    <w:tbl>
      <w:tblPr>
        <w:tblStyle w:val="Table"/>
        <w:tblW w:type="pct" w:w="5000"/>
        <w:tblLayout w:type="fixed"/>
        <w:tblLook w:firstRow="0" w:lastRow="0" w:firstColumn="0" w:lastColumn="0" w:noHBand="0" w:noVBand="0" w:val="0000"/>
      </w:tblPr>
      <w:tblGrid>
        <w:gridCol w:w="7920"/>
      </w:tblGrid>
      <w:tr>
        <w:tc>
          <w:tcPr/>
          <w:bookmarkStart w:id="144"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0.615 [0.406 ; 0.798]</w:t>
                  </w:r>
                </w:p>
              </w:tc>
              <w:tc>
                <w:tcPr/>
                <w:p>
                  <w:pPr>
                    <w:pStyle w:val="Compact"/>
                    <w:jc w:val="center"/>
                    <w:jc w:val="center"/>
                  </w:pPr>
                  <w:r>
                    <w:t xml:space="preserve">0.697 [0.513 ; 0.844]</w:t>
                  </w:r>
                </w:p>
              </w:tc>
              <w:tc>
                <w:tcPr/>
                <w:p>
                  <w:pPr>
                    <w:pStyle w:val="Compact"/>
                    <w:jc w:val="center"/>
                    <w:jc w:val="center"/>
                  </w:pPr>
                  <w:r>
                    <w:t xml:space="preserve">0.842 [0.604 ; 0.966]</w:t>
                  </w:r>
                </w:p>
              </w:tc>
              <w:tc>
                <w:tcPr/>
                <w:p>
                  <w:pPr>
                    <w:pStyle w:val="Compact"/>
                    <w:jc w:val="center"/>
                    <w:jc w:val="center"/>
                  </w:pPr>
                  <w:r>
                    <w:t xml:space="preserve">2.30</w:t>
                  </w:r>
                </w:p>
              </w:tc>
              <w:tc>
                <w:tcPr/>
                <w:p>
                  <w:pPr>
                    <w:pStyle w:val="Compact"/>
                    <w:jc w:val="center"/>
                    <w:jc w:val="center"/>
                  </w:pPr>
                  <w:r>
                    <w:t xml:space="preserve">0.19</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0.577 [0.369 ; 0.766]</w:t>
                  </w:r>
                </w:p>
              </w:tc>
              <w:tc>
                <w:tcPr/>
                <w:p>
                  <w:pPr>
                    <w:pStyle w:val="Compact"/>
                    <w:jc w:val="center"/>
                    <w:jc w:val="center"/>
                  </w:pPr>
                  <w:r>
                    <w:t xml:space="preserve">0.633 [0.439 ; 0.801]</w:t>
                  </w:r>
                </w:p>
              </w:tc>
              <w:tc>
                <w:tcPr/>
                <w:p>
                  <w:pPr>
                    <w:pStyle w:val="Compact"/>
                    <w:jc w:val="center"/>
                    <w:jc w:val="center"/>
                  </w:pPr>
                  <w:r>
                    <w:t xml:space="preserve">0.682 [0.451 ; 0.861]</w:t>
                  </w:r>
                </w:p>
              </w:tc>
              <w:tc>
                <w:tcPr/>
                <w:p>
                  <w:pPr>
                    <w:pStyle w:val="Compact"/>
                    <w:jc w:val="center"/>
                    <w:jc w:val="center"/>
                  </w:pPr>
                  <w:r>
                    <w:t xml:space="preserve">1.73</w:t>
                  </w:r>
                </w:p>
              </w:tc>
              <w:tc>
                <w:tcPr/>
                <w:p>
                  <w:pPr>
                    <w:pStyle w:val="Compact"/>
                    <w:jc w:val="center"/>
                    <w:jc w:val="center"/>
                  </w:pPr>
                  <w:r>
                    <w:t xml:space="preserve">0.47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0.692 [0.482 ; 0.857]</w:t>
                  </w:r>
                </w:p>
              </w:tc>
              <w:tc>
                <w:tcPr/>
                <w:p>
                  <w:pPr>
                    <w:pStyle w:val="Compact"/>
                    <w:jc w:val="center"/>
                    <w:jc w:val="center"/>
                  </w:pPr>
                  <w:r>
                    <w:t xml:space="preserve">0.68 [0.465 ; 0.851]</w:t>
                  </w:r>
                </w:p>
              </w:tc>
              <w:tc>
                <w:tcPr/>
                <w:p>
                  <w:pPr>
                    <w:pStyle w:val="Compact"/>
                    <w:jc w:val="center"/>
                    <w:jc w:val="center"/>
                  </w:pPr>
                  <w:r>
                    <w:t xml:space="preserve">0.667 [0.46 ; 0.835]</w:t>
                  </w:r>
                </w:p>
              </w:tc>
              <w:tc>
                <w:tcPr/>
                <w:p>
                  <w:pPr>
                    <w:pStyle w:val="Compact"/>
                    <w:jc w:val="center"/>
                    <w:jc w:val="center"/>
                  </w:pPr>
                  <w:r>
                    <w:t xml:space="preserve">2.12</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bl>
          <w:bookmarkEnd w:id="14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tbl-comp-a1-sensi"/>
          <w:p>
            <w:pPr>
              <w:jc w:val="center"/>
            </w:pPr>
            <w:pPr>
              <w:jc w:val="left"/>
              <w:spacing w:before="200"/>
              <w:pStyle w:val="ImageCaption"/>
            </w:pPr>
            <w:r>
              <w:t xml:space="preserve">Table 3: Approche 1 - Comparaison de la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ULNT1</w:t>
                  </w:r>
                </w:p>
              </w:tc>
              <w:tc>
                <w:tcPr/>
                <w:p>
                  <w:pPr>
                    <w:pStyle w:val="Compact"/>
                    <w:jc w:val="center"/>
                    <w:jc w:val="center"/>
                  </w:pPr>
                  <w:r>
                    <w:t xml:space="preserve">0.844 [0.705 ; 0.935]</w:t>
                  </w:r>
                </w:p>
              </w:tc>
              <w:tc>
                <w:tcPr/>
                <w:p>
                  <w:pPr>
                    <w:pStyle w:val="Compact"/>
                    <w:jc w:val="center"/>
                    <w:jc w:val="center"/>
                  </w:pPr>
                  <w:r>
                    <w:t xml:space="preserve">0.885 [0.698 ; 0.976]</w:t>
                  </w:r>
                </w:p>
              </w:tc>
            </w:tr>
            <w:tr>
              <w:tc>
                <w:tcPr/>
                <w:p>
                  <w:pPr>
                    <w:pStyle w:val="Compact"/>
                    <w:jc w:val="center"/>
                    <w:jc w:val="center"/>
                  </w:pPr>
                  <w:r>
                    <w:t xml:space="preserve">ULNT2a</w:t>
                  </w:r>
                </w:p>
              </w:tc>
              <w:tc>
                <w:tcPr/>
                <w:p>
                  <w:pPr>
                    <w:pStyle w:val="Compact"/>
                    <w:jc w:val="center"/>
                    <w:jc w:val="center"/>
                  </w:pPr>
                  <w:r>
                    <w:t xml:space="preserve">0.778 [0.629 ; 0.888]</w:t>
                  </w:r>
                </w:p>
              </w:tc>
              <w:tc>
                <w:tcPr/>
                <w:p>
                  <w:pPr>
                    <w:pStyle w:val="Compact"/>
                    <w:jc w:val="center"/>
                    <w:jc w:val="center"/>
                  </w:pPr>
                  <w:r>
                    <w:t xml:space="preserve">0.731 [0.522 ; 0.884]</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ULNT3</w:t>
                  </w:r>
                </w:p>
              </w:tc>
              <w:tc>
                <w:tcPr/>
                <w:p>
                  <w:pPr>
                    <w:pStyle w:val="Compact"/>
                    <w:jc w:val="center"/>
                    <w:jc w:val="center"/>
                  </w:pPr>
                  <w:r>
                    <w:t xml:space="preserve">0.378 [0.238 ; 0.535]</w:t>
                  </w:r>
                </w:p>
              </w:tc>
              <w:tc>
                <w:tcPr/>
                <w:p>
                  <w:pPr>
                    <w:pStyle w:val="Compact"/>
                    <w:jc w:val="center"/>
                    <w:jc w:val="center"/>
                  </w:pPr>
                  <w:r>
                    <w:t xml:space="preserve">0.385 [0.202 ; 0.594]</w:t>
                  </w:r>
                </w:p>
              </w:tc>
            </w:tr>
          </w:tbl>
          <w:bookmarkEnd w:id="1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0.63 [0.424 ; 0.806]</w:t>
                  </w:r>
                </w:p>
              </w:tc>
              <w:tc>
                <w:tcPr/>
                <w:p>
                  <w:pPr>
                    <w:pStyle w:val="Compact"/>
                    <w:jc w:val="center"/>
                    <w:jc w:val="center"/>
                  </w:pPr>
                  <w:r>
                    <w:t xml:space="preserve">0.64 [0.425 ; 0.82]</w:t>
                  </w:r>
                </w:p>
              </w:tc>
              <w:tc>
                <w:tcPr/>
                <w:p>
                  <w:pPr>
                    <w:pStyle w:val="Compact"/>
                    <w:jc w:val="center"/>
                    <w:jc w:val="center"/>
                  </w:pPr>
                  <w:r>
                    <w:t xml:space="preserve">1.70</w:t>
                  </w:r>
                </w:p>
              </w:tc>
              <w:tc>
                <w:tcPr/>
                <w:p>
                  <w:pPr>
                    <w:pStyle w:val="Compact"/>
                    <w:jc w:val="center"/>
                    <w:jc w:val="center"/>
                  </w:pPr>
                  <w:r>
                    <w:t xml:space="preserve">0.56</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0.667 [0.43 ; 0.854]</w:t>
                  </w:r>
                </w:p>
              </w:tc>
              <w:tc>
                <w:tcPr/>
                <w:p>
                  <w:pPr>
                    <w:pStyle w:val="Compact"/>
                    <w:jc w:val="center"/>
                    <w:jc w:val="center"/>
                  </w:pPr>
                  <w:r>
                    <w:t xml:space="preserve">0.613 [0.422 ; 0.782]</w:t>
                  </w:r>
                </w:p>
              </w:tc>
              <w:tc>
                <w:tcPr/>
                <w:p>
                  <w:pPr>
                    <w:pStyle w:val="Compact"/>
                    <w:jc w:val="center"/>
                    <w:jc w:val="center"/>
                  </w:pPr>
                  <w:r>
                    <w:t xml:space="preserve">2.00</w:t>
                  </w:r>
                </w:p>
              </w:tc>
              <w:tc>
                <w:tcPr/>
                <w:p>
                  <w:pPr>
                    <w:pStyle w:val="Compact"/>
                    <w:jc w:val="center"/>
                    <w:jc w:val="center"/>
                  </w:pPr>
                  <w:r>
                    <w:t xml:space="preserve">0.63</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0.65 [0.408 ; 0.846]</w:t>
                  </w:r>
                </w:p>
              </w:tc>
              <w:tc>
                <w:tcPr/>
                <w:p>
                  <w:pPr>
                    <w:pStyle w:val="Compact"/>
                    <w:jc w:val="center"/>
                    <w:jc w:val="center"/>
                  </w:pPr>
                  <w:r>
                    <w:t xml:space="preserve">0.594 [0.406 ; 0.763]</w:t>
                  </w:r>
                </w:p>
              </w:tc>
              <w:tc>
                <w:tcPr/>
                <w:p>
                  <w:pPr>
                    <w:pStyle w:val="Compact"/>
                    <w:jc w:val="center"/>
                    <w:jc w:val="center"/>
                  </w:pPr>
                  <w:r>
                    <w:t xml:space="preserve">1.86</w:t>
                  </w:r>
                </w:p>
              </w:tc>
              <w:tc>
                <w:tcPr/>
                <w:p>
                  <w:pPr>
                    <w:pStyle w:val="Compact"/>
                    <w:jc w:val="center"/>
                    <w:jc w:val="center"/>
                  </w:pPr>
                  <w:r>
                    <w:t xml:space="preserve">0.68</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0.611 [0.357 ; 0.827]</w:t>
                  </w:r>
                </w:p>
              </w:tc>
              <w:tc>
                <w:tcPr/>
                <w:p>
                  <w:pPr>
                    <w:pStyle w:val="Compact"/>
                    <w:jc w:val="center"/>
                    <w:jc w:val="center"/>
                  </w:pPr>
                  <w:r>
                    <w:t xml:space="preserve">0.559 [0.379 ; 0.728]</w:t>
                  </w:r>
                </w:p>
              </w:tc>
              <w:tc>
                <w:tcPr/>
                <w:p>
                  <w:pPr>
                    <w:pStyle w:val="Compact"/>
                    <w:jc w:val="center"/>
                    <w:jc w:val="center"/>
                  </w:pPr>
                  <w:r>
                    <w:t xml:space="preserve">1.57</w:t>
                  </w:r>
                </w:p>
              </w:tc>
              <w:tc>
                <w:tcPr/>
                <w:p>
                  <w:pPr>
                    <w:pStyle w:val="Compact"/>
                    <w:jc w:val="center"/>
                    <w:jc w:val="center"/>
                  </w:pPr>
                  <w:r>
                    <w:t xml:space="preserve">0.79</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tbl-comp-a1-comb"/>
          <w:p>
            <w:pPr>
              <w:jc w:val="center"/>
            </w:pPr>
            <w:pPr>
              <w:jc w:val="left"/>
              <w:spacing w:before="200"/>
              <w:pStyle w:val="ImageCaption"/>
            </w:pPr>
            <w:r>
              <w:t xml:space="preserve">Table 5: Approche 1 - Comparaison des combinaisons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8"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0.684 [0.513 ; 0.825]</w:t>
                  </w:r>
                </w:p>
              </w:tc>
              <w:tc>
                <w:tcPr/>
                <w:p>
                  <w:pPr>
                    <w:pStyle w:val="Compact"/>
                    <w:jc w:val="center"/>
                    <w:jc w:val="center"/>
                  </w:pPr>
                  <w:r>
                    <w:t xml:space="preserve">1 [0.768 ; 1]</w:t>
                  </w:r>
                </w:p>
              </w:tc>
              <w:tc>
                <w:tcPr/>
                <w:p>
                  <w:pPr>
                    <w:pStyle w:val="Compact"/>
                    <w:jc w:val="center"/>
                    <w:jc w:val="center"/>
                  </w:pPr>
                  <w:r>
                    <w:t xml:space="preserve">2.17</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0.688 [0.5 ; 0.839]</w:t>
                  </w:r>
                </w:p>
              </w:tc>
              <w:tc>
                <w:tcPr/>
                <w:p>
                  <w:pPr>
                    <w:pStyle w:val="Compact"/>
                    <w:jc w:val="center"/>
                    <w:jc w:val="center"/>
                  </w:pPr>
                  <w:r>
                    <w:t xml:space="preserve">0.8 [0.563 ; 0.943]</w:t>
                  </w:r>
                </w:p>
              </w:tc>
              <w:tc>
                <w:tcPr/>
                <w:p>
                  <w:pPr>
                    <w:pStyle w:val="Compact"/>
                    <w:jc w:val="center"/>
                    <w:jc w:val="center"/>
                  </w:pPr>
                  <w:r>
                    <w:t xml:space="preserve">2.20</w:t>
                  </w:r>
                </w:p>
              </w:tc>
              <w:tc>
                <w:tcPr/>
                <w:p>
                  <w:pPr>
                    <w:pStyle w:val="Compact"/>
                    <w:jc w:val="center"/>
                    <w:jc w:val="center"/>
                  </w:pPr>
                  <w:r>
                    <w:t xml:space="preserve">0.25</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1.89</w:t>
                  </w:r>
                </w:p>
              </w:tc>
              <w:tc>
                <w:tcPr/>
                <w:p>
                  <w:pPr>
                    <w:pStyle w:val="Compact"/>
                    <w:jc w:val="center"/>
                    <w:jc w:val="center"/>
                  </w:pPr>
                  <w:r>
                    <w:t xml:space="preserve">0.53</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comp-a1-score"/>
          <w:p>
            <w:pPr>
              <w:jc w:val="center"/>
            </w:pPr>
            <w:pPr>
              <w:jc w:val="left"/>
              <w:spacing w:before="200"/>
              <w:pStyle w:val="ImageCaption"/>
            </w:pPr>
            <w:r>
              <w:t xml:space="preserve">Table 7: Approche 1 - Comparaison du score global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49"/>
          <w:p/>
        </w:tc>
      </w:tr>
    </w:tbl>
    <w:p>
      <w:r>
        <w:br w:type="page"/>
      </w:r>
    </w:p>
    <w:bookmarkEnd w:id="150"/>
    <w:bookmarkEnd w:id="151"/>
    <w:bookmarkStart w:id="162"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une confirmation par infiltration thérapeutique positive sont assignés au groupe</w:t>
      </w:r>
      <w:r>
        <w:t xml:space="preserve"> </w:t>
      </w:r>
      <w:r>
        <w:rPr>
          <w:b/>
          <w:bCs/>
        </w:rPr>
        <w:t xml:space="preserve">Négatif</w:t>
      </w:r>
      <w:r>
        <w:t xml:space="preserve">. Ce groupe inclut les négatifs du gold standard final, mais également les patients avec</w:t>
      </w:r>
      <w:r>
        <w:t xml:space="preserve"> </w:t>
      </w:r>
      <w:r>
        <w:rPr>
          <w:rStyle w:val="VerbatimChar"/>
        </w:rPr>
        <w:t xml:space="preserve">Gold_Standard</w:t>
      </w:r>
      <w:r>
        <w:t xml:space="preserve"> </w:t>
      </w:r>
      <w:r>
        <w:t xml:space="preserve">final positif qui n’ont pas eu d’infiltration positive documentée.</w:t>
      </w:r>
      <w:r>
        <w:t xml:space="preserve"> </w:t>
      </w:r>
      <w:r>
        <w:t xml:space="preserve">Cette analyse porte sur l’ensemble de la cohorte (</w:t>
      </w:r>
      <w:r>
        <w:rPr>
          <w:b/>
          <w:bCs/>
        </w:rPr>
        <w:t xml:space="preserve">N = 71</w:t>
      </w:r>
      <w:r>
        <w:t xml:space="preserve">), avec 26 cas positifs confirmés par infiltration et 45 cas classés négatifs dans cette définition secondaire.</w:t>
      </w:r>
    </w:p>
    <w:bookmarkStart w:id="161"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 mécaniquement</w:t>
      </w:r>
      <w:r>
        <w:t xml:space="preserve">.</w:t>
      </w:r>
    </w:p>
    <w:p>
      <w:pPr>
        <w:pStyle w:val="BodyText"/>
      </w:pPr>
      <w:r>
        <w:t xml:space="preserve">Le groupe</w:t>
      </w:r>
      <w:r>
        <w:t xml:space="preserve"> </w:t>
      </w:r>
      <w:r>
        <w:t xml:space="preserve">“Négatif”</w:t>
      </w:r>
      <w:r>
        <w:t xml:space="preserve"> </w:t>
      </w:r>
      <w:r>
        <w:t xml:space="preserve">inclut désormais :</w:t>
      </w:r>
    </w:p>
    <w:p>
      <w:pPr>
        <w:numPr>
          <w:ilvl w:val="0"/>
          <w:numId w:val="1036"/>
        </w:numPr>
      </w:pPr>
      <w:r>
        <w:t xml:space="preserve">Les patients</w:t>
      </w:r>
      <w:r>
        <w:t xml:space="preserve"> </w:t>
      </w:r>
      <w:r>
        <w:rPr>
          <w:rStyle w:val="VerbatimChar"/>
        </w:rPr>
        <w:t xml:space="preserve">Gold_Standard</w:t>
      </w:r>
      <w:r>
        <w:t xml:space="preserve"> </w:t>
      </w:r>
      <w:r>
        <w:t xml:space="preserve">final positifs sans infiltration positive documentée, qui sont reclassés négatifs dans cette définition secondaire.</w:t>
      </w:r>
    </w:p>
    <w:p>
      <w:pPr>
        <w:numPr>
          <w:ilvl w:val="0"/>
          <w:numId w:val="1036"/>
        </w:numPr>
      </w:pPr>
      <w:r>
        <w:t xml:space="preserve">Les patients</w:t>
      </w:r>
      <w:r>
        <w:t xml:space="preserve"> </w:t>
      </w:r>
      <w:r>
        <w:rPr>
          <w:rStyle w:val="VerbatimChar"/>
        </w:rPr>
        <w:t xml:space="preserve">Gold_Standard</w:t>
      </w:r>
      <w:r>
        <w:t xml:space="preserve"> </w:t>
      </w:r>
      <w:r>
        <w:t xml:space="preserve">final négatifs.</w:t>
      </w:r>
    </w:p>
    <w:p>
      <w:pPr>
        <w:pStyle w:val="FirstParagraph"/>
      </w:pPr>
      <w:r>
        <w:rPr>
          <w:b/>
          <w:bCs/>
        </w:rPr>
        <w:t xml:space="preserve">La comparaison de la spécificité a donc un intérêt clinique très limité ici et ne remet pas en cause le gold standard final corrigé par senior.</w:t>
      </w:r>
    </w:p>
    <w:tbl>
      <w:tblPr>
        <w:tblStyle w:val="Table"/>
        <w:tblW w:type="pct" w:w="5000"/>
        <w:tblLayout w:type="fixed"/>
        <w:tblLook w:firstRow="0" w:lastRow="0" w:firstColumn="0" w:lastColumn="0" w:noHBand="0" w:noVBand="0" w:val="0000"/>
      </w:tblPr>
      <w:tblGrid>
        <w:gridCol w:w="7920"/>
      </w:tblGrid>
      <w:tr>
        <w:tc>
          <w:tcPr/>
          <w:bookmarkStart w:id="152"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0.444 [0.296 ; 0.6]</w:t>
                  </w:r>
                </w:p>
              </w:tc>
              <w:tc>
                <w:tcPr/>
                <w:p>
                  <w:pPr>
                    <w:pStyle w:val="Compact"/>
                    <w:jc w:val="center"/>
                    <w:jc w:val="center"/>
                  </w:pPr>
                  <w:r>
                    <w:t xml:space="preserve">0.479 [0.333 ; 0.628]</w:t>
                  </w:r>
                </w:p>
              </w:tc>
              <w:tc>
                <w:tcPr/>
                <w:p>
                  <w:pPr>
                    <w:pStyle w:val="Compact"/>
                    <w:jc w:val="center"/>
                    <w:jc w:val="center"/>
                  </w:pPr>
                  <w:r>
                    <w:t xml:space="preserve">0.87 [0.664 ; 0.972]</w:t>
                  </w:r>
                </w:p>
              </w:tc>
              <w:tc>
                <w:tcPr/>
                <w:p>
                  <w:pPr>
                    <w:pStyle w:val="Compact"/>
                    <w:jc w:val="center"/>
                    <w:jc w:val="center"/>
                  </w:pPr>
                  <w:r>
                    <w:t xml:space="preserve">1.59</w:t>
                  </w:r>
                </w:p>
              </w:tc>
              <w:tc>
                <w:tcPr/>
                <w:p>
                  <w:pPr>
                    <w:pStyle w:val="Compact"/>
                    <w:jc w:val="center"/>
                    <w:jc w:val="center"/>
                  </w:pPr>
                  <w:r>
                    <w:t xml:space="preserve">0.26</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0.4 [0.257 ; 0.557]</w:t>
                  </w:r>
                </w:p>
              </w:tc>
              <w:tc>
                <w:tcPr/>
                <w:p>
                  <w:pPr>
                    <w:pStyle w:val="Compact"/>
                    <w:jc w:val="center"/>
                    <w:jc w:val="center"/>
                  </w:pPr>
                  <w:r>
                    <w:t xml:space="preserve">0.413 [0.27 ; 0.568]</w:t>
                  </w:r>
                </w:p>
              </w:tc>
              <w:tc>
                <w:tcPr/>
                <w:p>
                  <w:pPr>
                    <w:pStyle w:val="Compact"/>
                    <w:jc w:val="center"/>
                    <w:jc w:val="center"/>
                  </w:pPr>
                  <w:r>
                    <w:t xml:space="preserve">0.72 [0.506 ; 0.879]</w:t>
                  </w:r>
                </w:p>
              </w:tc>
              <w:tc>
                <w:tcPr/>
                <w:p>
                  <w:pPr>
                    <w:pStyle w:val="Compact"/>
                    <w:jc w:val="center"/>
                    <w:jc w:val="center"/>
                  </w:pPr>
                  <w:r>
                    <w:t xml:space="preserve">1.22</w:t>
                  </w:r>
                </w:p>
              </w:tc>
              <w:tc>
                <w:tcPr/>
                <w:p>
                  <w:pPr>
                    <w:pStyle w:val="Compact"/>
                    <w:jc w:val="center"/>
                    <w:jc w:val="center"/>
                  </w:pPr>
                  <w:r>
                    <w:t xml:space="preserve">0.67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0.511 [0.358 ; 0.663]</w:t>
                  </w:r>
                </w:p>
              </w:tc>
              <w:tc>
                <w:tcPr/>
                <w:p>
                  <w:pPr>
                    <w:pStyle w:val="Compact"/>
                    <w:jc w:val="center"/>
                    <w:jc w:val="center"/>
                  </w:pPr>
                  <w:r>
                    <w:t xml:space="preserve">0.436 [0.278 ; 0.604]</w:t>
                  </w:r>
                </w:p>
              </w:tc>
              <w:tc>
                <w:tcPr/>
                <w:p>
                  <w:pPr>
                    <w:pStyle w:val="Compact"/>
                    <w:jc w:val="center"/>
                    <w:jc w:val="center"/>
                  </w:pPr>
                  <w:r>
                    <w:t xml:space="preserve">0.719 [0.533 ; 0.863]</w:t>
                  </w:r>
                </w:p>
              </w:tc>
              <w:tc>
                <w:tcPr/>
                <w:p>
                  <w:pPr>
                    <w:pStyle w:val="Compact"/>
                    <w:jc w:val="center"/>
                    <w:jc w:val="center"/>
                  </w:pPr>
                  <w:r>
                    <w:t xml:space="preserve">1.34</w:t>
                  </w:r>
                </w:p>
              </w:tc>
              <w:tc>
                <w:tcPr/>
                <w:p>
                  <w:pPr>
                    <w:pStyle w:val="Compact"/>
                    <w:jc w:val="center"/>
                    <w:jc w:val="center"/>
                  </w:pPr>
                  <w:r>
                    <w:t xml:space="preserve">0.68</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bl>
          <w:bookmarkEnd w:id="1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tbl-comp-a2-spe"/>
          <w:p>
            <w:pPr>
              <w:jc w:val="center"/>
            </w:pPr>
            <w:pPr>
              <w:jc w:val="left"/>
              <w:spacing w:before="200"/>
              <w:pStyle w:val="ImageCaption"/>
            </w:pPr>
            <w:r>
              <w:t xml:space="preserve">Table 9: Approche 2 - Comparaison de la spécificité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ULNT1</w:t>
                  </w:r>
                </w:p>
              </w:tc>
              <w:tc>
                <w:tcPr/>
                <w:p>
                  <w:pPr>
                    <w:pStyle w:val="Compact"/>
                    <w:jc w:val="center"/>
                    <w:jc w:val="center"/>
                  </w:pPr>
                  <w:r>
                    <w:t xml:space="preserve">0.615 [0.406 ; 0.798]</w:t>
                  </w:r>
                </w:p>
              </w:tc>
              <w:tc>
                <w:tcPr/>
                <w:p>
                  <w:pPr>
                    <w:pStyle w:val="Compact"/>
                    <w:jc w:val="center"/>
                    <w:jc w:val="center"/>
                  </w:pPr>
                  <w:r>
                    <w:t xml:space="preserve">0.444 [0.296 ; 0.6]</w:t>
                  </w:r>
                </w:p>
              </w:tc>
            </w:tr>
            <w:tr>
              <w:tc>
                <w:tcPr/>
                <w:p>
                  <w:pPr>
                    <w:pStyle w:val="Compact"/>
                    <w:jc w:val="center"/>
                    <w:jc w:val="center"/>
                  </w:pPr>
                  <w:r>
                    <w:t xml:space="preserve">ULNT2a</w:t>
                  </w:r>
                </w:p>
              </w:tc>
              <w:tc>
                <w:tcPr/>
                <w:p>
                  <w:pPr>
                    <w:pStyle w:val="Compact"/>
                    <w:jc w:val="center"/>
                    <w:jc w:val="center"/>
                  </w:pPr>
                  <w:r>
                    <w:t xml:space="preserve">0.577 [0.369 ; 0.766]</w:t>
                  </w:r>
                </w:p>
              </w:tc>
              <w:tc>
                <w:tcPr/>
                <w:p>
                  <w:pPr>
                    <w:pStyle w:val="Compact"/>
                    <w:jc w:val="center"/>
                    <w:jc w:val="center"/>
                  </w:pPr>
                  <w:r>
                    <w:t xml:space="preserve">0.4 [0.257 ; 0.557]</w:t>
                  </w:r>
                </w:p>
              </w:tc>
            </w:tr>
            <w:tr>
              <w:tc>
                <w:tcPr/>
                <w:p>
                  <w:pPr>
                    <w:pStyle w:val="Compact"/>
                    <w:jc w:val="center"/>
                    <w:jc w:val="center"/>
                  </w:pPr>
                  <w:r>
                    <w:t xml:space="preserve">ULNT2b</w:t>
                  </w:r>
                </w:p>
              </w:tc>
              <w:tc>
                <w:tcPr/>
                <w:p>
                  <w:pPr>
                    <w:pStyle w:val="Compact"/>
                    <w:jc w:val="center"/>
                    <w:jc w:val="center"/>
                  </w:pPr>
                  <w:r>
                    <w:t xml:space="preserve">0.692 [0.482 ; 0.857]</w:t>
                  </w:r>
                </w:p>
              </w:tc>
              <w:tc>
                <w:tcPr/>
                <w:p>
                  <w:pPr>
                    <w:pStyle w:val="Compact"/>
                    <w:jc w:val="center"/>
                    <w:jc w:val="center"/>
                  </w:pPr>
                  <w:r>
                    <w:t xml:space="preserve">0.511 [0.358 ; 0.663]</w:t>
                  </w:r>
                </w:p>
              </w:tc>
            </w:tr>
            <w:tr>
              <w:tc>
                <w:tcPr/>
                <w:p>
                  <w:pPr>
                    <w:pStyle w:val="Compact"/>
                    <w:jc w:val="center"/>
                    <w:jc w:val="center"/>
                  </w:pPr>
                  <w:r>
                    <w:t xml:space="preserve">ULNT3</w:t>
                  </w:r>
                </w:p>
              </w:tc>
              <w:tc>
                <w:tcPr/>
                <w:p>
                  <w:pPr>
                    <w:pStyle w:val="Compact"/>
                    <w:jc w:val="center"/>
                    <w:jc w:val="center"/>
                  </w:pPr>
                  <w:r>
                    <w:t xml:space="preserve">0.692 [0.482 ; 0.857]</w:t>
                  </w:r>
                </w:p>
              </w:tc>
              <w:tc>
                <w:tcPr/>
                <w:p>
                  <w:pPr>
                    <w:pStyle w:val="Compact"/>
                    <w:jc w:val="center"/>
                    <w:jc w:val="center"/>
                  </w:pPr>
                  <w:r>
                    <w:t xml:space="preserve">0.667 [0.51 ; 0.8]</w:t>
                  </w:r>
                </w:p>
              </w:tc>
            </w:tr>
          </w:tbl>
          <w:bookmarkEnd w:id="1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0.467 [0.317 ; 0.621]</w:t>
                  </w:r>
                </w:p>
              </w:tc>
              <w:tc>
                <w:tcPr/>
                <w:p>
                  <w:pPr>
                    <w:pStyle w:val="Compact"/>
                    <w:jc w:val="center"/>
                    <w:jc w:val="center"/>
                  </w:pPr>
                  <w:r>
                    <w:t xml:space="preserve">0.415 [0.263 ; 0.579]</w:t>
                  </w:r>
                </w:p>
              </w:tc>
              <w:tc>
                <w:tcPr/>
                <w:p>
                  <w:pPr>
                    <w:pStyle w:val="Compact"/>
                    <w:jc w:val="center"/>
                    <w:jc w:val="center"/>
                  </w:pPr>
                  <w:r>
                    <w:t xml:space="preserve">0.7 [0.506 ; 0.853]</w:t>
                  </w:r>
                </w:p>
              </w:tc>
              <w:tc>
                <w:tcPr/>
                <w:p>
                  <w:pPr>
                    <w:pStyle w:val="Compact"/>
                    <w:jc w:val="center"/>
                    <w:jc w:val="center"/>
                  </w:pPr>
                  <w:r>
                    <w:t xml:space="preserve">1.23</w:t>
                  </w:r>
                </w:p>
              </w:tc>
              <w:tc>
                <w:tcPr/>
                <w:p>
                  <w:pPr>
                    <w:pStyle w:val="Compact"/>
                    <w:jc w:val="center"/>
                    <w:jc w:val="center"/>
                  </w:pPr>
                  <w:r>
                    <w:t xml:space="preserve">0.74</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0.578 [0.422 ; 0.723]</w:t>
                  </w:r>
                </w:p>
              </w:tc>
              <w:tc>
                <w:tcPr/>
                <w:p>
                  <w:pPr>
                    <w:pStyle w:val="Compact"/>
                    <w:jc w:val="center"/>
                    <w:jc w:val="center"/>
                  </w:pPr>
                  <w:r>
                    <w:t xml:space="preserve">0.424 [0.255 ; 0.608]</w:t>
                  </w:r>
                </w:p>
              </w:tc>
              <w:tc>
                <w:tcPr/>
                <w:p>
                  <w:pPr>
                    <w:pStyle w:val="Compact"/>
                    <w:jc w:val="center"/>
                    <w:jc w:val="center"/>
                  </w:pPr>
                  <w:r>
                    <w:t xml:space="preserve">0.684 [0.513 ; 0.825]</w:t>
                  </w:r>
                </w:p>
              </w:tc>
              <w:tc>
                <w:tcPr/>
                <w:p>
                  <w:pPr>
                    <w:pStyle w:val="Compact"/>
                    <w:jc w:val="center"/>
                    <w:jc w:val="center"/>
                  </w:pPr>
                  <w:r>
                    <w:t xml:space="preserve">1.28</w:t>
                  </w:r>
                </w:p>
              </w:tc>
              <w:tc>
                <w:tcPr/>
                <w:p>
                  <w:pPr>
                    <w:pStyle w:val="Compact"/>
                    <w:jc w:val="center"/>
                    <w:jc w:val="center"/>
                  </w:pPr>
                  <w:r>
                    <w:t xml:space="preserve">0.80</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0.533 [0.379 ; 0.683]</w:t>
                  </w:r>
                </w:p>
              </w:tc>
              <w:tc>
                <w:tcPr/>
                <w:p>
                  <w:pPr>
                    <w:pStyle w:val="Compact"/>
                    <w:jc w:val="center"/>
                    <w:jc w:val="center"/>
                  </w:pPr>
                  <w:r>
                    <w:t xml:space="preserve">0.382 [0.222 ; 0.564]</w:t>
                  </w:r>
                </w:p>
              </w:tc>
              <w:tc>
                <w:tcPr/>
                <w:p>
                  <w:pPr>
                    <w:pStyle w:val="Compact"/>
                    <w:jc w:val="center"/>
                    <w:jc w:val="center"/>
                  </w:pPr>
                  <w:r>
                    <w:t xml:space="preserve">0.649 [0.475 ; 0.798]</w:t>
                  </w:r>
                </w:p>
              </w:tc>
              <w:tc>
                <w:tcPr/>
                <w:p>
                  <w:pPr>
                    <w:pStyle w:val="Compact"/>
                    <w:jc w:val="center"/>
                    <w:jc w:val="center"/>
                  </w:pPr>
                  <w:r>
                    <w:t xml:space="preserve">1.07</w:t>
                  </w:r>
                </w:p>
              </w:tc>
              <w:tc>
                <w:tcPr/>
                <w:p>
                  <w:pPr>
                    <w:pStyle w:val="Compact"/>
                    <w:jc w:val="center"/>
                    <w:jc w:val="center"/>
                  </w:pPr>
                  <w:r>
                    <w:t xml:space="preserve">0.94</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0.578 [0.422 ; 0.723]</w:t>
                  </w:r>
                </w:p>
              </w:tc>
              <w:tc>
                <w:tcPr/>
                <w:p>
                  <w:pPr>
                    <w:pStyle w:val="Compact"/>
                    <w:jc w:val="center"/>
                    <w:jc w:val="center"/>
                  </w:pPr>
                  <w:r>
                    <w:t xml:space="preserve">0.367 [0.199 ; 0.561]</w:t>
                  </w:r>
                </w:p>
              </w:tc>
              <w:tc>
                <w:tcPr/>
                <w:p>
                  <w:pPr>
                    <w:pStyle w:val="Compact"/>
                    <w:jc w:val="center"/>
                    <w:jc w:val="center"/>
                  </w:pPr>
                  <w:r>
                    <w:t xml:space="preserve">0.634 [0.469 ; 0.779]</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tbl-comp-a2-comb"/>
          <w:p>
            <w:pPr>
              <w:jc w:val="center"/>
            </w:pPr>
            <w:pPr>
              <w:jc w:val="left"/>
              <w:spacing w:before="200"/>
              <w:pStyle w:val="ImageCaption"/>
            </w:pPr>
            <w:r>
              <w:t xml:space="preserve">Table 11: Approche 2 - Comparaison des combinaisons (Se &amp; Sp) : GS final vs confirmation par infiltration</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0.467 [0.317 ; 0.621]</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0.533 [0.379 ; 0.683]</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6"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0.356 [0.219 ; 0.512]</w:t>
                  </w:r>
                </w:p>
              </w:tc>
              <w:tc>
                <w:tcPr/>
                <w:p>
                  <w:pPr>
                    <w:pStyle w:val="Compact"/>
                    <w:jc w:val="center"/>
                    <w:jc w:val="center"/>
                  </w:pPr>
                  <w:r>
                    <w:t xml:space="preserve">0.473 [0.337 ; 0.612]</w:t>
                  </w:r>
                </w:p>
              </w:tc>
              <w:tc>
                <w:tcPr/>
                <w:p>
                  <w:pPr>
                    <w:pStyle w:val="Compact"/>
                    <w:jc w:val="center"/>
                    <w:jc w:val="center"/>
                  </w:pPr>
                  <w:r>
                    <w:t xml:space="preserve">1 [0.794 ; 1]</w:t>
                  </w:r>
                </w:p>
              </w:tc>
              <w:tc>
                <w:tcPr/>
                <w:p>
                  <w:pPr>
                    <w:pStyle w:val="Compact"/>
                    <w:jc w:val="center"/>
                    <w:jc w:val="center"/>
                  </w:pPr>
                  <w:r>
                    <w:t xml:space="preserve">1.55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0.422 [0.277 ; 0.578]</w:t>
                  </w:r>
                </w:p>
              </w:tc>
              <w:tc>
                <w:tcPr/>
                <w:p>
                  <w:pPr>
                    <w:pStyle w:val="Compact"/>
                    <w:jc w:val="center"/>
                    <w:jc w:val="center"/>
                  </w:pPr>
                  <w:r>
                    <w:t xml:space="preserve">0.458 [0.314 ; 0.608]</w:t>
                  </w:r>
                </w:p>
              </w:tc>
              <w:tc>
                <w:tcPr/>
                <w:p>
                  <w:pPr>
                    <w:pStyle w:val="Compact"/>
                    <w:jc w:val="center"/>
                    <w:jc w:val="center"/>
                  </w:pPr>
                  <w:r>
                    <w:t xml:space="preserve">0.826 [0.612 ; 0.95]</w:t>
                  </w:r>
                </w:p>
              </w:tc>
              <w:tc>
                <w:tcPr/>
                <w:p>
                  <w:pPr>
                    <w:pStyle w:val="Compact"/>
                    <w:jc w:val="center"/>
                    <w:jc w:val="center"/>
                  </w:pPr>
                  <w:r>
                    <w:t xml:space="preserve">1.46</w:t>
                  </w:r>
                </w:p>
              </w:tc>
              <w:tc>
                <w:tcPr/>
                <w:p>
                  <w:pPr>
                    <w:pStyle w:val="Compact"/>
                    <w:jc w:val="center"/>
                    <w:jc w:val="center"/>
                  </w:pPr>
                  <w:r>
                    <w:t xml:space="preserve">0.36</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0.533 [0.379 ; 0.683]</w:t>
                  </w:r>
                </w:p>
              </w:tc>
              <w:tc>
                <w:tcPr/>
                <w:p>
                  <w:pPr>
                    <w:pStyle w:val="Compact"/>
                    <w:jc w:val="center"/>
                    <w:jc w:val="center"/>
                  </w:pPr>
                  <w:r>
                    <w:t xml:space="preserve">0.447 [0.286 ; 0.617]</w:t>
                  </w:r>
                </w:p>
              </w:tc>
              <w:tc>
                <w:tcPr/>
                <w:p>
                  <w:pPr>
                    <w:pStyle w:val="Compact"/>
                    <w:jc w:val="center"/>
                    <w:jc w:val="center"/>
                  </w:pPr>
                  <w:r>
                    <w:t xml:space="preserve">0.727 [0.545 ; 0.867]</w:t>
                  </w:r>
                </w:p>
              </w:tc>
              <w:tc>
                <w:tcPr/>
                <w:p>
                  <w:pPr>
                    <w:pStyle w:val="Compact"/>
                    <w:jc w:val="center"/>
                    <w:jc w:val="center"/>
                  </w:pPr>
                  <w:r>
                    <w:t xml:space="preserve">1.40</w:t>
                  </w:r>
                </w:p>
              </w:tc>
              <w:tc>
                <w:tcPr/>
                <w:p>
                  <w:pPr>
                    <w:pStyle w:val="Compact"/>
                    <w:jc w:val="center"/>
                    <w:jc w:val="center"/>
                  </w:pPr>
                  <w:r>
                    <w:t xml:space="preserve">0.65</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5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tbl-comp-a2-score"/>
          <w:p>
            <w:pPr>
              <w:jc w:val="center"/>
            </w:pPr>
            <w:pPr>
              <w:jc w:val="left"/>
              <w:spacing w:before="200"/>
              <w:pStyle w:val="ImageCaption"/>
            </w:pPr>
            <w:r>
              <w:t xml:space="preserve">Table 13: Approche 2 - Comparaison du score global (Se &amp; Sp) : GS final vs confirmation par infiltration</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0.356 [0.219 ; 0.512]</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0.422 [0.277 ; 0.578]</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0.533 [0.379 ; 0.683]</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57"/>
          <w:p/>
        </w:tc>
      </w:tr>
    </w:tbl>
    <w:bookmarkStart w:id="160" w:name="refs"/>
    <w:bookmarkStart w:id="159" w:name="X130cc6218cdcb99520dccce7f8b213552eaa63a"/>
    <w:p>
      <w:pPr>
        <w:pStyle w:val="Bibliography"/>
      </w:pPr>
      <w:r>
        <w:t xml:space="preserve">Landis, J. R., and G. G. Koch. 1977.</w:t>
      </w:r>
      <w:r>
        <w:t xml:space="preserve"> </w:t>
      </w:r>
      <w:r>
        <w:t xml:space="preserve">“</w:t>
      </w:r>
      <w:hyperlink r:id="rId158">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59"/>
    <w:bookmarkEnd w:id="160"/>
    <w:bookmarkEnd w:id="161"/>
    <w:bookmarkEnd w:id="162"/>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88" Target="media/rId88.png" /><Relationship Type="http://schemas.openxmlformats.org/officeDocument/2006/relationships/image" Id="rId126" Target="media/rId126.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138" Target="media/rId138.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33" Target="media/rId133.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58"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58"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2026-07-09T20:15:47Z</dcterms:created>
  <dcterms:modified xsi:type="dcterms:W3CDTF">2026-07-09T20:15:47Z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