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Évaluation multicentrique de la perfusion hépatique normothermique</w:t>
      </w:r>
    </w:p>
    <w:p>
      <w:pPr>
        <w:pStyle w:val="Sous-titre"/>
      </w:pPr>
      <w:r>
        <w:t xml:space="preserve">Analyse observationnelle des biomarqueurs et cinétiques de récupération fonctionnelle</w:t>
      </w:r>
    </w:p>
    <w:p>
      <w:pPr>
        <w:pStyle w:val="Author"/>
      </w:pPr>
      <w:r>
        <w:t xml:space="preserve">Dr Thomas Husson</w:t>
      </w:r>
    </w:p>
    <w:p>
      <w:pPr>
        <w:pStyle w:val="Date"/>
      </w:pPr>
      <w:r>
        <w:t xml:space="preserve">2026-10-02</w:t>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0" w:name="résumé"/>
    <w:p>
      <w:pPr>
        <w:pStyle w:val="Titre2"/>
      </w:pPr>
      <w:r>
        <w:t xml:space="preserve">1 Résumé</w:t>
      </w:r>
    </w:p>
    <w:p>
      <w:pPr>
        <w:pStyle w:val="FirstParagraph"/>
      </w:pPr>
      <w:r>
        <w:t xml:space="preserve">La perfusion hépatique normothermique (</w:t>
      </w:r>
      <w:r>
        <w:rPr>
          <w:i/>
          <w:iCs/>
        </w:rPr>
        <w:t xml:space="preserve">Normothermic Machine Perfusion</w:t>
      </w:r>
      <w:r>
        <w:t xml:space="preserve">, NMP) s’impose comme une technique de référence pour l’évaluation dynamique de la viabilité des greffons hépatiques à critères élargis. Cette étude observationnelle collige les cinétiques de clairance des lactates, le métabolisme du glucose et l’évolution des résistances vasculaires hépatiques sur une cohorte consécutive de 48 greffons.</w:t>
      </w:r>
    </w:p>
    <w:bookmarkEnd w:id="20"/>
    <w:bookmarkStart w:id="24" w:name="introduction"/>
    <w:p>
      <w:pPr>
        <w:pStyle w:val="Titre2"/>
      </w:pPr>
      <w:r>
        <w:t xml:space="preserve">2 Introduction</w:t>
      </w:r>
    </w:p>
    <w:p>
      <w:pPr>
        <w:pStyle w:val="FirstParagraph"/>
      </w:pPr>
      <w:r>
        <w:t xml:space="preserve">La préservation statique en hypothermie (+4 °C) limite la durée d’ischémie froide tolérable et ne permet aucune évaluation fonctionnelle active avant l’implantation. La perfusion normothermique extracorporelle maintient l’organe dans des conditions physiologiques actives (37 °C, oxygénation normoxique, substrats énergétiques).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Critère principal de viabilité</w:t>
            </w:r>
          </w:p>
        </w:tc>
      </w:tr>
      <w:tr>
        <w:trPr>
          <w:cantSplit/>
        </w:trPr>
        <w:tc>
          <w:tcPr>
            <w:tcMar>
              <w:top w:w="108" w:type="dxa"/>
              <w:bottom w:w="108" w:type="dxa"/>
            </w:tcMar>
          </w:tcPr>
          <w:p>
            <w:pPr>
              <w:pStyle w:val="Corpsdetexte"/>
            </w:pPr>
            <w:pPr>
              <w:spacing w:before="16" w:after="16"/>
            </w:pPr>
            <w:r>
              <w:t xml:space="preserve">La clairance rapide des lactates avec un taux perfusat</w:t>
            </w:r>
            <w:r>
              <w:t xml:space="preserve"> </w:t>
            </w:r>
            <m:oMath>
              <m:r>
                <m:rPr>
                  <m:sty m:val="p"/>
                </m:rPr>
                <m:t>≤</m:t>
              </m:r>
              <m:r>
                <m:t>2</m:t>
              </m:r>
              <m:r>
                <m:rPr>
                  <m:sty m:val="p"/>
                </m:rPr>
                <m:t>,</m:t>
              </m:r>
              <m:r>
                <m:t>5</m:t>
              </m:r>
              <m:r>
                <m:rPr>
                  <m:nor/>
                  <m:sty m:val="p"/>
                </m:rPr>
                <m:t> mmol/L</m:t>
              </m:r>
            </m:oMath>
            <w:r>
              <w:t xml:space="preserve"> </w:t>
            </w:r>
            <w:r>
              <w:t xml:space="preserve">dans les premières 4 heures de perfusion constitue le marqueur prédictif le plus robuste de bon fonctionnement précoce post-transplantation.</w:t>
            </w:r>
          </w:p>
          <w:p/>
        </w:tc>
      </w:tr>
    </w:tbl>
    <w:bookmarkEnd w:id="24"/>
    <w:bookmarkStart w:id="27" w:name="matériels-et-méthodes"/>
    <w:p>
      <w:pPr>
        <w:pStyle w:val="Titre2"/>
      </w:pPr>
      <w:r>
        <w:t xml:space="preserve">3 Matériels et Méthodes</w:t>
      </w:r>
    </w:p>
    <w:bookmarkStart w:id="25" w:name="modèle-expérimental-et-recueil"/>
    <w:p>
      <w:pPr>
        <w:pStyle w:val="Titre3"/>
      </w:pPr>
      <w:r>
        <w:t xml:space="preserve">3.1 Modèle expérimental et recueil</w:t>
      </w:r>
    </w:p>
    <w:p>
      <w:pPr>
        <w:pStyle w:val="FirstParagraph"/>
      </w:pPr>
      <w:r>
        <w:t xml:space="preserve">Les perfusions ont été réalisées sur le dispositif standardisé avec un hématocrite cible de 15 à 20 % via l’utilisation de transporteurs d’oxygène érythrocytaires.</w:t>
      </w:r>
    </w:p>
    <w:p>
      <w:pPr>
        <w:pStyle w:val="Corpsdetexte"/>
      </w:pPr>
      <w:r>
        <w:t xml:space="preserve">L’indice de résistance vasculaire de l’artère hépatique (</w:t>
      </w:r>
      <m:oMath>
        <m:r>
          <m:t>I</m:t>
        </m:r>
        <m:sSub>
          <m:e>
            <m:r>
              <m:t>R</m:t>
            </m:r>
          </m:e>
          <m:sub>
            <m:r>
              <m:t>A</m:t>
            </m:r>
            <m:r>
              <m:t>H</m:t>
            </m:r>
          </m:sub>
        </m:sSub>
      </m:oMath>
      <w:r>
        <w:t xml:space="preserve">) est défini par la relation :</w:t>
      </w:r>
    </w:p>
    <w:p>
      <w:pPr>
        <w:pStyle w:val="Corpsdetexte"/>
      </w:pPr>
      <m:oMathPara>
        <m:oMathParaPr>
          <m:jc m:val="center"/>
        </m:oMathParaPr>
        <m:oMath>
          <m:r>
            <m:t>I</m:t>
          </m:r>
          <m:sSub>
            <m:e>
              <m:r>
                <m:t>R</m:t>
              </m:r>
            </m:e>
            <m:sub>
              <m:r>
                <m:t>A</m:t>
              </m:r>
              <m:r>
                <m:t>H</m:t>
              </m:r>
            </m:sub>
          </m:sSub>
          <m:r>
            <m:rPr>
              <m:sty m:val="p"/>
            </m:rPr>
            <m:t>=</m:t>
          </m:r>
          <m:f>
            <m:fPr>
              <m:type m:val="bar"/>
            </m:fPr>
            <m:num>
              <m:sSub>
                <m:e>
                  <m:r>
                    <m:t>P</m:t>
                  </m:r>
                </m:e>
                <m:sub>
                  <m:r>
                    <m:t>a</m:t>
                  </m:r>
                  <m:r>
                    <m:t>r</m:t>
                  </m:r>
                  <m:r>
                    <m:t>t</m:t>
                  </m:r>
                </m:sub>
              </m:sSub>
              <m:r>
                <m:rPr>
                  <m:sty m:val="p"/>
                </m:rPr>
                <m:t>−</m:t>
              </m:r>
              <m:sSub>
                <m:e>
                  <m:r>
                    <m:t>P</m:t>
                  </m:r>
                </m:e>
                <m:sub>
                  <m:r>
                    <m:t>v</m:t>
                  </m:r>
                  <m:r>
                    <m:t>e</m:t>
                  </m:r>
                  <m:r>
                    <m:t>i</m:t>
                  </m:r>
                  <m:r>
                    <m:t>n</m:t>
                  </m:r>
                </m:sub>
              </m:sSub>
            </m:num>
            <m:den>
              <m:sSub>
                <m:e>
                  <m:r>
                    <m:t>Q</m:t>
                  </m:r>
                </m:e>
                <m:sub>
                  <m:r>
                    <m:t>a</m:t>
                  </m:r>
                  <m:r>
                    <m:t>r</m:t>
                  </m:r>
                  <m:r>
                    <m:t>t</m:t>
                  </m:r>
                </m:sub>
              </m:sSub>
            </m:den>
          </m:f>
          <m:r>
            <m:rPr>
              <m:sty m:val="p"/>
            </m:rPr>
            <m:t>×</m:t>
          </m:r>
          <m:r>
            <m:t>80</m:t>
          </m:r>
        </m:oMath>
      </m:oMathPara>
    </w:p>
    <w:p>
      <w:pPr>
        <w:pStyle w:val="FirstParagraph"/>
      </w:pPr>
      <w:r>
        <w:t xml:space="preserve">où</w:t>
      </w:r>
      <w:r>
        <w:t xml:space="preserve"> </w:t>
      </w:r>
      <m:oMath>
        <m:sSub>
          <m:e>
            <m:r>
              <m:t>P</m:t>
            </m:r>
          </m:e>
          <m:sub>
            <m:r>
              <m:t>a</m:t>
            </m:r>
            <m:r>
              <m:t>r</m:t>
            </m:r>
            <m:r>
              <m:t>t</m:t>
            </m:r>
          </m:sub>
        </m:sSub>
      </m:oMath>
      <w:r>
        <w:t xml:space="preserve"> </w:t>
      </w:r>
      <w:r>
        <w:t xml:space="preserve">représente la pression artérielle moyenne en mmHg et</w:t>
      </w:r>
      <w:r>
        <w:t xml:space="preserve"> </w:t>
      </w:r>
      <m:oMath>
        <m:sSub>
          <m:e>
            <m:r>
              <m:t>Q</m:t>
            </m:r>
          </m:e>
          <m:sub>
            <m:r>
              <m:t>a</m:t>
            </m:r>
            <m:r>
              <m:t>r</m:t>
            </m:r>
            <m:r>
              <m:t>t</m:t>
            </m:r>
          </m:sub>
        </m:sSub>
      </m:oMath>
      <w:r>
        <w:t xml:space="preserve"> </w:t>
      </w:r>
      <w:r>
        <w:t xml:space="preserve">le débit mesuré en mL/min.</w:t>
      </w:r>
    </w:p>
    <w:bookmarkEnd w:id="25"/>
    <w:bookmarkStart w:id="26" w:name="données-de-perfusion"/>
    <w:p>
      <w:pPr>
        <w:pStyle w:val="Titre3"/>
      </w:pPr>
      <w:r>
        <w:t xml:space="preserve">3.2 Données de perfusion</w:t>
      </w:r>
    </w:p>
    <w:p>
      <w:pPr>
        <w:pStyle w:val="SourceCode"/>
      </w:pPr>
      <w:r>
        <w:rPr>
          <w:rStyle w:val="CommentTok"/>
        </w:rPr>
        <w:t xml:space="preserve"># Données simulées représentatives d'une cohorte NMP</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n_per_group </w:t>
      </w:r>
      <w:r>
        <w:rPr>
          <w:rStyle w:val="OtherTok"/>
        </w:rPr>
        <w:t xml:space="preserve">&lt;-</w:t>
      </w:r>
      <w:r>
        <w:rPr>
          <w:rStyle w:val="NormalTok"/>
        </w:rPr>
        <w:t xml:space="preserve"> </w:t>
      </w:r>
      <w:r>
        <w:rPr>
          <w:rStyle w:val="DecValTok"/>
        </w:rPr>
        <w:t xml:space="preserve">24</w:t>
      </w:r>
      <w:r>
        <w:br/>
      </w:r>
      <w:r>
        <w:br/>
      </w:r>
      <w:r>
        <w:rPr>
          <w:rStyle w:val="NormalTok"/>
        </w:rPr>
        <w:t xml:space="preserve">df_cinetique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Temps_h =</w:t>
      </w:r>
      <w:r>
        <w:rPr>
          <w:rStyle w:val="NormalTok"/>
        </w:rPr>
        <w:t xml:space="preserve"> temps,</w:t>
      </w:r>
      <w:r>
        <w:br/>
      </w:r>
      <w:r>
        <w:rPr>
          <w:rStyle w:val="NormalTok"/>
        </w:rPr>
        <w:t xml:space="preserve">  </w:t>
      </w:r>
      <w:r>
        <w:rPr>
          <w:rStyle w:val="AttributeTok"/>
        </w:rPr>
        <w:t xml:space="preserve">Groupe =</w:t>
      </w:r>
      <w:r>
        <w:rPr>
          <w:rStyle w:val="NormalTok"/>
        </w:rPr>
        <w:t xml:space="preserve"> </w:t>
      </w:r>
      <w:r>
        <w:rPr>
          <w:rStyle w:val="FunctionTok"/>
        </w:rPr>
        <w:t xml:space="preserve">c</w:t>
      </w:r>
      <w:r>
        <w:rPr>
          <w:rStyle w:val="NormalTok"/>
        </w:rPr>
        <w:t xml:space="preserve">(</w:t>
      </w:r>
      <w:r>
        <w:rPr>
          <w:rStyle w:val="StringTok"/>
        </w:rPr>
        <w:t xml:space="preserve">"Protocole Optimisé"</w:t>
      </w:r>
      <w:r>
        <w:rPr>
          <w:rStyle w:val="NormalTok"/>
        </w:rPr>
        <w:t xml:space="preserve">, </w:t>
      </w:r>
      <w:r>
        <w:rPr>
          <w:rStyle w:val="StringTok"/>
        </w:rPr>
        <w:t xml:space="preserve">"Protocole Standard"</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n_per_group</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Lactates =</w:t>
      </w:r>
      <w:r>
        <w:rPr>
          <w:rStyle w:val="NormalTok"/>
        </w:rPr>
        <w:t xml:space="preserve"> </w:t>
      </w:r>
      <w:r>
        <w:rPr>
          <w:rStyle w:val="FunctionTok"/>
        </w:rPr>
        <w:t xml:space="preserve">case_when</w:t>
      </w:r>
      <w:r>
        <w:rPr>
          <w:rStyle w:val="NormalTok"/>
        </w:rPr>
        <w:t xml:space="preserve">(</w:t>
      </w:r>
      <w:r>
        <w:br/>
      </w:r>
      <w:r>
        <w:rPr>
          <w:rStyle w:val="NormalTok"/>
        </w:rPr>
        <w:t xml:space="preserve">      Groupe </w:t>
      </w:r>
      <w:r>
        <w:rPr>
          <w:rStyle w:val="SpecialCharTok"/>
        </w:rPr>
        <w:t xml:space="preserve">==</w:t>
      </w:r>
      <w:r>
        <w:rPr>
          <w:rStyle w:val="NormalTok"/>
        </w:rPr>
        <w:t xml:space="preserve"> </w:t>
      </w:r>
      <w:r>
        <w:rPr>
          <w:rStyle w:val="StringTok"/>
        </w:rPr>
        <w:t xml:space="preserve">"Protocole Optimisé"</w:t>
      </w:r>
      <w:r>
        <w:rPr>
          <w:rStyle w:val="NormalTok"/>
        </w:rPr>
        <w:t xml:space="preserve"> </w:t>
      </w:r>
      <w:r>
        <w:rPr>
          <w:rStyle w:val="SpecialCharTok"/>
        </w:rPr>
        <w:t xml:space="preserve">~</w:t>
      </w:r>
      <w:r>
        <w:rPr>
          <w:rStyle w:val="NormalTok"/>
        </w:rPr>
        <w:t xml:space="preserve"> </w:t>
      </w:r>
      <w:r>
        <w:rPr>
          <w:rStyle w:val="FloatTok"/>
        </w:rPr>
        <w:t xml:space="preserve">8.5</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0.45</w:t>
      </w:r>
      <w:r>
        <w:rPr>
          <w:rStyle w:val="NormalTok"/>
        </w:rPr>
        <w:t xml:space="preserve"> </w:t>
      </w:r>
      <w:r>
        <w:rPr>
          <w:rStyle w:val="SpecialCharTok"/>
        </w:rPr>
        <w:t xml:space="preserve">*</w:t>
      </w:r>
      <w:r>
        <w:rPr>
          <w:rStyle w:val="NormalTok"/>
        </w:rPr>
        <w:t xml:space="preserve"> Temps_h)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DecValTok"/>
        </w:rPr>
        <w:t xml:space="preserve">0</w:t>
      </w:r>
      <w:r>
        <w:rPr>
          <w:rStyle w:val="NormalTok"/>
        </w:rPr>
        <w:t xml:space="preserve">, </w:t>
      </w:r>
      <w:r>
        <w:rPr>
          <w:rStyle w:val="FloatTok"/>
        </w:rPr>
        <w:t xml:space="preserve">0.4</w:t>
      </w:r>
      <w:r>
        <w:rPr>
          <w:rStyle w:val="NormalTok"/>
        </w:rPr>
        <w:t xml:space="preserve">),</w:t>
      </w:r>
      <w:r>
        <w:br/>
      </w:r>
      <w:r>
        <w:rPr>
          <w:rStyle w:val="NormalTok"/>
        </w:rPr>
        <w:t xml:space="preserve">      Groupe </w:t>
      </w:r>
      <w:r>
        <w:rPr>
          <w:rStyle w:val="SpecialCharTok"/>
        </w:rPr>
        <w:t xml:space="preserve">==</w:t>
      </w:r>
      <w:r>
        <w:rPr>
          <w:rStyle w:val="NormalTok"/>
        </w:rPr>
        <w:t xml:space="preserve"> </w:t>
      </w:r>
      <w:r>
        <w:rPr>
          <w:rStyle w:val="StringTok"/>
        </w:rPr>
        <w:t xml:space="preserve">"Protocole Standard"</w:t>
      </w:r>
      <w:r>
        <w:rPr>
          <w:rStyle w:val="NormalTok"/>
        </w:rPr>
        <w:t xml:space="preserve"> </w:t>
      </w:r>
      <w:r>
        <w:rPr>
          <w:rStyle w:val="SpecialCharTok"/>
        </w:rPr>
        <w:t xml:space="preserve">~</w:t>
      </w:r>
      <w:r>
        <w:rPr>
          <w:rStyle w:val="NormalTok"/>
        </w:rPr>
        <w:t xml:space="preserve"> </w:t>
      </w:r>
      <w:r>
        <w:rPr>
          <w:rStyle w:val="FloatTok"/>
        </w:rPr>
        <w:t xml:space="preserve">8.7</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0.25</w:t>
      </w:r>
      <w:r>
        <w:rPr>
          <w:rStyle w:val="NormalTok"/>
        </w:rPr>
        <w:t xml:space="preserve"> </w:t>
      </w:r>
      <w:r>
        <w:rPr>
          <w:rStyle w:val="SpecialCharTok"/>
        </w:rPr>
        <w:t xml:space="preserve">*</w:t>
      </w:r>
      <w:r>
        <w:rPr>
          <w:rStyle w:val="NormalTok"/>
        </w:rPr>
        <w:t xml:space="preserve"> Temps_h)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w:t>
      </w:r>
      <w:r>
        <w:rPr>
          <w:rStyle w:val="AttributeTok"/>
        </w:rPr>
        <w:t xml:space="preserve">Lactates =</w:t>
      </w:r>
      <w:r>
        <w:rPr>
          <w:rStyle w:val="NormalTok"/>
        </w:rPr>
        <w:t xml:space="preserve"> </w:t>
      </w:r>
      <w:r>
        <w:rPr>
          <w:rStyle w:val="FunctionTok"/>
        </w:rPr>
        <w:t xml:space="preserve">pmax</w:t>
      </w:r>
      <w:r>
        <w:rPr>
          <w:rStyle w:val="NormalTok"/>
        </w:rPr>
        <w:t xml:space="preserve">(</w:t>
      </w:r>
      <w:r>
        <w:rPr>
          <w:rStyle w:val="FloatTok"/>
        </w:rPr>
        <w:t xml:space="preserve">0.8</w:t>
      </w:r>
      <w:r>
        <w:rPr>
          <w:rStyle w:val="NormalTok"/>
        </w:rPr>
        <w:t xml:space="preserve">, Lactates)</w:t>
      </w:r>
      <w:r>
        <w:br/>
      </w:r>
      <w:r>
        <w:rPr>
          <w:rStyle w:val="NormalTok"/>
        </w:rPr>
        <w:t xml:space="preserve">  )</w:t>
      </w:r>
      <w:r>
        <w:br/>
      </w:r>
      <w:r>
        <w:br/>
      </w:r>
      <w:r>
        <w:rPr>
          <w:rStyle w:val="NormalTok"/>
        </w:rPr>
        <w:t xml:space="preserve">df_resume </w:t>
      </w:r>
      <w:r>
        <w:rPr>
          <w:rStyle w:val="OtherTok"/>
        </w:rPr>
        <w:t xml:space="preserve">&lt;-</w:t>
      </w:r>
      <w:r>
        <w:rPr>
          <w:rStyle w:val="NormalTok"/>
        </w:rPr>
        <w:t xml:space="preserve"> df_cinetique </w:t>
      </w:r>
      <w:r>
        <w:rPr>
          <w:rStyle w:val="SpecialCharTok"/>
        </w:rPr>
        <w:t xml:space="preserve">|&gt;</w:t>
      </w:r>
      <w:r>
        <w:br/>
      </w:r>
      <w:r>
        <w:rPr>
          <w:rStyle w:val="NormalTok"/>
        </w:rPr>
        <w:t xml:space="preserve">  </w:t>
      </w:r>
      <w:r>
        <w:rPr>
          <w:rStyle w:val="FunctionTok"/>
        </w:rPr>
        <w:t xml:space="preserve">group_by</w:t>
      </w:r>
      <w:r>
        <w:rPr>
          <w:rStyle w:val="NormalTok"/>
        </w:rPr>
        <w:t xml:space="preserve">(Groupe, Temps_h)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Moyenne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(Lactates), </w:t>
      </w:r>
      <w:r>
        <w:rPr>
          <w:rStyle w:val="DecValTok"/>
        </w:rPr>
        <w:t xml:space="preserve">2</w:t>
      </w:r>
      <w:r>
        <w:rPr>
          <w:rStyle w:val="NormalTok"/>
        </w:rPr>
        <w:t xml:space="preserve">),</w:t>
      </w:r>
      <w:r>
        <w:br/>
      </w:r>
      <w:r>
        <w:rPr>
          <w:rStyle w:val="NormalTok"/>
        </w:rPr>
        <w:t xml:space="preserve">    </w:t>
      </w:r>
      <w:r>
        <w:rPr>
          <w:rStyle w:val="AttributeTok"/>
        </w:rPr>
        <w:t xml:space="preserve">EcartType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(Lactates), </w:t>
      </w:r>
      <w:r>
        <w:rPr>
          <w:rStyle w:val="DecValTok"/>
        </w:rPr>
        <w:t xml:space="preserve">2</w:t>
      </w:r>
      <w:r>
        <w:rPr>
          <w:rStyle w:val="NormalTok"/>
        </w:rPr>
        <w:t xml:space="preserve">),</w:t>
      </w:r>
      <w:r>
        <w:br/>
      </w:r>
      <w:r>
        <w:rPr>
          <w:rStyle w:val="NormalTok"/>
        </w:rPr>
        <w:t xml:space="preserve">    </w:t>
      </w:r>
      <w:r>
        <w:rPr>
          <w:rStyle w:val="AttributeTok"/>
        </w:rPr>
        <w:t xml:space="preserve">Mediane =</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(Lactates), </w:t>
      </w:r>
      <w:r>
        <w:rPr>
          <w:rStyle w:val="DecValTok"/>
        </w:rPr>
        <w:t xml:space="preserve">2</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bookmarkEnd w:id="26"/>
    <w:bookmarkEnd w:id="27"/>
    <w:bookmarkStart w:id="35" w:name="résultats"/>
    <w:p>
      <w:pPr>
        <w:pStyle w:val="Titre2"/>
      </w:pPr>
      <w:r>
        <w:t xml:space="preserve">4 Résultats</w:t>
      </w:r>
    </w:p>
    <w:bookmarkStart w:id="29" w:name="synthèse-quantitative-des-lactates"/>
    <w:p>
      <w:pPr>
        <w:pStyle w:val="Titre3"/>
      </w:pPr>
      <w:r>
        <w:t xml:space="preserve">4.1 Synthèse quantitative des lactates</w:t>
      </w:r>
    </w:p>
    <w:p>
      <w:pPr>
        <w:pStyle w:val="FirstParagraph"/>
      </w:pPr>
      <w:r>
        <w:t xml:space="preserve">Le</w:t>
      </w:r>
      <w:r>
        <w:t xml:space="preserve"> </w:t>
      </w:r>
      <w:hyperlink w:anchor="tbl-lactates">
        <w:r>
          <w:rPr>
            <w:rStyle w:val="Lienhypertexte"/>
          </w:rPr>
          <w:t xml:space="preserve">Tableau 1</w:t>
        </w:r>
      </w:hyperlink>
      <w:r>
        <w:t xml:space="preserve"> </w:t>
      </w:r>
      <w:r>
        <w:t xml:space="preserve">résume l’évolution moyenne et la dispersion des lactates sanguins au fil du temps selon le protocole appliqué.</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"gt"</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df_resume </w:t>
      </w:r>
      <w:r>
        <w:rPr>
          <w:rStyle w:val="SpecialCharTok"/>
        </w:rPr>
        <w:t xml:space="preserve">|&gt;</w:t>
      </w:r>
      <w:r>
        <w:br/>
      </w:r>
      <w:r>
        <w:rPr>
          <w:rStyle w:val="NormalTok"/>
        </w:rPr>
        <w:t xml:space="preserve">    gt</w:t>
      </w:r>
      <w:r>
        <w:rPr>
          <w:rStyle w:val="SpecialCharTok"/>
        </w:rPr>
        <w:t xml:space="preserve">::</w:t>
      </w:r>
      <w:r>
        <w:rPr>
          <w:rStyle w:val="FunctionTok"/>
        </w:rPr>
        <w:t xml:space="preserve">gt</w:t>
      </w:r>
      <w:r>
        <w:rPr>
          <w:rStyle w:val="NormalTok"/>
        </w:rPr>
        <w:t xml:space="preserve">() </w:t>
      </w:r>
      <w:r>
        <w:rPr>
          <w:rStyle w:val="SpecialCharTok"/>
        </w:rPr>
        <w:t xml:space="preserve">|&gt;</w:t>
      </w:r>
      <w:r>
        <w:br/>
      </w:r>
      <w:r>
        <w:rPr>
          <w:rStyle w:val="NormalTok"/>
        </w:rPr>
        <w:t xml:space="preserve">    gt</w:t>
      </w:r>
      <w:r>
        <w:rPr>
          <w:rStyle w:val="SpecialCharTok"/>
        </w:rPr>
        <w:t xml:space="preserve">::</w:t>
      </w:r>
      <w:r>
        <w:rPr>
          <w:rStyle w:val="FunctionTok"/>
        </w:rPr>
        <w:t xml:space="preserve">cols_label</w:t>
      </w:r>
      <w:r>
        <w:rPr>
          <w:rStyle w:val="NormalTok"/>
        </w:rPr>
        <w:t xml:space="preserve">(</w:t>
      </w:r>
      <w:r>
        <w:br/>
      </w:r>
      <w:r>
        <w:rPr>
          <w:rStyle w:val="NormalTok"/>
        </w:rPr>
        <w:t xml:space="preserve">      </w:t>
      </w:r>
      <w:r>
        <w:rPr>
          <w:rStyle w:val="AttributeTok"/>
        </w:rPr>
        <w:t xml:space="preserve">Groupe =</w:t>
      </w:r>
      <w:r>
        <w:rPr>
          <w:rStyle w:val="NormalTok"/>
        </w:rPr>
        <w:t xml:space="preserve"> </w:t>
      </w:r>
      <w:r>
        <w:rPr>
          <w:rStyle w:val="StringTok"/>
        </w:rPr>
        <w:t xml:space="preserve">"Protocole appliqué"</w:t>
      </w:r>
      <w:r>
        <w:rPr>
          <w:rStyle w:val="NormalTok"/>
        </w:rPr>
        <w:t xml:space="preserve">,</w:t>
      </w:r>
      <w:r>
        <w:br/>
      </w:r>
      <w:r>
        <w:rPr>
          <w:rStyle w:val="NormalTok"/>
        </w:rPr>
        <w:t xml:space="preserve">      </w:t>
      </w:r>
      <w:r>
        <w:rPr>
          <w:rStyle w:val="AttributeTok"/>
        </w:rPr>
        <w:t xml:space="preserve">Temps_h =</w:t>
      </w:r>
      <w:r>
        <w:rPr>
          <w:rStyle w:val="NormalTok"/>
        </w:rPr>
        <w:t xml:space="preserve"> </w:t>
      </w:r>
      <w:r>
        <w:rPr>
          <w:rStyle w:val="StringTok"/>
        </w:rPr>
        <w:t xml:space="preserve">"Temps (h)"</w:t>
      </w:r>
      <w:r>
        <w:rPr>
          <w:rStyle w:val="NormalTok"/>
        </w:rPr>
        <w:t xml:space="preserve">,</w:t>
      </w:r>
      <w:r>
        <w:br/>
      </w:r>
      <w:r>
        <w:rPr>
          <w:rStyle w:val="NormalTok"/>
        </w:rPr>
        <w:t xml:space="preserve">      </w:t>
      </w:r>
      <w:r>
        <w:rPr>
          <w:rStyle w:val="AttributeTok"/>
        </w:rPr>
        <w:t xml:space="preserve">Moyenne =</w:t>
      </w:r>
      <w:r>
        <w:rPr>
          <w:rStyle w:val="NormalTok"/>
        </w:rPr>
        <w:t xml:space="preserve"> </w:t>
      </w:r>
      <w:r>
        <w:rPr>
          <w:rStyle w:val="StringTok"/>
        </w:rPr>
        <w:t xml:space="preserve">"Moyenne (mmol/L)"</w:t>
      </w:r>
      <w:r>
        <w:rPr>
          <w:rStyle w:val="NormalTok"/>
        </w:rPr>
        <w:t xml:space="preserve">,</w:t>
      </w:r>
      <w:r>
        <w:br/>
      </w:r>
      <w:r>
        <w:rPr>
          <w:rStyle w:val="NormalTok"/>
        </w:rPr>
        <w:t xml:space="preserve">      </w:t>
      </w:r>
      <w:r>
        <w:rPr>
          <w:rStyle w:val="AttributeTok"/>
        </w:rPr>
        <w:t xml:space="preserve">EcartType =</w:t>
      </w:r>
      <w:r>
        <w:rPr>
          <w:rStyle w:val="NormalTok"/>
        </w:rPr>
        <w:t xml:space="preserve"> </w:t>
      </w:r>
      <w:r>
        <w:rPr>
          <w:rStyle w:val="StringTok"/>
        </w:rPr>
        <w:t xml:space="preserve">"Écart-type"</w:t>
      </w:r>
      <w:r>
        <w:rPr>
          <w:rStyle w:val="NormalTok"/>
        </w:rPr>
        <w:t xml:space="preserve">,</w:t>
      </w:r>
      <w:r>
        <w:br/>
      </w:r>
      <w:r>
        <w:rPr>
          <w:rStyle w:val="NormalTok"/>
        </w:rPr>
        <w:t xml:space="preserve">      </w:t>
      </w:r>
      <w:r>
        <w:rPr>
          <w:rStyle w:val="AttributeTok"/>
        </w:rPr>
        <w:t xml:space="preserve">Mediane =</w:t>
      </w:r>
      <w:r>
        <w:rPr>
          <w:rStyle w:val="NormalTok"/>
        </w:rPr>
        <w:t xml:space="preserve"> </w:t>
      </w:r>
      <w:r>
        <w:rPr>
          <w:rStyle w:val="StringTok"/>
        </w:rPr>
        <w:t xml:space="preserve">"Médiane"</w:t>
      </w:r>
      <w:r>
        <w:br/>
      </w:r>
      <w:r>
        <w:rPr>
          <w:rStyle w:val="NormalTok"/>
        </w:rPr>
        <w:t xml:space="preserve">    ) </w:t>
      </w:r>
      <w:r>
        <w:rPr>
          <w:rStyle w:val="SpecialCharTok"/>
        </w:rPr>
        <w:t xml:space="preserve">|&gt;</w:t>
      </w:r>
      <w:r>
        <w:br/>
      </w:r>
      <w:r>
        <w:rPr>
          <w:rStyle w:val="NormalTok"/>
        </w:rPr>
        <w:t xml:space="preserve">    gt</w:t>
      </w:r>
      <w:r>
        <w:rPr>
          <w:rStyle w:val="SpecialCharTok"/>
        </w:rPr>
        <w:t xml:space="preserve">::</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"Cinétique de clairance des lactates"</w:t>
      </w:r>
      <w:r>
        <w:br/>
      </w:r>
      <w:r>
        <w:rPr>
          <w:rStyle w:val="NormalTok"/>
        </w:rPr>
        <w:t xml:space="preserve">    )</w:t>
      </w:r>
      <w:r>
        <w:br/>
      </w:r>
      <w:r>
        <w:rPr>
          <w:rStyle w:val="NormalTok"/>
        </w:rPr>
        <w:t xml:space="preserve">} </w:t>
      </w:r>
      <w:r>
        <w:rPr>
          <w:rStyle w:val="ControlFlowTok"/>
        </w:rPr>
        <w:t xml:space="preserve">else</w:t>
      </w:r>
      <w:r>
        <w:rPr>
          <w:rStyle w:val="NormalTok"/>
        </w:rPr>
        <w:t xml:space="preserve"> {</w:t>
      </w:r>
      <w:r>
        <w:br/>
      </w:r>
      <w:r>
        <w:rPr>
          <w:rStyle w:val="NormalTok"/>
        </w:rPr>
        <w:t xml:space="preserve">  knitr</w:t>
      </w:r>
      <w:r>
        <w:rPr>
          <w:rStyle w:val="SpecialCharTok"/>
        </w:rPr>
        <w:t xml:space="preserve">::</w:t>
      </w:r>
      <w:r>
        <w:rPr>
          <w:rStyle w:val="FunctionTok"/>
        </w:rPr>
        <w:t xml:space="preserve">kable</w:t>
      </w:r>
      <w:r>
        <w:rPr>
          <w:rStyle w:val="NormalTok"/>
        </w:rPr>
        <w:t xml:space="preserve">(df_resume,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"Protocole"</w:t>
      </w:r>
      <w:r>
        <w:rPr>
          <w:rStyle w:val="NormalTok"/>
        </w:rPr>
        <w:t xml:space="preserve">, </w:t>
      </w:r>
      <w:r>
        <w:rPr>
          <w:rStyle w:val="StringTok"/>
        </w:rPr>
        <w:t xml:space="preserve">"Temps (h)"</w:t>
      </w:r>
      <w:r>
        <w:rPr>
          <w:rStyle w:val="NormalTok"/>
        </w:rPr>
        <w:t xml:space="preserve">, </w:t>
      </w:r>
      <w:r>
        <w:rPr>
          <w:rStyle w:val="StringTok"/>
        </w:rPr>
        <w:t xml:space="preserve">"Moyenne"</w:t>
      </w:r>
      <w:r>
        <w:rPr>
          <w:rStyle w:val="NormalTok"/>
        </w:rPr>
        <w:t xml:space="preserve">, </w:t>
      </w:r>
      <w:r>
        <w:rPr>
          <w:rStyle w:val="StringTok"/>
        </w:rPr>
        <w:t xml:space="preserve">"Écart-type"</w:t>
      </w:r>
      <w:r>
        <w:rPr>
          <w:rStyle w:val="NormalTok"/>
        </w:rPr>
        <w:t xml:space="preserve">, </w:t>
      </w:r>
      <w:r>
        <w:rPr>
          <w:rStyle w:val="StringTok"/>
        </w:rPr>
        <w:t xml:space="preserve">"Médiane"</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tbl-lactates"/>
          <w:p>
            <w:pPr>
              <w:jc w:val="center"/>
            </w:pPr>
            <w:pPr>
              <w:jc w:val="left"/>
              <w:spacing w:before="200"/>
              <w:pStyle w:val="ImageCaption"/>
            </w:pPr>
            <w:r>
              <w:t xml:space="preserve">Tableau 1: Évolution de la lactatémie moyenne (mmol/L) au cours de la perfusion hépatique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Cinétique de clairance des lactates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Protocole appliqué</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Temps (h)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Moyenne (mmol/L)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Écart-type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Médiane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Optimisé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Optimisé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Optimisé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Optimisé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Optimisé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Protocole 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w:t>
                  </w:r>
                </w:p>
              </w:tc>
            </w:tr>
          </w:tbl>
          <w:bookmarkEnd w:id="28"/>
        </w:tc>
      </w:tr>
    </w:tbl>
    <w:bookmarkEnd w:id="29"/>
    <w:bookmarkStart w:id="34" w:name="cinétique-comparative"/>
    <w:p>
      <w:pPr>
        <w:pStyle w:val="Titre3"/>
      </w:pPr>
      <w:r>
        <w:t xml:space="preserve">4.2 Cinétique comparative</w:t>
      </w:r>
    </w:p>
    <w:p>
      <w:pPr>
        <w:pStyle w:val="FirstParagraph"/>
      </w:pPr>
      <w:r>
        <w:t xml:space="preserve">La</w:t>
      </w:r>
      <w:r>
        <w:t xml:space="preserve"> </w:t>
      </w:r>
      <w:hyperlink w:anchor="fig-lactates">
        <w:r>
          <w:rPr>
            <w:rStyle w:val="Lienhypertexte"/>
          </w:rPr>
          <w:t xml:space="preserve">Figure 1</w:t>
        </w:r>
      </w:hyperlink>
      <w:r>
        <w:t xml:space="preserve"> </w:t>
      </w:r>
      <w:r>
        <w:t xml:space="preserve">illustre la diminution accélérée des lactates dans le groupe ayant bénéficié du protocole optimisé, atteignant le seuil de viabilité dès la 2e heure.</w:t>
      </w:r>
    </w:p>
    <w:p>
      <w:pPr>
        <w:pStyle w:val="SourceCode"/>
      </w:pPr>
      <w:r>
        <w:rPr>
          <w:rStyle w:val="NormalTok"/>
        </w:rPr>
        <w:t xml:space="preserve">df_resume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Temps_h, </w:t>
      </w:r>
      <w:r>
        <w:rPr>
          <w:rStyle w:val="AttributeTok"/>
        </w:rPr>
        <w:t xml:space="preserve">y =</w:t>
      </w:r>
      <w:r>
        <w:rPr>
          <w:rStyle w:val="NormalTok"/>
        </w:rPr>
        <w:t xml:space="preserve"> Moyenne, </w:t>
      </w:r>
      <w:r>
        <w:rPr>
          <w:rStyle w:val="AttributeTok"/>
        </w:rPr>
        <w:t xml:space="preserve">color =</w:t>
      </w:r>
      <w:r>
        <w:rPr>
          <w:rStyle w:val="NormalTok"/>
        </w:rPr>
        <w:t xml:space="preserve"> Groupe, </w:t>
      </w:r>
      <w:r>
        <w:rPr>
          <w:rStyle w:val="AttributeTok"/>
        </w:rPr>
        <w:t xml:space="preserve">group =</w:t>
      </w:r>
      <w:r>
        <w:rPr>
          <w:rStyle w:val="NormalTok"/>
        </w:rPr>
        <w:t xml:space="preserve"> Groupe))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Moyenne </w:t>
      </w:r>
      <w:r>
        <w:rPr>
          <w:rStyle w:val="SpecialCharTok"/>
        </w:rPr>
        <w:t xml:space="preserve">-</w:t>
      </w:r>
      <w:r>
        <w:rPr>
          <w:rStyle w:val="NormalTok"/>
        </w:rPr>
        <w:t xml:space="preserve"> EcartType), </w:t>
      </w:r>
      <w:r>
        <w:rPr>
          <w:rStyle w:val="AttributeTok"/>
        </w:rPr>
        <w:t xml:space="preserve">ymax =</w:t>
      </w:r>
      <w:r>
        <w:rPr>
          <w:rStyle w:val="NormalTok"/>
        </w:rPr>
        <w:t xml:space="preserve"> Moyenne </w:t>
      </w:r>
      <w:r>
        <w:rPr>
          <w:rStyle w:val="SpecialCharTok"/>
        </w:rPr>
        <w:t xml:space="preserve">+</w:t>
      </w:r>
      <w:r>
        <w:rPr>
          <w:rStyle w:val="NormalTok"/>
        </w:rPr>
        <w:t xml:space="preserve"> EcartType),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2.5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"#e06c75"</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loatTok"/>
        </w:rPr>
        <w:t xml:space="preserve">5.2</w:t>
      </w:r>
      <w:r>
        <w:rPr>
          <w:rStyle w:val="NormalTok"/>
        </w:rPr>
        <w:t xml:space="preserve">, </w:t>
      </w:r>
      <w:r>
        <w:rPr>
          <w:rStyle w:val="AttributeTok"/>
        </w:rPr>
        <w:t xml:space="preserve">y =</w:t>
      </w:r>
      <w:r>
        <w:rPr>
          <w:rStyle w:val="NormalTok"/>
        </w:rPr>
        <w:t xml:space="preserve"> </w:t>
      </w:r>
      <w:r>
        <w:rPr>
          <w:rStyle w:val="FloatTok"/>
        </w:rPr>
        <w:t xml:space="preserve">2.7</w:t>
      </w:r>
      <w:r>
        <w:rPr>
          <w:rStyle w:val="NormalTok"/>
        </w:rPr>
        <w:t xml:space="preserve">, </w:t>
      </w:r>
      <w:r>
        <w:rPr>
          <w:rStyle w:val="AttributeTok"/>
        </w:rPr>
        <w:t xml:space="preserve">label =</w:t>
      </w:r>
      <w:r>
        <w:rPr>
          <w:rStyle w:val="NormalTok"/>
        </w:rPr>
        <w:t xml:space="preserve"> </w:t>
      </w:r>
      <w:r>
        <w:rPr>
          <w:rStyle w:val="StringTok"/>
        </w:rPr>
        <w:t xml:space="preserve">"Seuil viabilité (2.5 mmol/L)"</w:t>
      </w:r>
      <w:r>
        <w:rPr>
          <w:rStyle w:val="NormalTok"/>
        </w:rPr>
        <w:t xml:space="preserve">, </w:t>
      </w:r>
      <w:r>
        <w:rPr>
          <w:rStyle w:val="AttributeTok"/>
        </w:rPr>
        <w:t xml:space="preserve">color =</w:t>
      </w:r>
      <w:r>
        <w:rPr>
          <w:rStyle w:val="NormalTok"/>
        </w:rPr>
        <w:t xml:space="preserve"> </w:t>
      </w:r>
      <w:r>
        <w:rPr>
          <w:rStyle w:val="StringTok"/>
        </w:rPr>
        <w:t xml:space="preserve">"#e06c75"</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AttributeTok"/>
        </w:rPr>
        <w:t xml:space="preserve">fontface =</w:t>
      </w:r>
      <w:r>
        <w:rPr>
          <w:rStyle w:val="NormalTok"/>
        </w:rPr>
        <w:t xml:space="preserve"> </w:t>
      </w:r>
      <w:r>
        <w:rPr>
          <w:rStyle w:val="StringTok"/>
        </w:rPr>
        <w:t xml:space="preserve">"italic"</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temps)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"Temps de perfusion (heures)"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"Lactatémie moyenne (mmol/L)"</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"Protocole"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33" w:name="fig-lactates"/>
          <w:p>
            <w:pPr>
              <w:pStyle w:val="Compact"/>
              <w:jc w:val="center"/>
            </w:pPr>
            <w:r>
              <w:drawing>
                <wp:inline>
                  <wp:extent cx="5664200" cy="3186112"/>
                  <wp:effectExtent b="0" l="0" r="0" t="0"/>
                  <wp:docPr descr="" title="" id="31" name="Picture"/>
                  <a:graphic>
                    <a:graphicData uri="http://schemas.openxmlformats.org/drawingml/2006/picture">
                      <pic:pic>
                        <pic:nvPicPr>
                          <pic:cNvPr descr="exemple-article_files/figure-docx/fig-lactates-1.png" id="32" name="Picture"/>
                          <pic:cNvPicPr>
                            <a:picLocks noChangeArrowheads="1" noChangeAspect="1"/>
                          </pic:cNvPicPr>
                        </pic:nvPicPr>
                        <pic:blipFill>
                          <a:blip r:embed="rId30"/>
                          <a:stretch>
                            <a:fillRect/>
                          </a:stretch>
                        </pic:blipFill>
                        <pic:spPr bwMode="auto">
                          <a:xfrm>
                            <a:off x="0" y="0"/>
                            <a:ext cx="5664200" cy="31861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Cinétique de lactatémie selon le groupe d’étude (moyenne ± écart-type)</w:t>
            </w:r>
          </w:p>
          <w:bookmarkEnd w:id="33"/>
        </w:tc>
      </w:tr>
    </w:tbl>
    <w:bookmarkEnd w:id="34"/>
    <w:bookmarkEnd w:id="35"/>
    <w:bookmarkStart w:id="39" w:name="discussion"/>
    <w:p>
      <w:pPr>
        <w:pStyle w:val="Titre2"/>
      </w:pPr>
      <w:r>
        <w:t xml:space="preserve">5 Discussion</w:t>
      </w:r>
    </w:p>
    <w:p>
      <w:pPr>
        <w:pStyle w:val="FirstParagraph"/>
      </w:pPr>
      <w:r>
        <w:t xml:space="preserve">L’utilisation du protocole optimisé démontre une accélération marquée de la métabolisation des lactates hépatiques, traduisant une reprise précoce de la phosphorylation oxydative mitochondriale et du cycle de Krebs. Les paramètres hémodynamiques et la production biliaire concordent avec ce rétablissement métabolique précoce.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en pratique clinique</w:t>
            </w:r>
          </w:p>
        </w:tc>
      </w:tr>
      <w:tr>
        <w:trPr>
          <w:cantSplit/>
        </w:trPr>
        <w:tc>
          <w:tcPr>
            <w:tcMar>
              <w:top w:w="108" w:type="dxa"/>
              <w:bottom w:w="108" w:type="dxa"/>
            </w:tcMar>
          </w:tcPr>
          <w:p>
            <w:pPr>
              <w:pStyle w:val="Corpsdetexte"/>
            </w:pPr>
            <w:pPr>
              <w:spacing w:before="16" w:after="16"/>
            </w:pPr>
            <w:r>
              <w:t xml:space="preserve">La standardisation des prélèvements horaires à la console de perfusion permet de valider le greffon sans allonger inutilement le temps de perfusion au-delà de 4 heures lorsque les critères sont validés.</w:t>
            </w:r>
          </w:p>
          <w:p/>
        </w:tc>
      </w:tr>
    </w:tbl>
    <w:bookmarkEnd w:id="39"/>
    <w:bookmarkStart w:id="40" w:name="conclusion"/>
    <w:p>
      <w:pPr>
        <w:pStyle w:val="Titre2"/>
      </w:pPr>
      <w:r>
        <w:t xml:space="preserve">6 Conclusion</w:t>
      </w:r>
    </w:p>
    <w:p>
      <w:pPr>
        <w:pStyle w:val="FirstParagraph"/>
      </w:pPr>
      <w:r>
        <w:t xml:space="preserve">Ce document illustre la mise en page d’un article scientifique avec le template Husson, incluant l’intégration des tableaux, graphiques vectoriels, équations et annotations méthodologiques.</w:t>
      </w:r>
    </w:p>
    <w:bookmarkEnd w:id="40"/>
    <w:sectPr w:rsidR="00585D47" w:rsidRPr="00F678D4" w:rsidSect="00145006">
      <w:footerReference r:id="rId10" w:type="even"/>
      <w:footerReference r:id="rId9" w:type="default"/>
      <w:type w:val="continuous"/>
      <w:pgSz w:h="16840" w:w="11900"/>
      <w:pgMar w:bottom="1417" w:footer="708" w:gutter="0" w:header="708" w:left="1560" w:right="1417" w:top="1417"/>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907500412"/>
      <w:docPartObj>
        <w:docPartGallery w:val="Page Numbers (Bottom of Page)"/>
        <w:docPartUnique/>
      </w:docPartObj>
    </w:sdtPr>
    <w:sdtContent>
      <w:p w14:paraId="264E7727" w14:textId="01725AA3" w:rsidR="00854D32" w:rsidRDefault="00854D32" w:rsidP="00821432">
        <w:pPr>
          <w:pStyle w:val="Pieddepage"/>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27ACABFB" w14:textId="77777777" w:rsidR="00854D32" w:rsidRDefault="00854D32" w:rsidP="0082143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625968523"/>
      <w:docPartObj>
        <w:docPartGallery w:val="Page Numbers (Bottom of Page)"/>
        <w:docPartUnique/>
      </w:docPartObj>
    </w:sdtPr>
    <w:sdtContent>
      <w:p w14:paraId="09AC87CD" w14:textId="442C8517" w:rsidR="00854D32" w:rsidRDefault="00854D32" w:rsidP="00821432">
        <w:pPr>
          <w:pStyle w:val="Pieddepage"/>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68D68B57" w14:textId="77777777" w:rsidR="00854D32" w:rsidRDefault="00854D32" w:rsidP="00821432">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0C058EE"/>
    <w:multiLevelType w:val="multilevel"/>
    <w:tmpl w:val="C966C36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32405B6"/>
    <w:multiLevelType w:val="hybridMultilevel"/>
    <w:tmpl w:val="CB96ED8C"/>
    <w:lvl w:ilvl="0" w:tplc="754EC6C4">
      <w:start w:val="2"/>
      <w:numFmt w:val="bullet"/>
      <w:lvlText w:val="-"/>
      <w:lvlJc w:val="left"/>
      <w:pPr>
        <w:ind w:hanging="360" w:left="720"/>
      </w:pPr>
      <w:rPr>
        <w:rFonts w:ascii="Times New Roman" w:cs="Times New Roman" w:eastAsia="Times New Roman" w:hAnsi="Times New Roman"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
    <w:nsid w:val="16086077"/>
    <w:multiLevelType w:val="multilevel"/>
    <w:tmpl w:val="E1E0F14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4A555F59"/>
    <w:multiLevelType w:val="multilevel"/>
    <w:tmpl w:val="3F9A518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5326130B"/>
    <w:multiLevelType w:val="hybridMultilevel"/>
    <w:tmpl w:val="323CA0D8"/>
    <w:lvl w:ilvl="0" w:tplc="C810AD9E">
      <w:start w:val="1"/>
      <w:numFmt w:val="decimal"/>
      <w:lvlText w:val="%1."/>
      <w:lvlJc w:val="left"/>
      <w:pPr>
        <w:ind w:hanging="360" w:left="720"/>
      </w:pPr>
      <w:rPr>
        <w:rFonts w:eastAsia="Times New Roman" w:hint="default"/>
        <w:color w:val="000000"/>
      </w:r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15:restartNumberingAfterBreak="0" w:abstractNumId="5">
    <w:nsid w:val="59AA1D23"/>
    <w:multiLevelType w:val="hybridMultilevel"/>
    <w:tmpl w:val="5590DC44"/>
    <w:lvl w:ilvl="0" w:tplc="F424A578">
      <w:start w:val="2"/>
      <w:numFmt w:val="bullet"/>
      <w:lvlText w:val="-"/>
      <w:lvlJc w:val="left"/>
      <w:pPr>
        <w:ind w:hanging="360" w:left="720"/>
      </w:pPr>
      <w:rPr>
        <w:rFonts w:ascii="Times New Roman" w:cs="Times New Roman" w:eastAsia="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6">
    <w:nsid w:val="7DC958C6"/>
    <w:multiLevelType w:val="hybridMultilevel"/>
    <w:tmpl w:val="07967EC0"/>
    <w:lvl w:ilvl="0" w:tplc="AF5A9D82">
      <w:start w:val="1"/>
      <w:numFmt w:val="bullet"/>
      <w:lvlText w:val="-"/>
      <w:lvlJc w:val="left"/>
      <w:pPr>
        <w:ind w:hanging="360" w:left="720"/>
      </w:pPr>
      <w:rPr>
        <w:rFonts w:ascii="Times New Roman" w:cs="Times New Roman" w:eastAsia="Times New Roman" w:hAnsi="Times New Roman"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5954723" w:numId="1">
    <w:abstractNumId w:val="2"/>
  </w:num>
  <w:num w16cid:durableId="689331786" w:numId="2">
    <w:abstractNumId w:val="0"/>
  </w:num>
  <w:num w16cid:durableId="824398369" w:numId="3">
    <w:abstractNumId w:val="5"/>
  </w:num>
  <w:num w16cid:durableId="576212580" w:numId="4">
    <w:abstractNumId w:val="3"/>
  </w:num>
  <w:num w16cid:durableId="1048602172" w:numId="5">
    <w:abstractNumId w:val="6"/>
  </w:num>
  <w:num w16cid:durableId="585113299" w:numId="6">
    <w:abstractNumId w:val="1"/>
  </w:num>
  <w:num w16cid:durableId="2006130248" w:numId="7">
    <w:abstractNumId w:val="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2"/>
  <w:embedSystemFonts/>
  <w:activeWritingStyle w:appName="MSWord" w:checkStyle="0" w:dllVersion="6" w:lang="fr-FR" w:nlCheck="1" w:vendorID="64"/>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979"/>
    <w:rsid w:val="00005F5A"/>
    <w:rsid w:val="000165C6"/>
    <w:rsid w:val="00027CBC"/>
    <w:rsid w:val="00030802"/>
    <w:rsid w:val="00032F60"/>
    <w:rsid w:val="00047E87"/>
    <w:rsid w:val="00047EE3"/>
    <w:rsid w:val="000579EE"/>
    <w:rsid w:val="0006005F"/>
    <w:rsid w:val="00066D4E"/>
    <w:rsid w:val="000672FD"/>
    <w:rsid w:val="0007521E"/>
    <w:rsid w:val="00075594"/>
    <w:rsid w:val="00076C90"/>
    <w:rsid w:val="000816CB"/>
    <w:rsid w:val="00081764"/>
    <w:rsid w:val="00083C7C"/>
    <w:rsid w:val="000862A7"/>
    <w:rsid w:val="00092C35"/>
    <w:rsid w:val="000944B1"/>
    <w:rsid w:val="00095C71"/>
    <w:rsid w:val="000A0972"/>
    <w:rsid w:val="000A127A"/>
    <w:rsid w:val="000A7D17"/>
    <w:rsid w:val="000A7DCD"/>
    <w:rsid w:val="000B4CCE"/>
    <w:rsid w:val="000C1419"/>
    <w:rsid w:val="000C7B2B"/>
    <w:rsid w:val="000D3C61"/>
    <w:rsid w:val="000E6488"/>
    <w:rsid w:val="00100F79"/>
    <w:rsid w:val="00106B80"/>
    <w:rsid w:val="001120F9"/>
    <w:rsid w:val="00133040"/>
    <w:rsid w:val="001415C4"/>
    <w:rsid w:val="00145006"/>
    <w:rsid w:val="00150709"/>
    <w:rsid w:val="0015347A"/>
    <w:rsid w:val="00155651"/>
    <w:rsid w:val="00163E56"/>
    <w:rsid w:val="00164743"/>
    <w:rsid w:val="0017747D"/>
    <w:rsid w:val="00180189"/>
    <w:rsid w:val="001817B4"/>
    <w:rsid w:val="00183996"/>
    <w:rsid w:val="00183F41"/>
    <w:rsid w:val="00184D03"/>
    <w:rsid w:val="001A6973"/>
    <w:rsid w:val="001B0B08"/>
    <w:rsid w:val="001B1B49"/>
    <w:rsid w:val="001B1EAF"/>
    <w:rsid w:val="001B2246"/>
    <w:rsid w:val="001B4399"/>
    <w:rsid w:val="001C2A9D"/>
    <w:rsid w:val="001C4CCA"/>
    <w:rsid w:val="001C5B0A"/>
    <w:rsid w:val="001D2F64"/>
    <w:rsid w:val="001D48A5"/>
    <w:rsid w:val="001E0C48"/>
    <w:rsid w:val="001E33C7"/>
    <w:rsid w:val="001E67D8"/>
    <w:rsid w:val="001F47D9"/>
    <w:rsid w:val="001F6727"/>
    <w:rsid w:val="00204443"/>
    <w:rsid w:val="0021483A"/>
    <w:rsid w:val="00252511"/>
    <w:rsid w:val="002654F6"/>
    <w:rsid w:val="00270C56"/>
    <w:rsid w:val="00281AA7"/>
    <w:rsid w:val="0028401D"/>
    <w:rsid w:val="00290B1D"/>
    <w:rsid w:val="00292D35"/>
    <w:rsid w:val="00294989"/>
    <w:rsid w:val="00297ED9"/>
    <w:rsid w:val="002A33A8"/>
    <w:rsid w:val="002A48BE"/>
    <w:rsid w:val="002B2826"/>
    <w:rsid w:val="002B3215"/>
    <w:rsid w:val="002C0BEF"/>
    <w:rsid w:val="002C1321"/>
    <w:rsid w:val="002C4193"/>
    <w:rsid w:val="002D131A"/>
    <w:rsid w:val="002D24AA"/>
    <w:rsid w:val="002D5C5F"/>
    <w:rsid w:val="00301979"/>
    <w:rsid w:val="003068FC"/>
    <w:rsid w:val="00311966"/>
    <w:rsid w:val="00321D37"/>
    <w:rsid w:val="00327A92"/>
    <w:rsid w:val="00330EBD"/>
    <w:rsid w:val="00331A7F"/>
    <w:rsid w:val="003351C6"/>
    <w:rsid w:val="00340AF9"/>
    <w:rsid w:val="00346E84"/>
    <w:rsid w:val="00352303"/>
    <w:rsid w:val="0035560A"/>
    <w:rsid w:val="003620F5"/>
    <w:rsid w:val="00365E69"/>
    <w:rsid w:val="003670CD"/>
    <w:rsid w:val="0038667A"/>
    <w:rsid w:val="00390117"/>
    <w:rsid w:val="00395FFD"/>
    <w:rsid w:val="003961DE"/>
    <w:rsid w:val="003A02FA"/>
    <w:rsid w:val="003A03CA"/>
    <w:rsid w:val="003A25B8"/>
    <w:rsid w:val="003A2EBE"/>
    <w:rsid w:val="003A67F7"/>
    <w:rsid w:val="003B035C"/>
    <w:rsid w:val="003B19D2"/>
    <w:rsid w:val="003C5B4D"/>
    <w:rsid w:val="003C7976"/>
    <w:rsid w:val="003C7FBD"/>
    <w:rsid w:val="003D163A"/>
    <w:rsid w:val="003D4F07"/>
    <w:rsid w:val="003E30ED"/>
    <w:rsid w:val="003E444B"/>
    <w:rsid w:val="003F41CD"/>
    <w:rsid w:val="003F61EF"/>
    <w:rsid w:val="00402E0B"/>
    <w:rsid w:val="004218A1"/>
    <w:rsid w:val="00424C07"/>
    <w:rsid w:val="004274AA"/>
    <w:rsid w:val="00432363"/>
    <w:rsid w:val="0044165B"/>
    <w:rsid w:val="00442D46"/>
    <w:rsid w:val="004511CB"/>
    <w:rsid w:val="00451979"/>
    <w:rsid w:val="0046311D"/>
    <w:rsid w:val="00475F81"/>
    <w:rsid w:val="0047728F"/>
    <w:rsid w:val="00482886"/>
    <w:rsid w:val="00492191"/>
    <w:rsid w:val="00492A06"/>
    <w:rsid w:val="00495119"/>
    <w:rsid w:val="00496966"/>
    <w:rsid w:val="004B5732"/>
    <w:rsid w:val="004B650F"/>
    <w:rsid w:val="004C3A88"/>
    <w:rsid w:val="004C4189"/>
    <w:rsid w:val="004D0EF1"/>
    <w:rsid w:val="004E6FB6"/>
    <w:rsid w:val="004F5B18"/>
    <w:rsid w:val="004F6B57"/>
    <w:rsid w:val="00510F92"/>
    <w:rsid w:val="00511628"/>
    <w:rsid w:val="005134A1"/>
    <w:rsid w:val="00515590"/>
    <w:rsid w:val="00522373"/>
    <w:rsid w:val="0053784D"/>
    <w:rsid w:val="00540204"/>
    <w:rsid w:val="005435BC"/>
    <w:rsid w:val="00543767"/>
    <w:rsid w:val="0054433A"/>
    <w:rsid w:val="00545573"/>
    <w:rsid w:val="00550882"/>
    <w:rsid w:val="00563FBD"/>
    <w:rsid w:val="00567A0E"/>
    <w:rsid w:val="00585D47"/>
    <w:rsid w:val="00594BD8"/>
    <w:rsid w:val="00597C26"/>
    <w:rsid w:val="005A6629"/>
    <w:rsid w:val="005A769D"/>
    <w:rsid w:val="005B26A6"/>
    <w:rsid w:val="005B39CE"/>
    <w:rsid w:val="005B665B"/>
    <w:rsid w:val="005C7A52"/>
    <w:rsid w:val="005C7E7C"/>
    <w:rsid w:val="005D2875"/>
    <w:rsid w:val="005D61C1"/>
    <w:rsid w:val="005E355C"/>
    <w:rsid w:val="005E46D5"/>
    <w:rsid w:val="0060140B"/>
    <w:rsid w:val="00607A4A"/>
    <w:rsid w:val="006177D4"/>
    <w:rsid w:val="00622B36"/>
    <w:rsid w:val="006317E7"/>
    <w:rsid w:val="00632437"/>
    <w:rsid w:val="006325FD"/>
    <w:rsid w:val="00636B3C"/>
    <w:rsid w:val="006370ED"/>
    <w:rsid w:val="00644579"/>
    <w:rsid w:val="00645EA6"/>
    <w:rsid w:val="00647359"/>
    <w:rsid w:val="00660046"/>
    <w:rsid w:val="006618E3"/>
    <w:rsid w:val="00662EC5"/>
    <w:rsid w:val="00667D58"/>
    <w:rsid w:val="00672709"/>
    <w:rsid w:val="006810FD"/>
    <w:rsid w:val="00682408"/>
    <w:rsid w:val="00682B24"/>
    <w:rsid w:val="006918CA"/>
    <w:rsid w:val="006918DC"/>
    <w:rsid w:val="00695424"/>
    <w:rsid w:val="006963CC"/>
    <w:rsid w:val="006A251F"/>
    <w:rsid w:val="006A3374"/>
    <w:rsid w:val="006A426A"/>
    <w:rsid w:val="006B0CB5"/>
    <w:rsid w:val="006B2828"/>
    <w:rsid w:val="006B28BE"/>
    <w:rsid w:val="006B3587"/>
    <w:rsid w:val="006D18E5"/>
    <w:rsid w:val="006D2240"/>
    <w:rsid w:val="006E28BA"/>
    <w:rsid w:val="006F1D1D"/>
    <w:rsid w:val="006F5E8B"/>
    <w:rsid w:val="006F7F6A"/>
    <w:rsid w:val="0070680C"/>
    <w:rsid w:val="00710089"/>
    <w:rsid w:val="007343EF"/>
    <w:rsid w:val="00735010"/>
    <w:rsid w:val="00736352"/>
    <w:rsid w:val="00742041"/>
    <w:rsid w:val="00746E2C"/>
    <w:rsid w:val="00761FEC"/>
    <w:rsid w:val="007757AC"/>
    <w:rsid w:val="007772B0"/>
    <w:rsid w:val="00781933"/>
    <w:rsid w:val="007843B1"/>
    <w:rsid w:val="00785D9F"/>
    <w:rsid w:val="007872FB"/>
    <w:rsid w:val="00792569"/>
    <w:rsid w:val="007A021E"/>
    <w:rsid w:val="007A1A5E"/>
    <w:rsid w:val="007A1B12"/>
    <w:rsid w:val="007B4E55"/>
    <w:rsid w:val="007B6C74"/>
    <w:rsid w:val="007C447A"/>
    <w:rsid w:val="007C5C20"/>
    <w:rsid w:val="007D7558"/>
    <w:rsid w:val="007F0DC3"/>
    <w:rsid w:val="007F282E"/>
    <w:rsid w:val="008001C6"/>
    <w:rsid w:val="008053AC"/>
    <w:rsid w:val="00821131"/>
    <w:rsid w:val="00821432"/>
    <w:rsid w:val="00823604"/>
    <w:rsid w:val="00826511"/>
    <w:rsid w:val="00830C39"/>
    <w:rsid w:val="0083595F"/>
    <w:rsid w:val="00852798"/>
    <w:rsid w:val="008530F1"/>
    <w:rsid w:val="00854D32"/>
    <w:rsid w:val="00855B27"/>
    <w:rsid w:val="00872301"/>
    <w:rsid w:val="00875A4F"/>
    <w:rsid w:val="00880887"/>
    <w:rsid w:val="00884DC9"/>
    <w:rsid w:val="008902C2"/>
    <w:rsid w:val="00894CF8"/>
    <w:rsid w:val="008A3C0C"/>
    <w:rsid w:val="008A6BDD"/>
    <w:rsid w:val="008B07D8"/>
    <w:rsid w:val="008B10C5"/>
    <w:rsid w:val="008B574A"/>
    <w:rsid w:val="008C26E9"/>
    <w:rsid w:val="008D33D6"/>
    <w:rsid w:val="008D3480"/>
    <w:rsid w:val="008D4342"/>
    <w:rsid w:val="008E3BF7"/>
    <w:rsid w:val="008E5FA3"/>
    <w:rsid w:val="008E7E1D"/>
    <w:rsid w:val="008F73BF"/>
    <w:rsid w:val="009019DD"/>
    <w:rsid w:val="0091460B"/>
    <w:rsid w:val="0091799D"/>
    <w:rsid w:val="00922077"/>
    <w:rsid w:val="009302A6"/>
    <w:rsid w:val="009303CD"/>
    <w:rsid w:val="009310E7"/>
    <w:rsid w:val="009340B0"/>
    <w:rsid w:val="00934266"/>
    <w:rsid w:val="0093497A"/>
    <w:rsid w:val="00940189"/>
    <w:rsid w:val="0094403B"/>
    <w:rsid w:val="00955BE6"/>
    <w:rsid w:val="00956065"/>
    <w:rsid w:val="00962505"/>
    <w:rsid w:val="00967767"/>
    <w:rsid w:val="00971EB4"/>
    <w:rsid w:val="00987E70"/>
    <w:rsid w:val="009A069F"/>
    <w:rsid w:val="009A1A92"/>
    <w:rsid w:val="009A260F"/>
    <w:rsid w:val="009A355E"/>
    <w:rsid w:val="009A5D64"/>
    <w:rsid w:val="009B1313"/>
    <w:rsid w:val="009B1E7A"/>
    <w:rsid w:val="009B4FAF"/>
    <w:rsid w:val="009B5D6D"/>
    <w:rsid w:val="009C1BD1"/>
    <w:rsid w:val="009C417E"/>
    <w:rsid w:val="009D3A85"/>
    <w:rsid w:val="009D7359"/>
    <w:rsid w:val="009E00AF"/>
    <w:rsid w:val="009E0715"/>
    <w:rsid w:val="009F0C48"/>
    <w:rsid w:val="009F350F"/>
    <w:rsid w:val="00A0437D"/>
    <w:rsid w:val="00A16108"/>
    <w:rsid w:val="00A17045"/>
    <w:rsid w:val="00A334DA"/>
    <w:rsid w:val="00A42CB9"/>
    <w:rsid w:val="00A43935"/>
    <w:rsid w:val="00A46689"/>
    <w:rsid w:val="00A46EE4"/>
    <w:rsid w:val="00A55199"/>
    <w:rsid w:val="00A557B6"/>
    <w:rsid w:val="00A63675"/>
    <w:rsid w:val="00A7112C"/>
    <w:rsid w:val="00A71A33"/>
    <w:rsid w:val="00AA04A2"/>
    <w:rsid w:val="00AA5E5F"/>
    <w:rsid w:val="00AB2F71"/>
    <w:rsid w:val="00AB3D0B"/>
    <w:rsid w:val="00AB54BF"/>
    <w:rsid w:val="00AB7D44"/>
    <w:rsid w:val="00AD1F81"/>
    <w:rsid w:val="00AE4ABC"/>
    <w:rsid w:val="00AF12EB"/>
    <w:rsid w:val="00AF72C3"/>
    <w:rsid w:val="00B00EF1"/>
    <w:rsid w:val="00B04FD0"/>
    <w:rsid w:val="00B134B2"/>
    <w:rsid w:val="00B14A4F"/>
    <w:rsid w:val="00B24A15"/>
    <w:rsid w:val="00B2568F"/>
    <w:rsid w:val="00B260A8"/>
    <w:rsid w:val="00B350F3"/>
    <w:rsid w:val="00B43C3C"/>
    <w:rsid w:val="00B44401"/>
    <w:rsid w:val="00B47A1C"/>
    <w:rsid w:val="00B47BDF"/>
    <w:rsid w:val="00B54728"/>
    <w:rsid w:val="00B55575"/>
    <w:rsid w:val="00B63159"/>
    <w:rsid w:val="00B6696E"/>
    <w:rsid w:val="00B67BE2"/>
    <w:rsid w:val="00B725F6"/>
    <w:rsid w:val="00B746B3"/>
    <w:rsid w:val="00B74F34"/>
    <w:rsid w:val="00B80507"/>
    <w:rsid w:val="00B8377C"/>
    <w:rsid w:val="00B86439"/>
    <w:rsid w:val="00B8706C"/>
    <w:rsid w:val="00B96F47"/>
    <w:rsid w:val="00BA0F27"/>
    <w:rsid w:val="00BA13CB"/>
    <w:rsid w:val="00BB1940"/>
    <w:rsid w:val="00BB4476"/>
    <w:rsid w:val="00BE5412"/>
    <w:rsid w:val="00BF59EE"/>
    <w:rsid w:val="00C17AB0"/>
    <w:rsid w:val="00C225BD"/>
    <w:rsid w:val="00C366B2"/>
    <w:rsid w:val="00C5447F"/>
    <w:rsid w:val="00C57396"/>
    <w:rsid w:val="00C60568"/>
    <w:rsid w:val="00C63933"/>
    <w:rsid w:val="00C76F5E"/>
    <w:rsid w:val="00C77636"/>
    <w:rsid w:val="00C811CF"/>
    <w:rsid w:val="00C839EB"/>
    <w:rsid w:val="00C875DF"/>
    <w:rsid w:val="00C9541D"/>
    <w:rsid w:val="00C96B35"/>
    <w:rsid w:val="00CB5A11"/>
    <w:rsid w:val="00CC07E9"/>
    <w:rsid w:val="00CC43C3"/>
    <w:rsid w:val="00CE2703"/>
    <w:rsid w:val="00CE3D90"/>
    <w:rsid w:val="00CE6A22"/>
    <w:rsid w:val="00CF1F86"/>
    <w:rsid w:val="00D03688"/>
    <w:rsid w:val="00D11F4D"/>
    <w:rsid w:val="00D224AD"/>
    <w:rsid w:val="00D27A61"/>
    <w:rsid w:val="00D32294"/>
    <w:rsid w:val="00D331C7"/>
    <w:rsid w:val="00D34A01"/>
    <w:rsid w:val="00D351FA"/>
    <w:rsid w:val="00D41482"/>
    <w:rsid w:val="00D4277C"/>
    <w:rsid w:val="00D443F1"/>
    <w:rsid w:val="00D52E53"/>
    <w:rsid w:val="00D53CA2"/>
    <w:rsid w:val="00D776DD"/>
    <w:rsid w:val="00D8004A"/>
    <w:rsid w:val="00D85F96"/>
    <w:rsid w:val="00D87C82"/>
    <w:rsid w:val="00D9188C"/>
    <w:rsid w:val="00D96FF7"/>
    <w:rsid w:val="00D97E48"/>
    <w:rsid w:val="00DA3CA4"/>
    <w:rsid w:val="00DA55AA"/>
    <w:rsid w:val="00DB24B0"/>
    <w:rsid w:val="00DB52B6"/>
    <w:rsid w:val="00DB6483"/>
    <w:rsid w:val="00DB684E"/>
    <w:rsid w:val="00DC7384"/>
    <w:rsid w:val="00DC755D"/>
    <w:rsid w:val="00DD14AE"/>
    <w:rsid w:val="00DD7E9A"/>
    <w:rsid w:val="00DE2B07"/>
    <w:rsid w:val="00DF0209"/>
    <w:rsid w:val="00E23FE0"/>
    <w:rsid w:val="00E24179"/>
    <w:rsid w:val="00E31E05"/>
    <w:rsid w:val="00E36BFB"/>
    <w:rsid w:val="00E607FA"/>
    <w:rsid w:val="00E84489"/>
    <w:rsid w:val="00E91D78"/>
    <w:rsid w:val="00E9686D"/>
    <w:rsid w:val="00EB05FB"/>
    <w:rsid w:val="00EB51CF"/>
    <w:rsid w:val="00EC0730"/>
    <w:rsid w:val="00EC113F"/>
    <w:rsid w:val="00EC1366"/>
    <w:rsid w:val="00EC16C9"/>
    <w:rsid w:val="00EC2C21"/>
    <w:rsid w:val="00EC43E7"/>
    <w:rsid w:val="00ED1458"/>
    <w:rsid w:val="00ED26D8"/>
    <w:rsid w:val="00ED501C"/>
    <w:rsid w:val="00ED5EA6"/>
    <w:rsid w:val="00EE2697"/>
    <w:rsid w:val="00EE5138"/>
    <w:rsid w:val="00EE5B1F"/>
    <w:rsid w:val="00EF1E2A"/>
    <w:rsid w:val="00EF5B4D"/>
    <w:rsid w:val="00EF777C"/>
    <w:rsid w:val="00F01A84"/>
    <w:rsid w:val="00F04DC2"/>
    <w:rsid w:val="00F10064"/>
    <w:rsid w:val="00F14072"/>
    <w:rsid w:val="00F1645E"/>
    <w:rsid w:val="00F200C2"/>
    <w:rsid w:val="00F27ABD"/>
    <w:rsid w:val="00F308DD"/>
    <w:rsid w:val="00F30EEE"/>
    <w:rsid w:val="00F32086"/>
    <w:rsid w:val="00F36FDF"/>
    <w:rsid w:val="00F565AF"/>
    <w:rsid w:val="00F605B2"/>
    <w:rsid w:val="00F61237"/>
    <w:rsid w:val="00F655EE"/>
    <w:rsid w:val="00F66293"/>
    <w:rsid w:val="00F678D4"/>
    <w:rsid w:val="00F77141"/>
    <w:rsid w:val="00F84AF5"/>
    <w:rsid w:val="00F84C72"/>
    <w:rsid w:val="00F8574A"/>
    <w:rsid w:val="00F86059"/>
    <w:rsid w:val="00FB4F09"/>
    <w:rsid w:val="00FC1B95"/>
    <w:rsid w:val="00FC310A"/>
    <w:rsid w:val="00FC38E9"/>
    <w:rsid w:val="00FC74C7"/>
    <w:rsid w:val="00FD4E1C"/>
    <w:rsid w:val="00FE759E"/>
    <w:rsid w:val="00FF78BC"/>
  </w:rsids>
  <w:themeFontLang w:val="fr-F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fr-FR" w:val="fr"/>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E3BF7"/>
    <w:pPr>
      <w:spacing w:line="480" w:lineRule="auto"/>
      <w:ind w:right="419"/>
    </w:pPr>
    <w:rPr>
      <w:bCs/>
      <w:iCs/>
    </w:rPr>
  </w:style>
  <w:style w:styleId="Titre1" w:type="paragraph">
    <w:name w:val="heading 1"/>
    <w:basedOn w:val="Normal"/>
    <w:next w:val="Normal"/>
    <w:link w:val="Titre1Car"/>
    <w:uiPriority w:val="9"/>
    <w:qFormat/>
    <w:rsid w:val="006918CA"/>
    <w:pPr>
      <w:keepNext/>
      <w:keepLines/>
      <w:spacing w:after="120" w:before="480" w:line="276" w:lineRule="auto"/>
      <w:outlineLvl w:val="0"/>
    </w:pPr>
    <w:rPr>
      <w:b/>
      <w:sz w:val="28"/>
      <w:szCs w:val="28"/>
      <w:lang w:val="fr"/>
    </w:rPr>
  </w:style>
  <w:style w:styleId="Titre2" w:type="paragraph">
    <w:name w:val="heading 2"/>
    <w:basedOn w:val="Normal"/>
    <w:next w:val="Normal"/>
    <w:link w:val="Titre2Car"/>
    <w:uiPriority w:val="9"/>
    <w:unhideWhenUsed/>
    <w:qFormat/>
    <w:rsid w:val="006918CA"/>
    <w:pPr>
      <w:keepNext/>
      <w:keepLines/>
      <w:spacing w:after="80" w:before="360" w:line="360" w:lineRule="auto"/>
      <w:outlineLvl w:val="1"/>
    </w:pPr>
    <w:rPr>
      <w:b/>
      <w:i/>
      <w:iCs w:val="0"/>
      <w:sz w:val="28"/>
      <w:szCs w:val="28"/>
      <w:lang w:val="fr"/>
    </w:rPr>
  </w:style>
  <w:style w:styleId="Titre3" w:type="paragraph">
    <w:name w:val="heading 3"/>
    <w:basedOn w:val="Normal"/>
    <w:next w:val="Normal"/>
    <w:uiPriority w:val="9"/>
    <w:unhideWhenUsed/>
    <w:qFormat/>
    <w:rsid w:val="00495119"/>
    <w:pPr>
      <w:keepNext/>
      <w:keepLines/>
      <w:spacing w:after="80" w:before="280"/>
      <w:outlineLvl w:val="2"/>
    </w:pPr>
    <w:rPr>
      <w:b/>
      <w:i/>
      <w:iCs w:val="0"/>
    </w:rPr>
  </w:style>
  <w:style w:styleId="Titre4" w:type="paragraph">
    <w:name w:val="heading 4"/>
    <w:basedOn w:val="Normal"/>
    <w:next w:val="Normal"/>
    <w:link w:val="Titre4Car"/>
    <w:uiPriority w:val="9"/>
    <w:unhideWhenUsed/>
    <w:qFormat/>
    <w:rsid w:val="00823604"/>
    <w:pPr>
      <w:keepNext/>
      <w:keepLines/>
      <w:spacing w:after="40" w:before="240" w:line="360" w:lineRule="auto"/>
      <w:outlineLvl w:val="3"/>
    </w:pPr>
    <w:rPr>
      <w:b/>
    </w:rPr>
  </w:style>
  <w:style w:styleId="Titre5" w:type="paragraph">
    <w:name w:val="heading 5"/>
    <w:basedOn w:val="Normal"/>
    <w:link w:val="Titre5Car"/>
    <w:uiPriority w:val="9"/>
    <w:unhideWhenUsed/>
    <w:qFormat/>
    <w:rsid w:val="00802A5B"/>
    <w:pPr>
      <w:spacing w:after="100" w:afterAutospacing="1" w:before="100" w:beforeAutospacing="1"/>
      <w:outlineLvl w:val="4"/>
    </w:pPr>
    <w:rPr>
      <w:b/>
      <w:bCs w:val="0"/>
      <w:sz w:val="20"/>
      <w:szCs w:val="20"/>
    </w:rPr>
  </w:style>
  <w:style w:styleId="Titre6" w:type="paragraph">
    <w:name w:val="heading 6"/>
    <w:basedOn w:val="Normal"/>
    <w:next w:val="Normal"/>
    <w:uiPriority w:val="9"/>
    <w:semiHidden/>
    <w:unhideWhenUsed/>
    <w:qFormat/>
    <w:pPr>
      <w:keepNext/>
      <w:keepLines/>
      <w:spacing w:after="40" w:before="200"/>
      <w:outlineLvl w:val="5"/>
    </w:pPr>
    <w:rPr>
      <w:b/>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customStyle="1" w:styleId="TableNormal1" w:type="table">
    <w:name w:val="Table Normal1"/>
    <w:tblPr>
      <w:tblCellMar>
        <w:top w:type="dxa" w:w="0"/>
        <w:left w:type="dxa" w:w="0"/>
        <w:bottom w:type="dxa" w:w="0"/>
        <w:right w:type="dxa" w:w="0"/>
      </w:tblCellMar>
    </w:tblPr>
  </w:style>
  <w:style w:styleId="Titre" w:type="paragraph">
    <w:name w:val="Title"/>
    <w:basedOn w:val="Normal"/>
    <w:next w:val="Normal"/>
    <w:uiPriority w:val="10"/>
    <w:qFormat/>
    <w:pPr>
      <w:keepNext/>
      <w:keepLines/>
      <w:spacing w:after="120" w:before="480"/>
    </w:pPr>
    <w:rPr>
      <w:b/>
      <w:sz w:val="72"/>
      <w:szCs w:val="72"/>
    </w:rPr>
  </w:style>
  <w:style w:customStyle="1" w:styleId="Titre5Car" w:type="character">
    <w:name w:val="Titre 5 Car"/>
    <w:basedOn w:val="Policepardfaut"/>
    <w:link w:val="Titre5"/>
    <w:uiPriority w:val="9"/>
    <w:rsid w:val="00802A5B"/>
    <w:rPr>
      <w:rFonts w:ascii="Times New Roman" w:cs="Times New Roman" w:eastAsia="Times New Roman" w:hAnsi="Times New Roman"/>
      <w:b/>
      <w:bCs/>
      <w:kern w:val="0"/>
      <w:sz w:val="20"/>
      <w:szCs w:val="20"/>
      <w:lang w:eastAsia="fr-FR"/>
    </w:rPr>
  </w:style>
  <w:style w:styleId="NormalWeb" w:type="paragraph">
    <w:name w:val="Normal (Web)"/>
    <w:basedOn w:val="Normal"/>
    <w:uiPriority w:val="99"/>
    <w:unhideWhenUsed/>
    <w:rsid w:val="00802A5B"/>
    <w:pPr>
      <w:spacing w:after="100" w:afterAutospacing="1" w:before="100" w:beforeAutospacing="1"/>
    </w:pPr>
  </w:style>
  <w:style w:styleId="lev" w:type="character">
    <w:name w:val="Strong"/>
    <w:basedOn w:val="Policepardfaut"/>
    <w:uiPriority w:val="22"/>
    <w:qFormat/>
    <w:rsid w:val="00D3769E"/>
    <w:rPr>
      <w:b/>
      <w:bCs/>
    </w:rPr>
  </w:style>
  <w:style w:styleId="Sous-titre" w:type="paragraph">
    <w:name w:val="Subtitle"/>
    <w:basedOn w:val="Normal"/>
    <w:next w:val="Normal"/>
    <w:uiPriority w:val="11"/>
    <w:qFormat/>
    <w:pPr>
      <w:keepNext/>
      <w:keepLines/>
      <w:spacing w:after="80" w:before="360"/>
    </w:pPr>
    <w:rPr>
      <w:rFonts w:ascii="Georgia" w:cs="Georgia" w:eastAsia="Georgia" w:hAnsi="Georgia"/>
      <w:i/>
      <w:color w:val="666666"/>
      <w:sz w:val="48"/>
      <w:szCs w:val="48"/>
    </w:rPr>
  </w:style>
  <w:style w:customStyle="1" w:styleId="a" w:type="table">
    <w:basedOn w:val="TableNormal1"/>
    <w:tblPr>
      <w:tblStyleRowBandSize w:val="1"/>
      <w:tblStyleColBandSize w:val="1"/>
      <w:tblCellMar>
        <w:top w:type="dxa" w:w="100"/>
        <w:left w:type="dxa" w:w="100"/>
        <w:bottom w:type="dxa" w:w="100"/>
        <w:right w:type="dxa" w:w="100"/>
      </w:tblCellMar>
    </w:tblPr>
  </w:style>
  <w:style w:customStyle="1" w:styleId="a0" w:type="table">
    <w:basedOn w:val="TableNormal1"/>
    <w:tblPr>
      <w:tblStyleRowBandSize w:val="1"/>
      <w:tblStyleColBandSize w:val="1"/>
      <w:tblCellMar>
        <w:top w:type="dxa" w:w="100"/>
        <w:left w:type="dxa" w:w="100"/>
        <w:bottom w:type="dxa" w:w="100"/>
        <w:right w:type="dxa" w:w="100"/>
      </w:tblCellMar>
    </w:tblPr>
  </w:style>
  <w:style w:customStyle="1" w:styleId="a1" w:type="table">
    <w:basedOn w:val="TableNormal1"/>
    <w:tblPr>
      <w:tblStyleRowBandSize w:val="1"/>
      <w:tblStyleColBandSize w:val="1"/>
      <w:tblCellMar>
        <w:top w:type="dxa" w:w="100"/>
        <w:left w:type="dxa" w:w="100"/>
        <w:bottom w:type="dxa" w:w="100"/>
        <w:right w:type="dxa" w:w="100"/>
      </w:tblCellMar>
    </w:tblPr>
  </w:style>
  <w:style w:customStyle="1" w:styleId="Bibliographie1" w:type="paragraph">
    <w:name w:val="Bibliographie1"/>
    <w:basedOn w:val="Normal"/>
    <w:link w:val="BibliographyCar"/>
    <w:rsid w:val="00545573"/>
    <w:pPr>
      <w:pBdr>
        <w:top w:val="nil"/>
        <w:left w:val="nil"/>
        <w:bottom w:val="nil"/>
        <w:right w:val="nil"/>
        <w:between w:val="nil"/>
      </w:pBdr>
      <w:tabs>
        <w:tab w:pos="260" w:val="left"/>
      </w:tabs>
      <w:spacing w:after="240"/>
      <w:ind w:hanging="264" w:left="264"/>
    </w:pPr>
  </w:style>
  <w:style w:customStyle="1" w:styleId="BibliographyCar" w:type="character">
    <w:name w:val="Bibliography Car"/>
    <w:basedOn w:val="Policepardfaut"/>
    <w:link w:val="Bibliographie1"/>
    <w:rsid w:val="00545573"/>
  </w:style>
  <w:style w:styleId="Lienhypertexte" w:type="character">
    <w:name w:val="Hyperlink"/>
    <w:basedOn w:val="Policepardfaut"/>
    <w:uiPriority w:val="99"/>
    <w:unhideWhenUsed/>
    <w:rsid w:val="00545573"/>
    <w:rPr>
      <w:color w:val="0000FF"/>
      <w:u w:val="single"/>
    </w:rPr>
  </w:style>
  <w:style w:styleId="Lienhypertextesuivivisit" w:type="character">
    <w:name w:val="FollowedHyperlink"/>
    <w:basedOn w:val="Policepardfaut"/>
    <w:uiPriority w:val="99"/>
    <w:semiHidden/>
    <w:unhideWhenUsed/>
    <w:rsid w:val="00545573"/>
    <w:rPr>
      <w:color w:themeColor="followedHyperlink" w:val="954F72"/>
      <w:u w:val="single"/>
    </w:rPr>
  </w:style>
  <w:style w:customStyle="1" w:styleId="ml-1" w:type="character">
    <w:name w:val="ml-1"/>
    <w:basedOn w:val="Policepardfaut"/>
    <w:rsid w:val="00545573"/>
  </w:style>
  <w:style w:styleId="Grilledutableau" w:type="table">
    <w:name w:val="Table Grid"/>
    <w:basedOn w:val="TableauNormal"/>
    <w:rsid w:val="00545573"/>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Marquedecommentaire" w:type="character">
    <w:name w:val="annotation reference"/>
    <w:basedOn w:val="Policepardfaut"/>
    <w:uiPriority w:val="99"/>
    <w:semiHidden/>
    <w:unhideWhenUsed/>
    <w:rsid w:val="00027CBC"/>
    <w:rPr>
      <w:sz w:val="16"/>
      <w:szCs w:val="16"/>
    </w:rPr>
  </w:style>
  <w:style w:styleId="Commentaire" w:type="paragraph">
    <w:name w:val="annotation text"/>
    <w:basedOn w:val="Normal"/>
    <w:link w:val="CommentaireCar"/>
    <w:uiPriority w:val="99"/>
    <w:semiHidden/>
    <w:unhideWhenUsed/>
    <w:rsid w:val="00027CBC"/>
    <w:rPr>
      <w:sz w:val="20"/>
      <w:szCs w:val="20"/>
    </w:rPr>
  </w:style>
  <w:style w:customStyle="1" w:styleId="CommentaireCar" w:type="character">
    <w:name w:val="Commentaire Car"/>
    <w:basedOn w:val="Policepardfaut"/>
    <w:link w:val="Commentaire"/>
    <w:uiPriority w:val="99"/>
    <w:semiHidden/>
    <w:rsid w:val="00027CBC"/>
    <w:rPr>
      <w:sz w:val="20"/>
      <w:szCs w:val="20"/>
    </w:rPr>
  </w:style>
  <w:style w:styleId="Objetducommentaire" w:type="paragraph">
    <w:name w:val="annotation subject"/>
    <w:basedOn w:val="Commentaire"/>
    <w:next w:val="Commentaire"/>
    <w:link w:val="ObjetducommentaireCar"/>
    <w:uiPriority w:val="99"/>
    <w:semiHidden/>
    <w:unhideWhenUsed/>
    <w:rsid w:val="00027CBC"/>
    <w:rPr>
      <w:b/>
      <w:bCs w:val="0"/>
    </w:rPr>
  </w:style>
  <w:style w:customStyle="1" w:styleId="ObjetducommentaireCar" w:type="character">
    <w:name w:val="Objet du commentaire Car"/>
    <w:basedOn w:val="CommentaireCar"/>
    <w:link w:val="Objetducommentaire"/>
    <w:uiPriority w:val="99"/>
    <w:semiHidden/>
    <w:rsid w:val="00027CBC"/>
    <w:rPr>
      <w:b/>
      <w:bCs/>
      <w:sz w:val="20"/>
      <w:szCs w:val="20"/>
    </w:rPr>
  </w:style>
  <w:style w:styleId="En-tte" w:type="paragraph">
    <w:name w:val="header"/>
    <w:basedOn w:val="Normal"/>
    <w:link w:val="En-tteCar"/>
    <w:uiPriority w:val="99"/>
    <w:unhideWhenUsed/>
    <w:rsid w:val="004F6B57"/>
    <w:pPr>
      <w:tabs>
        <w:tab w:pos="4536" w:val="center"/>
        <w:tab w:pos="9072" w:val="right"/>
      </w:tabs>
    </w:pPr>
  </w:style>
  <w:style w:customStyle="1" w:styleId="En-tteCar" w:type="character">
    <w:name w:val="En-tête Car"/>
    <w:basedOn w:val="Policepardfaut"/>
    <w:link w:val="En-tte"/>
    <w:uiPriority w:val="99"/>
    <w:rsid w:val="004F6B57"/>
  </w:style>
  <w:style w:styleId="Pieddepage" w:type="paragraph">
    <w:name w:val="footer"/>
    <w:basedOn w:val="Normal"/>
    <w:link w:val="PieddepageCar"/>
    <w:uiPriority w:val="99"/>
    <w:unhideWhenUsed/>
    <w:rsid w:val="004F6B57"/>
    <w:pPr>
      <w:tabs>
        <w:tab w:pos="4536" w:val="center"/>
        <w:tab w:pos="9072" w:val="right"/>
      </w:tabs>
    </w:pPr>
  </w:style>
  <w:style w:customStyle="1" w:styleId="PieddepageCar" w:type="character">
    <w:name w:val="Pied de page Car"/>
    <w:basedOn w:val="Policepardfaut"/>
    <w:link w:val="Pieddepage"/>
    <w:uiPriority w:val="99"/>
    <w:rsid w:val="004F6B57"/>
  </w:style>
  <w:style w:styleId="Textedebulles" w:type="paragraph">
    <w:name w:val="Balloon Text"/>
    <w:basedOn w:val="Normal"/>
    <w:link w:val="TextedebullesCar"/>
    <w:uiPriority w:val="99"/>
    <w:semiHidden/>
    <w:unhideWhenUsed/>
    <w:rsid w:val="00DD7E9A"/>
    <w:rPr>
      <w:rFonts w:ascii="Segoe UI" w:cs="Segoe UI" w:hAnsi="Segoe UI"/>
      <w:sz w:val="18"/>
      <w:szCs w:val="18"/>
    </w:rPr>
  </w:style>
  <w:style w:customStyle="1" w:styleId="TextedebullesCar" w:type="character">
    <w:name w:val="Texte de bulles Car"/>
    <w:basedOn w:val="Policepardfaut"/>
    <w:link w:val="Textedebulles"/>
    <w:uiPriority w:val="99"/>
    <w:semiHidden/>
    <w:rsid w:val="00DD7E9A"/>
    <w:rPr>
      <w:rFonts w:ascii="Segoe UI" w:cs="Segoe UI" w:hAnsi="Segoe UI"/>
      <w:sz w:val="18"/>
      <w:szCs w:val="18"/>
    </w:rPr>
  </w:style>
  <w:style w:styleId="Rvision" w:type="paragraph">
    <w:name w:val="Revision"/>
    <w:hidden/>
    <w:uiPriority w:val="99"/>
    <w:semiHidden/>
    <w:rsid w:val="00311966"/>
  </w:style>
  <w:style w:customStyle="1" w:styleId="FirstParagraph" w:type="paragraph">
    <w:name w:val="First Paragraph"/>
    <w:basedOn w:val="Corpsdetexte"/>
    <w:next w:val="Corpsdetexte"/>
    <w:qFormat/>
    <w:rsid w:val="006B3587"/>
    <w:pPr>
      <w:spacing w:after="180" w:before="180"/>
    </w:pPr>
    <w:rPr>
      <w:rFonts w:asciiTheme="minorHAnsi" w:cstheme="minorBidi" w:eastAsiaTheme="minorHAnsi" w:hAnsiTheme="minorHAnsi"/>
      <w:lang w:eastAsia="en-US"/>
    </w:rPr>
  </w:style>
  <w:style w:styleId="Corpsdetexte" w:type="paragraph">
    <w:name w:val="Body Text"/>
    <w:basedOn w:val="Normal"/>
    <w:link w:val="CorpsdetexteCar"/>
    <w:uiPriority w:val="99"/>
    <w:semiHidden/>
    <w:unhideWhenUsed/>
    <w:rsid w:val="006B3587"/>
    <w:pPr>
      <w:spacing w:after="120"/>
    </w:pPr>
  </w:style>
  <w:style w:customStyle="1" w:styleId="CorpsdetexteCar" w:type="character">
    <w:name w:val="Corps de texte Car"/>
    <w:basedOn w:val="Policepardfaut"/>
    <w:link w:val="Corpsdetexte"/>
    <w:uiPriority w:val="99"/>
    <w:semiHidden/>
    <w:rsid w:val="006B3587"/>
  </w:style>
  <w:style w:styleId="Bibliographie" w:type="paragraph">
    <w:name w:val="Bibliography"/>
    <w:basedOn w:val="Normal"/>
    <w:next w:val="Normal"/>
    <w:uiPriority w:val="37"/>
    <w:unhideWhenUsed/>
    <w:rsid w:val="00184D03"/>
    <w:pPr>
      <w:tabs>
        <w:tab w:pos="380" w:val="left"/>
      </w:tabs>
      <w:spacing w:after="240"/>
      <w:ind w:hanging="384" w:left="384"/>
    </w:pPr>
  </w:style>
  <w:style w:customStyle="1" w:styleId="p1" w:type="paragraph">
    <w:name w:val="p1"/>
    <w:basedOn w:val="Normal"/>
    <w:rsid w:val="00D11F4D"/>
    <w:pPr>
      <w:spacing w:after="100" w:afterAutospacing="1" w:before="100" w:beforeAutospacing="1"/>
    </w:pPr>
    <w:rPr>
      <w:lang w:eastAsia="en-GB"/>
    </w:rPr>
  </w:style>
  <w:style w:styleId="Paragraphedeliste" w:type="paragraph">
    <w:name w:val="List Paragraph"/>
    <w:basedOn w:val="Normal"/>
    <w:uiPriority w:val="34"/>
    <w:qFormat/>
    <w:rsid w:val="008D33D6"/>
    <w:pPr>
      <w:ind w:left="720"/>
      <w:contextualSpacing/>
    </w:pPr>
  </w:style>
  <w:style w:customStyle="1" w:styleId="ArticlesETC" w:type="paragraph">
    <w:name w:val="Articles ETC"/>
    <w:basedOn w:val="Normal"/>
    <w:autoRedefine/>
    <w:qFormat/>
    <w:rsid w:val="00C60568"/>
    <w:pPr>
      <w:pBdr>
        <w:top w:val="nil"/>
        <w:left w:val="nil"/>
        <w:bottom w:val="nil"/>
        <w:right w:val="nil"/>
        <w:between w:val="nil"/>
      </w:pBdr>
    </w:pPr>
    <w:rPr>
      <w:color w:val="000000"/>
      <w:lang w:val="fr"/>
    </w:rPr>
  </w:style>
  <w:style w:styleId="Mentionnonrsolue" w:type="character">
    <w:name w:val="Unresolved Mention"/>
    <w:basedOn w:val="Policepardfaut"/>
    <w:uiPriority w:val="99"/>
    <w:semiHidden/>
    <w:unhideWhenUsed/>
    <w:rsid w:val="001120F9"/>
    <w:rPr>
      <w:color w:val="605E5C"/>
      <w:shd w:color="auto" w:fill="E1DFDD" w:val="clear"/>
    </w:rPr>
  </w:style>
  <w:style w:customStyle="1" w:styleId="s1" w:type="character">
    <w:name w:val="s1"/>
    <w:basedOn w:val="Policepardfaut"/>
    <w:rsid w:val="0028401D"/>
  </w:style>
  <w:style w:customStyle="1" w:styleId="apple-converted-space" w:type="character">
    <w:name w:val="apple-converted-space"/>
    <w:basedOn w:val="Policepardfaut"/>
    <w:rsid w:val="0028401D"/>
  </w:style>
  <w:style w:customStyle="1" w:styleId="p2" w:type="paragraph">
    <w:name w:val="p2"/>
    <w:basedOn w:val="Normal"/>
    <w:rsid w:val="00594BD8"/>
    <w:pPr>
      <w:spacing w:after="100" w:afterAutospacing="1" w:before="100" w:beforeAutospacing="1"/>
    </w:pPr>
    <w:rPr>
      <w:lang w:eastAsia="en-GB"/>
    </w:rPr>
  </w:style>
  <w:style w:styleId="En-ttedetabledesmatires" w:type="paragraph">
    <w:name w:val="TOC Heading"/>
    <w:basedOn w:val="Titre1"/>
    <w:next w:val="Normal"/>
    <w:uiPriority w:val="39"/>
    <w:unhideWhenUsed/>
    <w:qFormat/>
    <w:rsid w:val="00495119"/>
    <w:pPr>
      <w:spacing w:after="0"/>
      <w:outlineLvl w:val="9"/>
    </w:pPr>
    <w:rPr>
      <w:rFonts w:asciiTheme="majorHAnsi" w:cstheme="majorBidi" w:eastAsiaTheme="majorEastAsia" w:hAnsiTheme="majorHAnsi"/>
      <w:bCs w:val="0"/>
      <w:color w:themeColor="accent1" w:themeShade="BF" w:val="2F5496"/>
      <w:lang w:eastAsia="en-US"/>
    </w:rPr>
  </w:style>
  <w:style w:styleId="TM1" w:type="paragraph">
    <w:name w:val="toc 1"/>
    <w:basedOn w:val="Normal"/>
    <w:next w:val="Normal"/>
    <w:autoRedefine/>
    <w:uiPriority w:val="39"/>
    <w:unhideWhenUsed/>
    <w:rsid w:val="00F200C2"/>
    <w:pPr>
      <w:tabs>
        <w:tab w:leader="dot" w:pos="8913" w:val="right"/>
      </w:tabs>
      <w:spacing w:before="120"/>
    </w:pPr>
    <w:rPr>
      <w:rFonts w:asciiTheme="minorHAnsi" w:cstheme="minorHAnsi" w:hAnsiTheme="minorHAnsi"/>
      <w:b/>
      <w:bCs w:val="0"/>
      <w:i/>
      <w:iCs w:val="0"/>
    </w:rPr>
  </w:style>
  <w:style w:styleId="TM2" w:type="paragraph">
    <w:name w:val="toc 2"/>
    <w:basedOn w:val="Normal"/>
    <w:next w:val="Normal"/>
    <w:autoRedefine/>
    <w:uiPriority w:val="39"/>
    <w:unhideWhenUsed/>
    <w:rsid w:val="00495119"/>
    <w:pPr>
      <w:spacing w:before="120"/>
      <w:ind w:left="240"/>
    </w:pPr>
    <w:rPr>
      <w:rFonts w:asciiTheme="minorHAnsi" w:cstheme="minorHAnsi" w:hAnsiTheme="minorHAnsi"/>
      <w:b/>
      <w:bCs w:val="0"/>
      <w:sz w:val="22"/>
      <w:szCs w:val="22"/>
    </w:rPr>
  </w:style>
  <w:style w:styleId="TM3" w:type="paragraph">
    <w:name w:val="toc 3"/>
    <w:basedOn w:val="Normal"/>
    <w:next w:val="Normal"/>
    <w:autoRedefine/>
    <w:uiPriority w:val="39"/>
    <w:unhideWhenUsed/>
    <w:rsid w:val="00495119"/>
    <w:pPr>
      <w:ind w:left="480"/>
    </w:pPr>
    <w:rPr>
      <w:rFonts w:asciiTheme="minorHAnsi" w:cstheme="minorHAnsi" w:hAnsiTheme="minorHAnsi"/>
      <w:sz w:val="20"/>
      <w:szCs w:val="20"/>
    </w:rPr>
  </w:style>
  <w:style w:styleId="TM4" w:type="paragraph">
    <w:name w:val="toc 4"/>
    <w:basedOn w:val="Normal"/>
    <w:next w:val="Normal"/>
    <w:autoRedefine/>
    <w:uiPriority w:val="39"/>
    <w:semiHidden/>
    <w:unhideWhenUsed/>
    <w:rsid w:val="00495119"/>
    <w:pPr>
      <w:ind w:left="720"/>
    </w:pPr>
    <w:rPr>
      <w:rFonts w:asciiTheme="minorHAnsi" w:cstheme="minorHAnsi" w:hAnsiTheme="minorHAnsi"/>
      <w:sz w:val="20"/>
      <w:szCs w:val="20"/>
    </w:rPr>
  </w:style>
  <w:style w:styleId="TM5" w:type="paragraph">
    <w:name w:val="toc 5"/>
    <w:basedOn w:val="Normal"/>
    <w:next w:val="Normal"/>
    <w:autoRedefine/>
    <w:uiPriority w:val="39"/>
    <w:semiHidden/>
    <w:unhideWhenUsed/>
    <w:rsid w:val="00495119"/>
    <w:pPr>
      <w:ind w:left="960"/>
    </w:pPr>
    <w:rPr>
      <w:rFonts w:asciiTheme="minorHAnsi" w:cstheme="minorHAnsi" w:hAnsiTheme="minorHAnsi"/>
      <w:sz w:val="20"/>
      <w:szCs w:val="20"/>
    </w:rPr>
  </w:style>
  <w:style w:styleId="TM6" w:type="paragraph">
    <w:name w:val="toc 6"/>
    <w:basedOn w:val="Normal"/>
    <w:next w:val="Normal"/>
    <w:autoRedefine/>
    <w:uiPriority w:val="39"/>
    <w:semiHidden/>
    <w:unhideWhenUsed/>
    <w:rsid w:val="00495119"/>
    <w:pPr>
      <w:ind w:left="1200"/>
    </w:pPr>
    <w:rPr>
      <w:rFonts w:asciiTheme="minorHAnsi" w:cstheme="minorHAnsi" w:hAnsiTheme="minorHAnsi"/>
      <w:sz w:val="20"/>
      <w:szCs w:val="20"/>
    </w:rPr>
  </w:style>
  <w:style w:styleId="TM7" w:type="paragraph">
    <w:name w:val="toc 7"/>
    <w:basedOn w:val="Normal"/>
    <w:next w:val="Normal"/>
    <w:autoRedefine/>
    <w:uiPriority w:val="39"/>
    <w:semiHidden/>
    <w:unhideWhenUsed/>
    <w:rsid w:val="00495119"/>
    <w:pPr>
      <w:ind w:left="1440"/>
    </w:pPr>
    <w:rPr>
      <w:rFonts w:asciiTheme="minorHAnsi" w:cstheme="minorHAnsi" w:hAnsiTheme="minorHAnsi"/>
      <w:sz w:val="20"/>
      <w:szCs w:val="20"/>
    </w:rPr>
  </w:style>
  <w:style w:styleId="TM8" w:type="paragraph">
    <w:name w:val="toc 8"/>
    <w:basedOn w:val="Normal"/>
    <w:next w:val="Normal"/>
    <w:autoRedefine/>
    <w:uiPriority w:val="39"/>
    <w:semiHidden/>
    <w:unhideWhenUsed/>
    <w:rsid w:val="00495119"/>
    <w:pPr>
      <w:ind w:left="1680"/>
    </w:pPr>
    <w:rPr>
      <w:rFonts w:asciiTheme="minorHAnsi" w:cstheme="minorHAnsi" w:hAnsiTheme="minorHAnsi"/>
      <w:sz w:val="20"/>
      <w:szCs w:val="20"/>
    </w:rPr>
  </w:style>
  <w:style w:styleId="TM9" w:type="paragraph">
    <w:name w:val="toc 9"/>
    <w:basedOn w:val="Normal"/>
    <w:next w:val="Normal"/>
    <w:autoRedefine/>
    <w:uiPriority w:val="39"/>
    <w:semiHidden/>
    <w:unhideWhenUsed/>
    <w:rsid w:val="00495119"/>
    <w:pPr>
      <w:ind w:left="1920"/>
    </w:pPr>
    <w:rPr>
      <w:rFonts w:asciiTheme="minorHAnsi" w:cstheme="minorHAnsi" w:hAnsiTheme="minorHAnsi"/>
      <w:sz w:val="20"/>
      <w:szCs w:val="20"/>
    </w:rPr>
  </w:style>
  <w:style w:customStyle="1" w:styleId="Titre1Car" w:type="character">
    <w:name w:val="Titre 1 Car"/>
    <w:basedOn w:val="Policepardfaut"/>
    <w:link w:val="Titre1"/>
    <w:uiPriority w:val="9"/>
    <w:rsid w:val="006918CA"/>
    <w:rPr>
      <w:b/>
      <w:bCs/>
      <w:iCs/>
      <w:sz w:val="28"/>
      <w:szCs w:val="28"/>
      <w:lang w:val="fr"/>
    </w:rPr>
  </w:style>
  <w:style w:styleId="Sansinterligne" w:type="paragraph">
    <w:name w:val="No Spacing"/>
    <w:uiPriority w:val="1"/>
    <w:qFormat/>
    <w:rsid w:val="00B63159"/>
  </w:style>
  <w:style w:customStyle="1" w:styleId="Titre2Car" w:type="character">
    <w:name w:val="Titre 2 Car"/>
    <w:basedOn w:val="Policepardfaut"/>
    <w:link w:val="Titre2"/>
    <w:uiPriority w:val="9"/>
    <w:rsid w:val="006918CA"/>
    <w:rPr>
      <w:b/>
      <w:bCs/>
      <w:i/>
      <w:sz w:val="28"/>
      <w:szCs w:val="28"/>
      <w:lang w:val="fr"/>
    </w:rPr>
  </w:style>
  <w:style w:styleId="Numrodepage" w:type="character">
    <w:name w:val="page number"/>
    <w:basedOn w:val="Policepardfaut"/>
    <w:uiPriority w:val="99"/>
    <w:semiHidden/>
    <w:unhideWhenUsed/>
    <w:rsid w:val="00854D32"/>
  </w:style>
  <w:style w:customStyle="1" w:styleId="Titre4Car" w:type="character">
    <w:name w:val="Titre 4 Car"/>
    <w:basedOn w:val="Policepardfaut"/>
    <w:link w:val="Titre4"/>
    <w:uiPriority w:val="9"/>
    <w:rsid w:val="008E3BF7"/>
    <w:rPr>
      <w:b/>
      <w:bCs/>
      <w:i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38359">
      <w:bodyDiv w:val="1"/>
      <w:marLeft w:val="0"/>
      <w:marRight w:val="0"/>
      <w:marTop w:val="0"/>
      <w:marBottom w:val="0"/>
      <w:divBdr>
        <w:top w:val="none" w:sz="0" w:space="0" w:color="auto"/>
        <w:left w:val="none" w:sz="0" w:space="0" w:color="auto"/>
        <w:bottom w:val="none" w:sz="0" w:space="0" w:color="auto"/>
        <w:right w:val="none" w:sz="0" w:space="0" w:color="auto"/>
      </w:divBdr>
    </w:div>
    <w:div w:id="65615619">
      <w:bodyDiv w:val="1"/>
      <w:marLeft w:val="0"/>
      <w:marRight w:val="0"/>
      <w:marTop w:val="0"/>
      <w:marBottom w:val="0"/>
      <w:divBdr>
        <w:top w:val="none" w:sz="0" w:space="0" w:color="auto"/>
        <w:left w:val="none" w:sz="0" w:space="0" w:color="auto"/>
        <w:bottom w:val="none" w:sz="0" w:space="0" w:color="auto"/>
        <w:right w:val="none" w:sz="0" w:space="0" w:color="auto"/>
      </w:divBdr>
    </w:div>
    <w:div w:id="107359223">
      <w:bodyDiv w:val="1"/>
      <w:marLeft w:val="0"/>
      <w:marRight w:val="0"/>
      <w:marTop w:val="0"/>
      <w:marBottom w:val="0"/>
      <w:divBdr>
        <w:top w:val="none" w:sz="0" w:space="0" w:color="auto"/>
        <w:left w:val="none" w:sz="0" w:space="0" w:color="auto"/>
        <w:bottom w:val="none" w:sz="0" w:space="0" w:color="auto"/>
        <w:right w:val="none" w:sz="0" w:space="0" w:color="auto"/>
      </w:divBdr>
    </w:div>
    <w:div w:id="162355025">
      <w:bodyDiv w:val="1"/>
      <w:marLeft w:val="0"/>
      <w:marRight w:val="0"/>
      <w:marTop w:val="0"/>
      <w:marBottom w:val="0"/>
      <w:divBdr>
        <w:top w:val="none" w:sz="0" w:space="0" w:color="auto"/>
        <w:left w:val="none" w:sz="0" w:space="0" w:color="auto"/>
        <w:bottom w:val="none" w:sz="0" w:space="0" w:color="auto"/>
        <w:right w:val="none" w:sz="0" w:space="0" w:color="auto"/>
      </w:divBdr>
    </w:div>
    <w:div w:id="162480016">
      <w:bodyDiv w:val="1"/>
      <w:marLeft w:val="0"/>
      <w:marRight w:val="0"/>
      <w:marTop w:val="0"/>
      <w:marBottom w:val="0"/>
      <w:divBdr>
        <w:top w:val="none" w:sz="0" w:space="0" w:color="auto"/>
        <w:left w:val="none" w:sz="0" w:space="0" w:color="auto"/>
        <w:bottom w:val="none" w:sz="0" w:space="0" w:color="auto"/>
        <w:right w:val="none" w:sz="0" w:space="0" w:color="auto"/>
      </w:divBdr>
    </w:div>
    <w:div w:id="177738076">
      <w:bodyDiv w:val="1"/>
      <w:marLeft w:val="0"/>
      <w:marRight w:val="0"/>
      <w:marTop w:val="0"/>
      <w:marBottom w:val="0"/>
      <w:divBdr>
        <w:top w:val="none" w:sz="0" w:space="0" w:color="auto"/>
        <w:left w:val="none" w:sz="0" w:space="0" w:color="auto"/>
        <w:bottom w:val="none" w:sz="0" w:space="0" w:color="auto"/>
        <w:right w:val="none" w:sz="0" w:space="0" w:color="auto"/>
      </w:divBdr>
    </w:div>
    <w:div w:id="185606132">
      <w:bodyDiv w:val="1"/>
      <w:marLeft w:val="0"/>
      <w:marRight w:val="0"/>
      <w:marTop w:val="0"/>
      <w:marBottom w:val="0"/>
      <w:divBdr>
        <w:top w:val="none" w:sz="0" w:space="0" w:color="auto"/>
        <w:left w:val="none" w:sz="0" w:space="0" w:color="auto"/>
        <w:bottom w:val="none" w:sz="0" w:space="0" w:color="auto"/>
        <w:right w:val="none" w:sz="0" w:space="0" w:color="auto"/>
      </w:divBdr>
      <w:divsChild>
        <w:div w:id="996761697">
          <w:marLeft w:val="0"/>
          <w:marRight w:val="0"/>
          <w:marTop w:val="0"/>
          <w:marBottom w:val="0"/>
          <w:divBdr>
            <w:top w:val="none" w:sz="0" w:space="0" w:color="auto"/>
            <w:left w:val="none" w:sz="0" w:space="0" w:color="auto"/>
            <w:bottom w:val="none" w:sz="0" w:space="0" w:color="auto"/>
            <w:right w:val="none" w:sz="0" w:space="0" w:color="auto"/>
          </w:divBdr>
          <w:divsChild>
            <w:div w:id="1106123816">
              <w:marLeft w:val="0"/>
              <w:marRight w:val="0"/>
              <w:marTop w:val="0"/>
              <w:marBottom w:val="0"/>
              <w:divBdr>
                <w:top w:val="none" w:sz="0" w:space="0" w:color="auto"/>
                <w:left w:val="none" w:sz="0" w:space="0" w:color="auto"/>
                <w:bottom w:val="none" w:sz="0" w:space="0" w:color="auto"/>
                <w:right w:val="none" w:sz="0" w:space="0" w:color="auto"/>
              </w:divBdr>
              <w:divsChild>
                <w:div w:id="747463669">
                  <w:marLeft w:val="0"/>
                  <w:marRight w:val="0"/>
                  <w:marTop w:val="0"/>
                  <w:marBottom w:val="0"/>
                  <w:divBdr>
                    <w:top w:val="none" w:sz="0" w:space="0" w:color="auto"/>
                    <w:left w:val="none" w:sz="0" w:space="0" w:color="auto"/>
                    <w:bottom w:val="none" w:sz="0" w:space="0" w:color="auto"/>
                    <w:right w:val="none" w:sz="0" w:space="0" w:color="auto"/>
                  </w:divBdr>
                  <w:divsChild>
                    <w:div w:id="1445417787">
                      <w:marLeft w:val="0"/>
                      <w:marRight w:val="0"/>
                      <w:marTop w:val="0"/>
                      <w:marBottom w:val="0"/>
                      <w:divBdr>
                        <w:top w:val="none" w:sz="0" w:space="0" w:color="auto"/>
                        <w:left w:val="none" w:sz="0" w:space="0" w:color="auto"/>
                        <w:bottom w:val="none" w:sz="0" w:space="0" w:color="auto"/>
                        <w:right w:val="none" w:sz="0" w:space="0" w:color="auto"/>
                      </w:divBdr>
                      <w:divsChild>
                        <w:div w:id="1721632624">
                          <w:marLeft w:val="0"/>
                          <w:marRight w:val="0"/>
                          <w:marTop w:val="0"/>
                          <w:marBottom w:val="0"/>
                          <w:divBdr>
                            <w:top w:val="none" w:sz="0" w:space="0" w:color="auto"/>
                            <w:left w:val="none" w:sz="0" w:space="0" w:color="auto"/>
                            <w:bottom w:val="none" w:sz="0" w:space="0" w:color="auto"/>
                            <w:right w:val="none" w:sz="0" w:space="0" w:color="auto"/>
                          </w:divBdr>
                          <w:divsChild>
                            <w:div w:id="97564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0433448">
      <w:bodyDiv w:val="1"/>
      <w:marLeft w:val="0"/>
      <w:marRight w:val="0"/>
      <w:marTop w:val="0"/>
      <w:marBottom w:val="0"/>
      <w:divBdr>
        <w:top w:val="none" w:sz="0" w:space="0" w:color="auto"/>
        <w:left w:val="none" w:sz="0" w:space="0" w:color="auto"/>
        <w:bottom w:val="none" w:sz="0" w:space="0" w:color="auto"/>
        <w:right w:val="none" w:sz="0" w:space="0" w:color="auto"/>
      </w:divBdr>
    </w:div>
    <w:div w:id="327055332">
      <w:bodyDiv w:val="1"/>
      <w:marLeft w:val="0"/>
      <w:marRight w:val="0"/>
      <w:marTop w:val="0"/>
      <w:marBottom w:val="0"/>
      <w:divBdr>
        <w:top w:val="none" w:sz="0" w:space="0" w:color="auto"/>
        <w:left w:val="none" w:sz="0" w:space="0" w:color="auto"/>
        <w:bottom w:val="none" w:sz="0" w:space="0" w:color="auto"/>
        <w:right w:val="none" w:sz="0" w:space="0" w:color="auto"/>
      </w:divBdr>
    </w:div>
    <w:div w:id="328169348">
      <w:bodyDiv w:val="1"/>
      <w:marLeft w:val="0"/>
      <w:marRight w:val="0"/>
      <w:marTop w:val="0"/>
      <w:marBottom w:val="0"/>
      <w:divBdr>
        <w:top w:val="none" w:sz="0" w:space="0" w:color="auto"/>
        <w:left w:val="none" w:sz="0" w:space="0" w:color="auto"/>
        <w:bottom w:val="none" w:sz="0" w:space="0" w:color="auto"/>
        <w:right w:val="none" w:sz="0" w:space="0" w:color="auto"/>
      </w:divBdr>
    </w:div>
    <w:div w:id="335886741">
      <w:bodyDiv w:val="1"/>
      <w:marLeft w:val="0"/>
      <w:marRight w:val="0"/>
      <w:marTop w:val="0"/>
      <w:marBottom w:val="0"/>
      <w:divBdr>
        <w:top w:val="none" w:sz="0" w:space="0" w:color="auto"/>
        <w:left w:val="none" w:sz="0" w:space="0" w:color="auto"/>
        <w:bottom w:val="none" w:sz="0" w:space="0" w:color="auto"/>
        <w:right w:val="none" w:sz="0" w:space="0" w:color="auto"/>
      </w:divBdr>
    </w:div>
    <w:div w:id="481384404">
      <w:bodyDiv w:val="1"/>
      <w:marLeft w:val="0"/>
      <w:marRight w:val="0"/>
      <w:marTop w:val="0"/>
      <w:marBottom w:val="0"/>
      <w:divBdr>
        <w:top w:val="none" w:sz="0" w:space="0" w:color="auto"/>
        <w:left w:val="none" w:sz="0" w:space="0" w:color="auto"/>
        <w:bottom w:val="none" w:sz="0" w:space="0" w:color="auto"/>
        <w:right w:val="none" w:sz="0" w:space="0" w:color="auto"/>
      </w:divBdr>
    </w:div>
    <w:div w:id="484319865">
      <w:bodyDiv w:val="1"/>
      <w:marLeft w:val="0"/>
      <w:marRight w:val="0"/>
      <w:marTop w:val="0"/>
      <w:marBottom w:val="0"/>
      <w:divBdr>
        <w:top w:val="none" w:sz="0" w:space="0" w:color="auto"/>
        <w:left w:val="none" w:sz="0" w:space="0" w:color="auto"/>
        <w:bottom w:val="none" w:sz="0" w:space="0" w:color="auto"/>
        <w:right w:val="none" w:sz="0" w:space="0" w:color="auto"/>
      </w:divBdr>
    </w:div>
    <w:div w:id="484973246">
      <w:bodyDiv w:val="1"/>
      <w:marLeft w:val="0"/>
      <w:marRight w:val="0"/>
      <w:marTop w:val="0"/>
      <w:marBottom w:val="0"/>
      <w:divBdr>
        <w:top w:val="none" w:sz="0" w:space="0" w:color="auto"/>
        <w:left w:val="none" w:sz="0" w:space="0" w:color="auto"/>
        <w:bottom w:val="none" w:sz="0" w:space="0" w:color="auto"/>
        <w:right w:val="none" w:sz="0" w:space="0" w:color="auto"/>
      </w:divBdr>
    </w:div>
    <w:div w:id="492337938">
      <w:bodyDiv w:val="1"/>
      <w:marLeft w:val="0"/>
      <w:marRight w:val="0"/>
      <w:marTop w:val="0"/>
      <w:marBottom w:val="0"/>
      <w:divBdr>
        <w:top w:val="none" w:sz="0" w:space="0" w:color="auto"/>
        <w:left w:val="none" w:sz="0" w:space="0" w:color="auto"/>
        <w:bottom w:val="none" w:sz="0" w:space="0" w:color="auto"/>
        <w:right w:val="none" w:sz="0" w:space="0" w:color="auto"/>
      </w:divBdr>
    </w:div>
    <w:div w:id="572590381">
      <w:bodyDiv w:val="1"/>
      <w:marLeft w:val="0"/>
      <w:marRight w:val="0"/>
      <w:marTop w:val="0"/>
      <w:marBottom w:val="0"/>
      <w:divBdr>
        <w:top w:val="none" w:sz="0" w:space="0" w:color="auto"/>
        <w:left w:val="none" w:sz="0" w:space="0" w:color="auto"/>
        <w:bottom w:val="none" w:sz="0" w:space="0" w:color="auto"/>
        <w:right w:val="none" w:sz="0" w:space="0" w:color="auto"/>
      </w:divBdr>
    </w:div>
    <w:div w:id="699815277">
      <w:bodyDiv w:val="1"/>
      <w:marLeft w:val="0"/>
      <w:marRight w:val="0"/>
      <w:marTop w:val="0"/>
      <w:marBottom w:val="0"/>
      <w:divBdr>
        <w:top w:val="none" w:sz="0" w:space="0" w:color="auto"/>
        <w:left w:val="none" w:sz="0" w:space="0" w:color="auto"/>
        <w:bottom w:val="none" w:sz="0" w:space="0" w:color="auto"/>
        <w:right w:val="none" w:sz="0" w:space="0" w:color="auto"/>
      </w:divBdr>
    </w:div>
    <w:div w:id="850950547">
      <w:bodyDiv w:val="1"/>
      <w:marLeft w:val="0"/>
      <w:marRight w:val="0"/>
      <w:marTop w:val="0"/>
      <w:marBottom w:val="0"/>
      <w:divBdr>
        <w:top w:val="none" w:sz="0" w:space="0" w:color="auto"/>
        <w:left w:val="none" w:sz="0" w:space="0" w:color="auto"/>
        <w:bottom w:val="none" w:sz="0" w:space="0" w:color="auto"/>
        <w:right w:val="none" w:sz="0" w:space="0" w:color="auto"/>
      </w:divBdr>
      <w:divsChild>
        <w:div w:id="1351687138">
          <w:marLeft w:val="0"/>
          <w:marRight w:val="0"/>
          <w:marTop w:val="0"/>
          <w:marBottom w:val="0"/>
          <w:divBdr>
            <w:top w:val="none" w:sz="0" w:space="0" w:color="auto"/>
            <w:left w:val="none" w:sz="0" w:space="0" w:color="auto"/>
            <w:bottom w:val="none" w:sz="0" w:space="0" w:color="auto"/>
            <w:right w:val="none" w:sz="0" w:space="0" w:color="auto"/>
          </w:divBdr>
          <w:divsChild>
            <w:div w:id="597562989">
              <w:marLeft w:val="0"/>
              <w:marRight w:val="0"/>
              <w:marTop w:val="0"/>
              <w:marBottom w:val="0"/>
              <w:divBdr>
                <w:top w:val="none" w:sz="0" w:space="0" w:color="auto"/>
                <w:left w:val="none" w:sz="0" w:space="0" w:color="auto"/>
                <w:bottom w:val="none" w:sz="0" w:space="0" w:color="auto"/>
                <w:right w:val="none" w:sz="0" w:space="0" w:color="auto"/>
              </w:divBdr>
              <w:divsChild>
                <w:div w:id="641495759">
                  <w:marLeft w:val="0"/>
                  <w:marRight w:val="0"/>
                  <w:marTop w:val="0"/>
                  <w:marBottom w:val="0"/>
                  <w:divBdr>
                    <w:top w:val="none" w:sz="0" w:space="0" w:color="auto"/>
                    <w:left w:val="none" w:sz="0" w:space="0" w:color="auto"/>
                    <w:bottom w:val="none" w:sz="0" w:space="0" w:color="auto"/>
                    <w:right w:val="none" w:sz="0" w:space="0" w:color="auto"/>
                  </w:divBdr>
                  <w:divsChild>
                    <w:div w:id="1886989489">
                      <w:marLeft w:val="0"/>
                      <w:marRight w:val="0"/>
                      <w:marTop w:val="0"/>
                      <w:marBottom w:val="0"/>
                      <w:divBdr>
                        <w:top w:val="none" w:sz="0" w:space="0" w:color="auto"/>
                        <w:left w:val="none" w:sz="0" w:space="0" w:color="auto"/>
                        <w:bottom w:val="none" w:sz="0" w:space="0" w:color="auto"/>
                        <w:right w:val="none" w:sz="0" w:space="0" w:color="auto"/>
                      </w:divBdr>
                      <w:divsChild>
                        <w:div w:id="2069262884">
                          <w:marLeft w:val="0"/>
                          <w:marRight w:val="0"/>
                          <w:marTop w:val="0"/>
                          <w:marBottom w:val="0"/>
                          <w:divBdr>
                            <w:top w:val="none" w:sz="0" w:space="0" w:color="auto"/>
                            <w:left w:val="none" w:sz="0" w:space="0" w:color="auto"/>
                            <w:bottom w:val="none" w:sz="0" w:space="0" w:color="auto"/>
                            <w:right w:val="none" w:sz="0" w:space="0" w:color="auto"/>
                          </w:divBdr>
                          <w:divsChild>
                            <w:div w:id="69443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4660552">
      <w:bodyDiv w:val="1"/>
      <w:marLeft w:val="0"/>
      <w:marRight w:val="0"/>
      <w:marTop w:val="0"/>
      <w:marBottom w:val="0"/>
      <w:divBdr>
        <w:top w:val="none" w:sz="0" w:space="0" w:color="auto"/>
        <w:left w:val="none" w:sz="0" w:space="0" w:color="auto"/>
        <w:bottom w:val="none" w:sz="0" w:space="0" w:color="auto"/>
        <w:right w:val="none" w:sz="0" w:space="0" w:color="auto"/>
      </w:divBdr>
    </w:div>
    <w:div w:id="897477043">
      <w:bodyDiv w:val="1"/>
      <w:marLeft w:val="0"/>
      <w:marRight w:val="0"/>
      <w:marTop w:val="0"/>
      <w:marBottom w:val="0"/>
      <w:divBdr>
        <w:top w:val="none" w:sz="0" w:space="0" w:color="auto"/>
        <w:left w:val="none" w:sz="0" w:space="0" w:color="auto"/>
        <w:bottom w:val="none" w:sz="0" w:space="0" w:color="auto"/>
        <w:right w:val="none" w:sz="0" w:space="0" w:color="auto"/>
      </w:divBdr>
    </w:div>
    <w:div w:id="914555915">
      <w:bodyDiv w:val="1"/>
      <w:marLeft w:val="0"/>
      <w:marRight w:val="0"/>
      <w:marTop w:val="0"/>
      <w:marBottom w:val="0"/>
      <w:divBdr>
        <w:top w:val="none" w:sz="0" w:space="0" w:color="auto"/>
        <w:left w:val="none" w:sz="0" w:space="0" w:color="auto"/>
        <w:bottom w:val="none" w:sz="0" w:space="0" w:color="auto"/>
        <w:right w:val="none" w:sz="0" w:space="0" w:color="auto"/>
      </w:divBdr>
    </w:div>
    <w:div w:id="934482126">
      <w:bodyDiv w:val="1"/>
      <w:marLeft w:val="0"/>
      <w:marRight w:val="0"/>
      <w:marTop w:val="0"/>
      <w:marBottom w:val="0"/>
      <w:divBdr>
        <w:top w:val="none" w:sz="0" w:space="0" w:color="auto"/>
        <w:left w:val="none" w:sz="0" w:space="0" w:color="auto"/>
        <w:bottom w:val="none" w:sz="0" w:space="0" w:color="auto"/>
        <w:right w:val="none" w:sz="0" w:space="0" w:color="auto"/>
      </w:divBdr>
    </w:div>
    <w:div w:id="989945113">
      <w:bodyDiv w:val="1"/>
      <w:marLeft w:val="0"/>
      <w:marRight w:val="0"/>
      <w:marTop w:val="0"/>
      <w:marBottom w:val="0"/>
      <w:divBdr>
        <w:top w:val="none" w:sz="0" w:space="0" w:color="auto"/>
        <w:left w:val="none" w:sz="0" w:space="0" w:color="auto"/>
        <w:bottom w:val="none" w:sz="0" w:space="0" w:color="auto"/>
        <w:right w:val="none" w:sz="0" w:space="0" w:color="auto"/>
      </w:divBdr>
    </w:div>
    <w:div w:id="1016539155">
      <w:bodyDiv w:val="1"/>
      <w:marLeft w:val="0"/>
      <w:marRight w:val="0"/>
      <w:marTop w:val="0"/>
      <w:marBottom w:val="0"/>
      <w:divBdr>
        <w:top w:val="none" w:sz="0" w:space="0" w:color="auto"/>
        <w:left w:val="none" w:sz="0" w:space="0" w:color="auto"/>
        <w:bottom w:val="none" w:sz="0" w:space="0" w:color="auto"/>
        <w:right w:val="none" w:sz="0" w:space="0" w:color="auto"/>
      </w:divBdr>
    </w:div>
    <w:div w:id="1072586421">
      <w:bodyDiv w:val="1"/>
      <w:marLeft w:val="0"/>
      <w:marRight w:val="0"/>
      <w:marTop w:val="0"/>
      <w:marBottom w:val="0"/>
      <w:divBdr>
        <w:top w:val="none" w:sz="0" w:space="0" w:color="auto"/>
        <w:left w:val="none" w:sz="0" w:space="0" w:color="auto"/>
        <w:bottom w:val="none" w:sz="0" w:space="0" w:color="auto"/>
        <w:right w:val="none" w:sz="0" w:space="0" w:color="auto"/>
      </w:divBdr>
    </w:div>
    <w:div w:id="1219898882">
      <w:bodyDiv w:val="1"/>
      <w:marLeft w:val="0"/>
      <w:marRight w:val="0"/>
      <w:marTop w:val="0"/>
      <w:marBottom w:val="0"/>
      <w:divBdr>
        <w:top w:val="none" w:sz="0" w:space="0" w:color="auto"/>
        <w:left w:val="none" w:sz="0" w:space="0" w:color="auto"/>
        <w:bottom w:val="none" w:sz="0" w:space="0" w:color="auto"/>
        <w:right w:val="none" w:sz="0" w:space="0" w:color="auto"/>
      </w:divBdr>
    </w:div>
    <w:div w:id="1313407840">
      <w:bodyDiv w:val="1"/>
      <w:marLeft w:val="0"/>
      <w:marRight w:val="0"/>
      <w:marTop w:val="0"/>
      <w:marBottom w:val="0"/>
      <w:divBdr>
        <w:top w:val="none" w:sz="0" w:space="0" w:color="auto"/>
        <w:left w:val="none" w:sz="0" w:space="0" w:color="auto"/>
        <w:bottom w:val="none" w:sz="0" w:space="0" w:color="auto"/>
        <w:right w:val="none" w:sz="0" w:space="0" w:color="auto"/>
      </w:divBdr>
    </w:div>
    <w:div w:id="1393382289">
      <w:bodyDiv w:val="1"/>
      <w:marLeft w:val="0"/>
      <w:marRight w:val="0"/>
      <w:marTop w:val="0"/>
      <w:marBottom w:val="0"/>
      <w:divBdr>
        <w:top w:val="none" w:sz="0" w:space="0" w:color="auto"/>
        <w:left w:val="none" w:sz="0" w:space="0" w:color="auto"/>
        <w:bottom w:val="none" w:sz="0" w:space="0" w:color="auto"/>
        <w:right w:val="none" w:sz="0" w:space="0" w:color="auto"/>
      </w:divBdr>
    </w:div>
    <w:div w:id="1504707275">
      <w:bodyDiv w:val="1"/>
      <w:marLeft w:val="0"/>
      <w:marRight w:val="0"/>
      <w:marTop w:val="0"/>
      <w:marBottom w:val="0"/>
      <w:divBdr>
        <w:top w:val="none" w:sz="0" w:space="0" w:color="auto"/>
        <w:left w:val="none" w:sz="0" w:space="0" w:color="auto"/>
        <w:bottom w:val="none" w:sz="0" w:space="0" w:color="auto"/>
        <w:right w:val="none" w:sz="0" w:space="0" w:color="auto"/>
      </w:divBdr>
    </w:div>
    <w:div w:id="1586720397">
      <w:bodyDiv w:val="1"/>
      <w:marLeft w:val="0"/>
      <w:marRight w:val="0"/>
      <w:marTop w:val="0"/>
      <w:marBottom w:val="0"/>
      <w:divBdr>
        <w:top w:val="none" w:sz="0" w:space="0" w:color="auto"/>
        <w:left w:val="none" w:sz="0" w:space="0" w:color="auto"/>
        <w:bottom w:val="none" w:sz="0" w:space="0" w:color="auto"/>
        <w:right w:val="none" w:sz="0" w:space="0" w:color="auto"/>
      </w:divBdr>
      <w:divsChild>
        <w:div w:id="2077311763">
          <w:marLeft w:val="0"/>
          <w:marRight w:val="0"/>
          <w:marTop w:val="0"/>
          <w:marBottom w:val="0"/>
          <w:divBdr>
            <w:top w:val="none" w:sz="0" w:space="0" w:color="auto"/>
            <w:left w:val="none" w:sz="0" w:space="0" w:color="auto"/>
            <w:bottom w:val="none" w:sz="0" w:space="0" w:color="auto"/>
            <w:right w:val="none" w:sz="0" w:space="0" w:color="auto"/>
          </w:divBdr>
          <w:divsChild>
            <w:div w:id="451216744">
              <w:marLeft w:val="0"/>
              <w:marRight w:val="0"/>
              <w:marTop w:val="0"/>
              <w:marBottom w:val="0"/>
              <w:divBdr>
                <w:top w:val="none" w:sz="0" w:space="0" w:color="auto"/>
                <w:left w:val="none" w:sz="0" w:space="0" w:color="auto"/>
                <w:bottom w:val="none" w:sz="0" w:space="0" w:color="auto"/>
                <w:right w:val="none" w:sz="0" w:space="0" w:color="auto"/>
              </w:divBdr>
              <w:divsChild>
                <w:div w:id="1369178686">
                  <w:marLeft w:val="0"/>
                  <w:marRight w:val="0"/>
                  <w:marTop w:val="0"/>
                  <w:marBottom w:val="0"/>
                  <w:divBdr>
                    <w:top w:val="none" w:sz="0" w:space="0" w:color="auto"/>
                    <w:left w:val="none" w:sz="0" w:space="0" w:color="auto"/>
                    <w:bottom w:val="none" w:sz="0" w:space="0" w:color="auto"/>
                    <w:right w:val="none" w:sz="0" w:space="0" w:color="auto"/>
                  </w:divBdr>
                  <w:divsChild>
                    <w:div w:id="988172102">
                      <w:marLeft w:val="0"/>
                      <w:marRight w:val="0"/>
                      <w:marTop w:val="0"/>
                      <w:marBottom w:val="0"/>
                      <w:divBdr>
                        <w:top w:val="none" w:sz="0" w:space="0" w:color="auto"/>
                        <w:left w:val="none" w:sz="0" w:space="0" w:color="auto"/>
                        <w:bottom w:val="none" w:sz="0" w:space="0" w:color="auto"/>
                        <w:right w:val="none" w:sz="0" w:space="0" w:color="auto"/>
                      </w:divBdr>
                      <w:divsChild>
                        <w:div w:id="254674332">
                          <w:marLeft w:val="0"/>
                          <w:marRight w:val="0"/>
                          <w:marTop w:val="0"/>
                          <w:marBottom w:val="0"/>
                          <w:divBdr>
                            <w:top w:val="none" w:sz="0" w:space="0" w:color="auto"/>
                            <w:left w:val="none" w:sz="0" w:space="0" w:color="auto"/>
                            <w:bottom w:val="none" w:sz="0" w:space="0" w:color="auto"/>
                            <w:right w:val="none" w:sz="0" w:space="0" w:color="auto"/>
                          </w:divBdr>
                          <w:divsChild>
                            <w:div w:id="113274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860106">
      <w:bodyDiv w:val="1"/>
      <w:marLeft w:val="0"/>
      <w:marRight w:val="0"/>
      <w:marTop w:val="0"/>
      <w:marBottom w:val="0"/>
      <w:divBdr>
        <w:top w:val="none" w:sz="0" w:space="0" w:color="auto"/>
        <w:left w:val="none" w:sz="0" w:space="0" w:color="auto"/>
        <w:bottom w:val="none" w:sz="0" w:space="0" w:color="auto"/>
        <w:right w:val="none" w:sz="0" w:space="0" w:color="auto"/>
      </w:divBdr>
    </w:div>
    <w:div w:id="1636334005">
      <w:bodyDiv w:val="1"/>
      <w:marLeft w:val="0"/>
      <w:marRight w:val="0"/>
      <w:marTop w:val="0"/>
      <w:marBottom w:val="0"/>
      <w:divBdr>
        <w:top w:val="none" w:sz="0" w:space="0" w:color="auto"/>
        <w:left w:val="none" w:sz="0" w:space="0" w:color="auto"/>
        <w:bottom w:val="none" w:sz="0" w:space="0" w:color="auto"/>
        <w:right w:val="none" w:sz="0" w:space="0" w:color="auto"/>
      </w:divBdr>
    </w:div>
    <w:div w:id="1677263657">
      <w:bodyDiv w:val="1"/>
      <w:marLeft w:val="0"/>
      <w:marRight w:val="0"/>
      <w:marTop w:val="0"/>
      <w:marBottom w:val="0"/>
      <w:divBdr>
        <w:top w:val="none" w:sz="0" w:space="0" w:color="auto"/>
        <w:left w:val="none" w:sz="0" w:space="0" w:color="auto"/>
        <w:bottom w:val="none" w:sz="0" w:space="0" w:color="auto"/>
        <w:right w:val="none" w:sz="0" w:space="0" w:color="auto"/>
      </w:divBdr>
    </w:div>
    <w:div w:id="1745839535">
      <w:bodyDiv w:val="1"/>
      <w:marLeft w:val="0"/>
      <w:marRight w:val="0"/>
      <w:marTop w:val="0"/>
      <w:marBottom w:val="0"/>
      <w:divBdr>
        <w:top w:val="none" w:sz="0" w:space="0" w:color="auto"/>
        <w:left w:val="none" w:sz="0" w:space="0" w:color="auto"/>
        <w:bottom w:val="none" w:sz="0" w:space="0" w:color="auto"/>
        <w:right w:val="none" w:sz="0" w:space="0" w:color="auto"/>
      </w:divBdr>
    </w:div>
    <w:div w:id="1762602850">
      <w:bodyDiv w:val="1"/>
      <w:marLeft w:val="0"/>
      <w:marRight w:val="0"/>
      <w:marTop w:val="0"/>
      <w:marBottom w:val="0"/>
      <w:divBdr>
        <w:top w:val="none" w:sz="0" w:space="0" w:color="auto"/>
        <w:left w:val="none" w:sz="0" w:space="0" w:color="auto"/>
        <w:bottom w:val="none" w:sz="0" w:space="0" w:color="auto"/>
        <w:right w:val="none" w:sz="0" w:space="0" w:color="auto"/>
      </w:divBdr>
    </w:div>
    <w:div w:id="1794055996">
      <w:bodyDiv w:val="1"/>
      <w:marLeft w:val="0"/>
      <w:marRight w:val="0"/>
      <w:marTop w:val="0"/>
      <w:marBottom w:val="0"/>
      <w:divBdr>
        <w:top w:val="none" w:sz="0" w:space="0" w:color="auto"/>
        <w:left w:val="none" w:sz="0" w:space="0" w:color="auto"/>
        <w:bottom w:val="none" w:sz="0" w:space="0" w:color="auto"/>
        <w:right w:val="none" w:sz="0" w:space="0" w:color="auto"/>
      </w:divBdr>
    </w:div>
    <w:div w:id="1806850469">
      <w:bodyDiv w:val="1"/>
      <w:marLeft w:val="0"/>
      <w:marRight w:val="0"/>
      <w:marTop w:val="0"/>
      <w:marBottom w:val="0"/>
      <w:divBdr>
        <w:top w:val="none" w:sz="0" w:space="0" w:color="auto"/>
        <w:left w:val="none" w:sz="0" w:space="0" w:color="auto"/>
        <w:bottom w:val="none" w:sz="0" w:space="0" w:color="auto"/>
        <w:right w:val="none" w:sz="0" w:space="0" w:color="auto"/>
      </w:divBdr>
    </w:div>
    <w:div w:id="1819376326">
      <w:bodyDiv w:val="1"/>
      <w:marLeft w:val="0"/>
      <w:marRight w:val="0"/>
      <w:marTop w:val="0"/>
      <w:marBottom w:val="0"/>
      <w:divBdr>
        <w:top w:val="none" w:sz="0" w:space="0" w:color="auto"/>
        <w:left w:val="none" w:sz="0" w:space="0" w:color="auto"/>
        <w:bottom w:val="none" w:sz="0" w:space="0" w:color="auto"/>
        <w:right w:val="none" w:sz="0" w:space="0" w:color="auto"/>
      </w:divBdr>
    </w:div>
    <w:div w:id="1945267296">
      <w:bodyDiv w:val="1"/>
      <w:marLeft w:val="0"/>
      <w:marRight w:val="0"/>
      <w:marTop w:val="0"/>
      <w:marBottom w:val="0"/>
      <w:divBdr>
        <w:top w:val="none" w:sz="0" w:space="0" w:color="auto"/>
        <w:left w:val="none" w:sz="0" w:space="0" w:color="auto"/>
        <w:bottom w:val="none" w:sz="0" w:space="0" w:color="auto"/>
        <w:right w:val="none" w:sz="0" w:space="0" w:color="auto"/>
      </w:divBdr>
    </w:div>
    <w:div w:id="1977221299">
      <w:bodyDiv w:val="1"/>
      <w:marLeft w:val="0"/>
      <w:marRight w:val="0"/>
      <w:marTop w:val="0"/>
      <w:marBottom w:val="0"/>
      <w:divBdr>
        <w:top w:val="none" w:sz="0" w:space="0" w:color="auto"/>
        <w:left w:val="none" w:sz="0" w:space="0" w:color="auto"/>
        <w:bottom w:val="none" w:sz="0" w:space="0" w:color="auto"/>
        <w:right w:val="none" w:sz="0" w:space="0" w:color="auto"/>
      </w:divBdr>
    </w:div>
    <w:div w:id="19788734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31</Pages>
  <Words>37901</Words>
  <Characters>208461</Characters>
  <Application>Microsoft Office Word</Application>
  <DocSecurity>0</DocSecurity>
  <Lines>1737</Lines>
  <Paragraphs>491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Évaluation multicentrique de la perfusion hépatique normothermique</dc:title>
  <dc:creator>Dr Thomas Husson</dc:creator>
  <dc:language>fr</dc:language>
  <cp:keywords/>
  <dcterms:created xsi:type="dcterms:W3CDTF">2026-10-03T08:54:50Z</dcterms:created>
  <dcterms:modified xsi:type="dcterms:W3CDTF">2026-10-03T08:54:50Z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2026-10-02</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refer-pdf">
    <vt:lpwstr>True</vt:lpwstr>
  </property>
  <property fmtid="{D5CDD505-2E9C-101B-9397-08002B2CF9AE}" pid="14" name="revealjs-plugins">
    <vt:lpwstr/>
  </property>
  <property fmtid="{D5CDD505-2E9C-101B-9397-08002B2CF9AE}" pid="15" name="subtitle">
    <vt:lpwstr>Analyse observationnelle des biomarqueurs et cinétiques de récupération fonctionnelle</vt:lpwstr>
  </property>
  <property fmtid="{D5CDD505-2E9C-101B-9397-08002B2CF9AE}" pid="16" name="toc-title">
    <vt:lpwstr>Table des matières</vt:lpwstr>
  </property>
</Properties>
</file>