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120"/>
        <w:jc w:val="both"/>
        <w:rPr>
          <w:rFonts w:ascii="Calibri" w:hAnsi="Calibri" w:cs="Calibri"/>
          <w:b/>
          <w:b/>
        </w:rPr>
      </w:pPr>
      <w:r>
        <w:rPr>
          <w:rFonts w:cs="Calibri" w:ascii="Calibri" w:hAnsi="Calibri"/>
          <w:b/>
        </w:rPr>
        <w:t>Predicting calcium indicator fluorescence from spike trains using biophysical computational models</w:t>
      </w:r>
    </w:p>
    <w:p>
      <w:pPr>
        <w:pStyle w:val="Normal"/>
        <w:spacing w:lineRule="auto" w:line="360" w:before="0" w:after="120"/>
        <w:jc w:val="both"/>
        <w:rPr>
          <w:rFonts w:ascii="Calibri" w:hAnsi="Calibri" w:cs="Calibri"/>
          <w:vertAlign w:val="superscript"/>
        </w:rPr>
      </w:pPr>
      <w:r>
        <w:rPr>
          <w:rFonts w:cs="Calibri" w:ascii="Calibri" w:hAnsi="Calibri"/>
        </w:rPr>
        <w:t xml:space="preserve"> </w:t>
      </w:r>
      <w:r>
        <w:rPr>
          <w:rFonts w:cs="Calibri" w:ascii="Calibri" w:hAnsi="Calibri"/>
        </w:rPr>
        <w:t>Thomas J. Delaney</w:t>
      </w:r>
      <w:r>
        <w:rPr>
          <w:rFonts w:cs="Calibri" w:ascii="Calibri" w:hAnsi="Calibri"/>
          <w:vertAlign w:val="superscript"/>
        </w:rPr>
        <w:t>1</w:t>
      </w:r>
      <w:r>
        <w:rPr>
          <w:rFonts w:cs="Calibri" w:ascii="Calibri" w:hAnsi="Calibri"/>
        </w:rPr>
        <w:t>, Michael C. Ashby</w:t>
      </w:r>
      <w:r>
        <w:rPr>
          <w:rFonts w:cs="Calibri" w:ascii="Calibri" w:hAnsi="Calibri"/>
          <w:vertAlign w:val="superscript"/>
        </w:rPr>
        <w:t>2</w:t>
      </w:r>
      <w:r>
        <w:rPr>
          <w:rFonts w:cs="Calibri" w:ascii="Calibri" w:hAnsi="Calibri"/>
        </w:rPr>
        <w:t>, Cian O’Donnell</w:t>
      </w:r>
      <w:r>
        <w:rPr>
          <w:rFonts w:cs="Calibri" w:ascii="Calibri" w:hAnsi="Calibri"/>
          <w:vertAlign w:val="superscript"/>
        </w:rPr>
        <w:t>1</w:t>
      </w:r>
    </w:p>
    <w:p>
      <w:pPr>
        <w:pStyle w:val="Normal"/>
        <w:spacing w:lineRule="auto" w:line="360" w:before="0" w:after="120"/>
        <w:jc w:val="both"/>
        <w:rPr>
          <w:rFonts w:ascii="Calibri" w:hAnsi="Calibri" w:cs="Calibri"/>
        </w:rPr>
      </w:pPr>
      <w:r>
        <w:rPr>
          <w:rFonts w:cs="Calibri" w:ascii="Calibri" w:hAnsi="Calibri"/>
          <w:vertAlign w:val="superscript"/>
        </w:rPr>
        <w:t>1</w:t>
      </w:r>
      <w:r>
        <w:rPr>
          <w:rFonts w:cs="Calibri" w:ascii="Calibri" w:hAnsi="Calibri"/>
        </w:rPr>
        <w:t xml:space="preserve">Department of Computer Science, </w:t>
      </w:r>
      <w:r>
        <w:rPr>
          <w:rFonts w:cs="Calibri" w:ascii="Calibri" w:hAnsi="Calibri"/>
          <w:vertAlign w:val="superscript"/>
        </w:rPr>
        <w:t>2</w:t>
      </w:r>
      <w:r>
        <w:rPr>
          <w:rFonts w:cs="Calibri" w:ascii="Calibri" w:hAnsi="Calibri"/>
        </w:rPr>
        <w:t>School of Physiology, Pharmacology and Neuroscience, University of Bristol, Bristol, BS8 1UB, UK</w:t>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b/>
          <w:b/>
        </w:rPr>
      </w:pPr>
      <w:r>
        <w:rPr>
          <w:rFonts w:cs="Calibri" w:ascii="Calibri" w:hAnsi="Calibri"/>
          <w:b/>
        </w:rPr>
        <w:t>Abstract</w:t>
      </w:r>
    </w:p>
    <w:p>
      <w:pPr>
        <w:pStyle w:val="Normal"/>
        <w:spacing w:lineRule="auto" w:line="360" w:before="0" w:after="120"/>
        <w:jc w:val="both"/>
        <w:rPr>
          <w:rFonts w:ascii="Calibri" w:hAnsi="Calibri" w:cs="Calibri"/>
        </w:rPr>
      </w:pPr>
      <w:r>
        <w:rPr>
          <w:rFonts w:cs="Calibri" w:ascii="Calibri" w:hAnsi="Calibri"/>
        </w:rPr>
        <w:t>Although fluorescent calcium indicators such as GCaMP are widely used to monitor neuronal activity, in many cases the relationship between the fluorescence signal and action potential firing is poorly understood. This lack of knowledge makes it difficult for experimenters to decide between different indicator variants for a given application. We addressed this problem by building a basic biophysical model of calcium dynamics in neuronal soma. We fit the model parameters to publicly available data where GCaMP6s fluorescence and whole-cell electrophysiological recordings were made simultaneously in the same cells. We systematically varied the model’s parameters to characterise the sensitivity of spike train inference algorithms to the calcium indicator’s main biophysical properties: binding rate, dissociation rate, and molecular concentration. This model should have two potential uses: experimental researchers may use it to help them select the optimal indicator for their desired experiment; and computational researchers may use it to generate simulated data to aid design of spike inference algorithms.</w:t>
      </w:r>
      <w:r>
        <w:br w:type="page"/>
      </w:r>
    </w:p>
    <w:p>
      <w:pPr>
        <w:pStyle w:val="Normal"/>
        <w:spacing w:lineRule="auto" w:line="360" w:before="0" w:after="120"/>
        <w:jc w:val="both"/>
        <w:rPr>
          <w:rFonts w:ascii="Calibri" w:hAnsi="Calibri" w:cs="Calibri"/>
          <w:b/>
          <w:b/>
        </w:rPr>
      </w:pPr>
      <w:r>
        <w:rPr>
          <w:rFonts w:cs="Calibri" w:ascii="Calibri" w:hAnsi="Calibri"/>
          <w:b/>
        </w:rPr>
        <w:t>Introduction</w:t>
      </w:r>
    </w:p>
    <w:p>
      <w:pPr>
        <w:pStyle w:val="Normal"/>
        <w:spacing w:lineRule="auto" w:line="360" w:before="0" w:after="120"/>
        <w:jc w:val="both"/>
        <w:rPr>
          <w:rFonts w:ascii="Calibri" w:hAnsi="Calibri" w:cs="Calibri"/>
        </w:rPr>
      </w:pPr>
      <w:r>
        <w:rPr>
          <w:rFonts w:cs="Calibri" w:ascii="Calibri" w:hAnsi="Calibri"/>
        </w:rPr>
        <w:t>Although fluorescent calcium indicators such as GCaMP are widely used to monitor neuronal activity, in many cases the relationship between the fluorescence signal and action potential firing is poorly understood. For example, the effects of the indicator characteristics on this fluorescence signal are unknown. For example, it is known that genetically encoded indicators accumulate within neurons over weeks and months. This makes comparison of activity levels at different time points difficult. As a result, the experimenter may not know whether  to trust the outputs of spike train inference methods in any given application.</w:t>
      </w:r>
    </w:p>
    <w:p>
      <w:pPr>
        <w:pStyle w:val="Normal"/>
        <w:spacing w:lineRule="auto" w:line="360" w:before="0" w:after="120"/>
        <w:jc w:val="both"/>
        <w:rPr>
          <w:rFonts w:ascii="Calibri" w:hAnsi="Calibri" w:cs="Calibri"/>
        </w:rPr>
      </w:pPr>
      <w:r>
        <w:rPr>
          <w:rFonts w:cs="Calibri" w:ascii="Calibri" w:hAnsi="Calibri"/>
        </w:rPr>
        <w:t>The aim of this project was to model the fluorescence traces produced by a fluorescent calcium indicator in a neuron soma, given parameters such as binding rate, dissociation rate, and molecular concentration from a specific spike train. Such a model would allow benchmarking of various spike inference algorithms, and enable understanding of how indicator characteristics affect the quality of spike train inference.</w:t>
      </w:r>
    </w:p>
    <w:p>
      <w:pPr>
        <w:pStyle w:val="Normal"/>
        <w:spacing w:lineRule="auto" w:line="360" w:before="0" w:after="120"/>
        <w:jc w:val="both"/>
        <w:rPr>
          <w:rFonts w:ascii="Calibri" w:hAnsi="Calibri" w:cs="Calibri"/>
        </w:rPr>
      </w:pPr>
      <w:r>
        <w:rPr>
          <w:rFonts w:cs="Calibri" w:ascii="Calibri" w:hAnsi="Calibri"/>
        </w:rPr>
        <w:t>The modelled cell contents consisted of free calcium, fluorescent indicator molecules, and mobile and immobile endogenous calcium buffers. The indicator molecules which were bound to a calcium molecule could be either excited, i.e. able to release a photon, or relaxed. In order to reproduce the noise inherent in the data collection, we modelled the release of photons from the excited indicator bound calcium as a stochastic process.</w:t>
      </w:r>
    </w:p>
    <w:p>
      <w:pPr>
        <w:pStyle w:val="Normal"/>
        <w:spacing w:lineRule="auto" w:line="360" w:before="0" w:after="120"/>
        <w:jc w:val="both"/>
        <w:rPr>
          <w:rFonts w:ascii="Calibri" w:hAnsi="Calibri" w:cs="Calibri"/>
        </w:rPr>
      </w:pPr>
      <w:r>
        <w:rPr>
          <w:rFonts w:cs="Calibri" w:ascii="Calibri" w:hAnsi="Calibri"/>
        </w:rPr>
        <w:t>The fluorescence traces produced by the simulation were calibrated to reproduce the signal-to-noise ratio observed in experimental data. Spike inference algorithms were used to infer spike trains from the experimental fluorescence traces and the modelled fluorescence traces. The parameters of the model were then varied in order to determine the effect on the system dynamics and the effects on spike inference.</w:t>
      </w:r>
      <w:r>
        <w:br w:type="page"/>
      </w:r>
    </w:p>
    <w:p>
      <w:pPr>
        <w:pStyle w:val="Normal"/>
        <w:spacing w:lineRule="auto" w:line="360" w:before="0" w:after="120"/>
        <w:jc w:val="both"/>
        <w:rPr>
          <w:rFonts w:ascii="Calibri" w:hAnsi="Calibri" w:cs="Calibri"/>
          <w:b/>
          <w:b/>
        </w:rPr>
      </w:pPr>
      <w:r>
        <w:rPr>
          <w:rFonts w:cs="Calibri" w:ascii="Calibri" w:hAnsi="Calibri"/>
          <w:b/>
        </w:rPr>
        <w:t>Results</w:t>
      </w:r>
    </w:p>
    <w:p>
      <w:pPr>
        <w:pStyle w:val="Normal"/>
        <w:spacing w:lineRule="auto" w:line="360" w:before="0" w:after="120"/>
        <w:jc w:val="both"/>
        <w:rPr>
          <w:rFonts w:ascii="Calibri" w:hAnsi="Calibri" w:cs="Calibri"/>
          <w:b/>
          <w:b/>
        </w:rPr>
      </w:pPr>
      <w:r>
        <w:rPr>
          <w:rFonts w:cs="Calibri" w:ascii="Calibri" w:hAnsi="Calibri"/>
          <w:b/>
        </w:rPr>
        <w:t>1. A biophysical computational model can generate accurate fluorescence traces from spike trains</w:t>
      </w:r>
    </w:p>
    <w:p>
      <w:pPr>
        <w:pStyle w:val="Normal"/>
        <w:spacing w:lineRule="auto" w:line="360" w:before="0" w:after="120"/>
        <w:jc w:val="both"/>
        <w:rPr>
          <w:rFonts w:ascii="Calibri" w:hAnsi="Calibri" w:cs="Calibri"/>
        </w:rPr>
      </w:pPr>
      <w:r>
        <w:rPr>
          <w:rFonts w:cs="Calibri" w:ascii="Calibri" w:hAnsi="Calibri"/>
        </w:rPr>
        <w:t xml:space="preserve">To study the relationship between action potential firing and calcium fluorescence, we built a computational model of calcium dynamics in a neuronal soma. The model had one spatial compartment, and consisted of four dynamic variables: the concentration of free calcium, two types of endogenous buffer, and the calcium-sensitive fluorescent indicator. Each of the buffers and the indicator could independently bind and unbind with calcium. These reactions were modelled as </w:t>
      </w:r>
    </w:p>
    <w:p>
      <w:pPr>
        <w:pStyle w:val="Normal"/>
        <w:spacing w:lineRule="auto" w:line="360" w:before="0" w:after="120"/>
        <w:jc w:val="both"/>
        <w:rPr>
          <w:rFonts w:ascii="Calibri" w:hAnsi="Calibri" w:cs="Calibri"/>
        </w:rPr>
      </w:pPr>
      <w:r>
        <w:rPr/>
      </w:r>
      <m:oMath xmlns:m="http://schemas.openxmlformats.org/officeDocument/2006/math">
        <m:eqArr>
          <m:e>
            <m:r>
              <w:rPr>
                <w:rFonts w:ascii="Cambria Math" w:hAnsi="Cambria Math"/>
              </w:rPr>
              <m:t xml:space="preserve">2</m:t>
            </m:r>
            <m:r>
              <w:rPr>
                <w:rFonts w:ascii="Cambria Math" w:hAnsi="Cambria Math"/>
              </w:rPr>
              <m:t xml:space="preserve">+</m:t>
            </m:r>
            <m:sSup>
              <m:e>
                <m:r>
                  <w:rPr>
                    <w:rFonts w:ascii="Cambria Math" w:hAnsi="Cambria Math"/>
                  </w:rPr>
                  <m:t xml:space="preserve">Ca</m:t>
                </m:r>
              </m:e>
              <m:sup/>
            </m:sSup>
          </m:e>
          <m:e>
            <m:r>
              <w:rPr>
                <w:rFonts w:ascii="Cambria Math" w:hAnsi="Cambria Math"/>
              </w:rPr>
              <m:t xml:space="preserve">2</m:t>
            </m:r>
            <m:r>
              <w:rPr>
                <w:rFonts w:ascii="Cambria Math" w:hAnsi="Cambria Math"/>
              </w:rPr>
              <m:t xml:space="preserve">+</m:t>
            </m:r>
            <m:r>
              <w:rPr>
                <w:rFonts w:ascii="Cambria Math" w:hAnsi="Cambria Math"/>
              </w:rPr>
              <m:t xml:space="preserve">X</m:t>
            </m:r>
            <m:sSup>
              <m:e>
                <m:r>
                  <w:rPr>
                    <w:rFonts w:ascii="Cambria Math" w:hAnsi="Cambria Math"/>
                  </w:rPr>
                  <m:t xml:space="preserve">Ca</m:t>
                </m:r>
              </m:e>
              <m:sup/>
            </m:sSup>
          </m:e>
          <m:e>
            <m:d>
              <m:dPr>
                <m:begChr m:val="["/>
                <m:endChr m:val="]"/>
              </m:dPr>
              <m:e>
                <m:r>
                  <w:rPr>
                    <w:rFonts w:ascii="Cambria Math" w:hAnsi="Cambria Math"/>
                  </w:rPr>
                  <m:t xml:space="preserve">X</m:t>
                </m:r>
              </m:e>
            </m:d>
          </m:e>
        </m:eqArr>
      </m:oMath>
      <w:r>
        <w:rPr>
          <w:rFonts w:cs="Calibri" w:ascii="Calibri" w:hAnsi="Calibri"/>
        </w:rPr>
        <w:t xml:space="preserve">  </w:t>
      </w:r>
    </w:p>
    <w:p>
      <w:pPr>
        <w:pStyle w:val="Normal"/>
        <w:spacing w:lineRule="auto" w:line="360" w:before="0" w:after="120"/>
        <w:jc w:val="both"/>
        <w:rPr/>
      </w:pPr>
      <w:r>
        <w:rPr>
          <w:rFonts w:cs="Calibri" w:ascii="Calibri" w:hAnsi="Calibri"/>
        </w:rPr>
        <w:t xml:space="preserve">where </w:t>
      </w:r>
      <w:r>
        <w:rPr>
          <w:rFonts w:cs="Calibri" w:ascii="Calibri" w:hAnsi="Calibri"/>
          <w:i/>
          <w:iCs/>
        </w:rPr>
        <w:t>X</w:t>
      </w:r>
      <w:r>
        <w:rPr>
          <w:rFonts w:cs="Calibri" w:ascii="Calibri" w:hAnsi="Calibri"/>
        </w:rPr>
        <w:t xml:space="preserve"> is the buffer concentration and </w:t>
      </w:r>
      <w:r>
        <w:rPr>
          <w:rFonts w:cs="Calibri" w:ascii="Calibri" w:hAnsi="Calibri"/>
          <w:i/>
          <w:iCs/>
        </w:rPr>
        <w:t>Ca</w:t>
      </w:r>
      <w:r>
        <w:rPr>
          <w:rFonts w:cs="Calibri" w:ascii="Calibri" w:hAnsi="Calibri"/>
          <w:i/>
          <w:iCs/>
          <w:vertAlign w:val="superscript"/>
        </w:rPr>
        <w:t>2+</w:t>
      </w:r>
      <w:r>
        <w:rPr>
          <w:rFonts w:cs="Calibri" w:ascii="Calibri" w:hAnsi="Calibri"/>
        </w:rPr>
        <w:t xml:space="preserve"> is the calcium concentration. Each species could therefore exist in two states: either bound or unbound with calcium. To model the imaging process, we also added a third, excited state to the indicator. When in the calcium-bound state, the indicator could be converted to an excited state, corresponding to the absorption of a photon. The rate of this excitation process could be interpreted as the intensity of the light illuminating the sample. Once excited, the species decayed back to the unexcited state at a fixed rate, corresponding to the spontaneous emission of photons. The total emitted fluorescence signal was interpreted as proportional to this de-excitation flux. To represent experimental noise in the photon capture process, we drew a random number of captured photons at each time step from a binomial distribution, </w:t>
      </w:r>
      <w:r>
        <w:rPr>
          <w:rFonts w:cs="Calibri" w:ascii="Calibri" w:hAnsi="Calibri"/>
        </w:rPr>
        <w:t>parametrised</w:t>
      </w:r>
      <w:r>
        <w:rPr>
          <w:rFonts w:cs="Calibri" w:ascii="Calibri" w:hAnsi="Calibri"/>
        </w:rPr>
        <w:t xml:space="preserve"> by a number </w:t>
      </w:r>
      <w:r>
        <w:rPr>
          <w:rFonts w:cs="Calibri" w:ascii="Calibri" w:hAnsi="Calibri"/>
          <w:i/>
          <w:iCs/>
        </w:rPr>
        <w:t>p</w:t>
      </w:r>
      <w:r>
        <w:rPr>
          <w:rFonts w:cs="Calibri" w:ascii="Calibri" w:hAnsi="Calibri"/>
        </w:rPr>
        <w:t xml:space="preserve"> that corresponds to the mean fraction of released photons that are captured.</w:t>
      </w:r>
    </w:p>
    <w:p>
      <w:pPr>
        <w:pStyle w:val="Normal"/>
        <w:spacing w:lineRule="auto" w:line="360" w:before="0" w:after="120"/>
        <w:jc w:val="both"/>
        <w:rPr/>
      </w:pPr>
      <w:r>
        <w:rPr>
          <w:rFonts w:cs="Calibri" w:ascii="Calibri" w:hAnsi="Calibri"/>
        </w:rPr>
        <w:t xml:space="preserve">The model had 17 total parameters describing the molecules’ concentrations and binding and unbinding rates. We set 13 of these parameters to values from the literature. The remaining 4 parameter values we fit to publicly-available data [14], briefly explained as follows (see Methods for full details). Single neurons from acute rat cortical slices expressing GCaMP6f were imaged with two-photon microscopy while the membrane potential of the soma of the same neurons were simultaneously recorded via whole-cell patch clamp electrophysiology. In this dataset, the electrical recording give unambiguous information about neuron’s spike times. To do the parameter fitting, we inject these spike trains as inputs to the computational model, which after running returns a simulated fluorescence trace. We would like to find the model parameter values that give the best match between this simulated fluorescence trace and the real fluorescence time series recorded in the corresponding neuron. To do this we used a suite of optimisation procedures to jointly fit both the real neuron’s fluorescence time series and power spectrum, which capture complementary information about the spikes-to-fluorescence mapping (Methods). We performed the fitting procedure independently for each of the [N] neurons in the spikefinder dataset (http://spikefinder.org). After fitting the model produced realistic-looking fluorescence time series (Figure 1). </w:t>
      </w:r>
    </w:p>
    <w:tbl>
      <w:tblPr>
        <w:tblStyle w:val="TableGrid"/>
        <w:tblW w:w="8951" w:type="dxa"/>
        <w:jc w:val="left"/>
        <w:tblInd w:w="-5" w:type="dxa"/>
        <w:tblCellMar>
          <w:top w:w="0" w:type="dxa"/>
          <w:left w:w="103" w:type="dxa"/>
          <w:bottom w:w="0" w:type="dxa"/>
          <w:right w:w="108" w:type="dxa"/>
        </w:tblCellMar>
        <w:tblLook w:val="04a0" w:noVBand="1" w:noHBand="0" w:lastColumn="0" w:firstColumn="1" w:lastRow="0" w:firstRow="1"/>
      </w:tblPr>
      <w:tblGrid>
        <w:gridCol w:w="8951"/>
      </w:tblGrid>
      <w:tr>
        <w:trPr>
          <w:trHeight w:val="1878" w:hRule="atLeast"/>
        </w:trPr>
        <w:tc>
          <w:tcPr>
            <w:tcW w:w="8951" w:type="dxa"/>
            <w:tcBorders/>
            <w:shd w:fill="auto" w:val="clear"/>
            <w:tcMar>
              <w:left w:w="103" w:type="dxa"/>
            </w:tcMar>
          </w:tcPr>
          <w:p>
            <w:pPr>
              <w:pStyle w:val="Normal"/>
              <w:spacing w:lineRule="auto" w:line="360" w:before="0" w:after="120"/>
              <w:jc w:val="both"/>
              <w:rPr/>
            </w:pPr>
            <w:r>
              <w:rPr/>
              <w:drawing>
                <wp:inline distT="0" distB="0" distL="0" distR="0">
                  <wp:extent cx="5394325" cy="4442460"/>
                  <wp:effectExtent l="0" t="0" r="0" b="0"/>
                  <wp:docPr id="1" name="Picture 1" descr="page6image39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age6image3914656"/>
                          <pic:cNvPicPr>
                            <a:picLocks noChangeAspect="1" noChangeArrowheads="1"/>
                          </pic:cNvPicPr>
                        </pic:nvPicPr>
                        <pic:blipFill>
                          <a:blip r:embed="rId2"/>
                          <a:stretch>
                            <a:fillRect/>
                          </a:stretch>
                        </pic:blipFill>
                        <pic:spPr bwMode="auto">
                          <a:xfrm>
                            <a:off x="0" y="0"/>
                            <a:ext cx="5394325" cy="4442460"/>
                          </a:xfrm>
                          <a:prstGeom prst="rect">
                            <a:avLst/>
                          </a:prstGeom>
                        </pic:spPr>
                      </pic:pic>
                    </a:graphicData>
                  </a:graphic>
                </wp:inline>
              </w:drawing>
            </w:r>
          </w:p>
        </w:tc>
      </w:tr>
      <w:tr>
        <w:trPr>
          <w:trHeight w:val="1878" w:hRule="atLeast"/>
        </w:trPr>
        <w:tc>
          <w:tcPr>
            <w:tcW w:w="8951" w:type="dxa"/>
            <w:tcBorders/>
            <w:shd w:fill="auto" w:val="clear"/>
            <w:tcMar>
              <w:left w:w="103" w:type="dxa"/>
            </w:tcMar>
          </w:tcPr>
          <w:p>
            <w:pPr>
              <w:pStyle w:val="Normal"/>
              <w:spacing w:before="0" w:after="120"/>
              <w:jc w:val="both"/>
              <w:rPr>
                <w:rFonts w:ascii="Calibri" w:hAnsi="Calibri" w:cs="Calibri"/>
              </w:rPr>
            </w:pPr>
            <w:r>
              <w:rPr>
                <w:rFonts w:cs="Calibri" w:ascii="Calibri" w:hAnsi="Calibri"/>
              </w:rPr>
              <w:t>Figure 1. Comparison of model and real neuron fluorescence time series in response to the same identical spike trains.</w:t>
            </w:r>
          </w:p>
          <w:p>
            <w:pPr>
              <w:pStyle w:val="Normal"/>
              <w:spacing w:before="0" w:after="120"/>
              <w:jc w:val="both"/>
              <w:rPr>
                <w:rFonts w:ascii="Calibri" w:hAnsi="Calibri" w:cs="Calibri"/>
                <w:b/>
                <w:b/>
                <w:bCs/>
              </w:rPr>
            </w:pPr>
            <w:r>
              <w:rPr>
                <w:rFonts w:cs="Calibri" w:ascii="Calibri" w:hAnsi="Calibri"/>
                <w:b/>
                <w:bCs/>
              </w:rPr>
              <w:t xml:space="preserve">A: </w:t>
            </w:r>
            <w:r>
              <w:rPr>
                <w:rFonts w:cs="Calibri" w:ascii="Calibri" w:hAnsi="Calibri"/>
              </w:rPr>
              <w:t>Schematic diagram explaining goal of model.</w:t>
            </w:r>
          </w:p>
          <w:p>
            <w:pPr>
              <w:pStyle w:val="Normal"/>
              <w:spacing w:before="0" w:after="120"/>
              <w:jc w:val="both"/>
              <w:rPr>
                <w:rFonts w:ascii="Calibri" w:hAnsi="Calibri" w:cs="Calibri"/>
              </w:rPr>
            </w:pPr>
            <w:r>
              <w:rPr>
                <w:rFonts w:cs="Calibri" w:ascii="Calibri" w:hAnsi="Calibri"/>
                <w:b/>
                <w:bCs/>
              </w:rPr>
              <w:t>B:</w:t>
            </w:r>
            <w:r>
              <w:rPr>
                <w:rFonts w:cs="Calibri" w:ascii="Calibri" w:hAnsi="Calibri"/>
              </w:rPr>
              <w:t xml:space="preserve"> Real vs modelled fluorescence time series from three example recordings from the spikefinder.org dataset [REF].</w:t>
            </w:r>
          </w:p>
          <w:p>
            <w:pPr>
              <w:pStyle w:val="Normal"/>
              <w:spacing w:before="0" w:after="120"/>
              <w:jc w:val="both"/>
              <w:rPr>
                <w:rFonts w:ascii="Calibri" w:hAnsi="Calibri" w:cs="Calibri"/>
              </w:rPr>
            </w:pPr>
            <w:r>
              <w:rPr>
                <w:rFonts w:cs="Calibri" w:ascii="Calibri" w:hAnsi="Calibri"/>
                <w:b/>
                <w:bCs/>
              </w:rPr>
              <w:t>C:</w:t>
            </w:r>
            <w:r>
              <w:rPr>
                <w:rFonts w:cs="Calibri" w:ascii="Calibri" w:hAnsi="Calibri"/>
              </w:rPr>
              <w:t xml:space="preserve"> Comparison of data power spectra.</w:t>
            </w:r>
          </w:p>
        </w:tc>
      </w:tr>
    </w:tbl>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b/>
          <w:b/>
        </w:rPr>
      </w:pPr>
      <w:r>
        <w:rPr>
          <w:rFonts w:cs="Calibri" w:ascii="Calibri" w:hAnsi="Calibri"/>
          <w:b/>
        </w:rPr>
        <w:t>2. Spike inference algorithms perform similarly on real data compared with time series simulated from the model.</w:t>
      </w:r>
    </w:p>
    <w:p>
      <w:pPr>
        <w:pStyle w:val="Normal"/>
        <w:spacing w:lineRule="auto" w:line="360" w:before="0" w:after="120"/>
        <w:jc w:val="both"/>
        <w:rPr>
          <w:rFonts w:ascii="Calibri" w:hAnsi="Calibri" w:cs="Calibri"/>
          <w:bCs/>
        </w:rPr>
      </w:pPr>
      <w:r>
        <w:rPr>
          <w:rFonts w:cs="Calibri" w:ascii="Calibri" w:hAnsi="Calibri"/>
          <w:bCs/>
        </w:rPr>
        <w:t>Researchers often do not perform statistical analyses on calcium indicator fluorescence time series directly, but first pass the time series through a spike inference tool. These algorithms take the fluorescence trace as input and attempt to estimate the neuronal spike train that triggered them. Part of our motivation for building this model was to allow us to ask the question: how do the properties of the cell and the calcium indicator affect the quality of spike inference? In order to trust the conclusions from our model, we should first be confident that spike inference from our simulated fluorescence traces is similar to that from the real data. To test this we passed each of the simulated fluorescence traces through three previously published spike inference algorithms, quantified their performance against the ground-truth electrophysiology data, repeated the procedure for the real calcium fluorescence time series, and compared the accuracy of the inference processes in all cases. The mean [quality/accuracy/?] of spike inference varied across the three inference algorithms we tried (p=XXX, statistical test [ANOVA?]), [Paninski] correctly detected ~45%, OASIS detected  ~35%, and ML spike detected ~15%. These relatively low accuracy values also show that spike inference is not an easy task. However the quality of inference on the simulated fluorescence time series was not statistically different than that on the real data for, any particular algorithm (p=XXX, statistical test [ANOVA?]). Notably the quality of inference was also fairly consistent for individual spike trains, not just the group means (p=XXX, statistical test). In contrast, when we feed the original spike trains convolved with a simple exponential kernel into the spike inference algorithms, decoding accuracy was very high (NEED TO DO THIS). This demonstrates that the models were generating fluorescence time series that were similarly difficult to decode as the real data, in ways that were not specific to any one inference algorithm. This is evidence that the models captured real aspects of the spikes-to-fluorescence transform.</w:t>
      </w:r>
    </w:p>
    <w:tbl>
      <w:tblPr>
        <w:tblStyle w:val="TableGrid"/>
        <w:tblW w:w="8951" w:type="dxa"/>
        <w:jc w:val="left"/>
        <w:tblInd w:w="-5" w:type="dxa"/>
        <w:tblCellMar>
          <w:top w:w="0" w:type="dxa"/>
          <w:left w:w="103" w:type="dxa"/>
          <w:bottom w:w="0" w:type="dxa"/>
          <w:right w:w="108" w:type="dxa"/>
        </w:tblCellMar>
        <w:tblLook w:val="04a0" w:noVBand="1" w:noHBand="0" w:lastColumn="0" w:firstColumn="1" w:lastRow="0" w:firstRow="1"/>
      </w:tblPr>
      <w:tblGrid>
        <w:gridCol w:w="8951"/>
      </w:tblGrid>
      <w:tr>
        <w:trPr>
          <w:trHeight w:val="3818" w:hRule="atLeast"/>
        </w:trPr>
        <w:tc>
          <w:tcPr>
            <w:tcW w:w="8951" w:type="dxa"/>
            <w:tcBorders/>
            <w:shd w:fill="auto" w:val="clear"/>
            <w:tcMar>
              <w:left w:w="103" w:type="dxa"/>
            </w:tcMar>
          </w:tcPr>
          <w:p>
            <w:pPr>
              <w:pStyle w:val="Normal"/>
              <w:jc w:val="both"/>
              <w:rPr/>
            </w:pPr>
            <w:r>
              <w:rPr/>
              <w:drawing>
                <wp:inline distT="0" distB="0" distL="0" distR="0">
                  <wp:extent cx="3888105" cy="2909570"/>
                  <wp:effectExtent l="0" t="0" r="0" b="0"/>
                  <wp:docPr id="2" name="Picture 3" descr="page8image182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page8image1825568"/>
                          <pic:cNvPicPr>
                            <a:picLocks noChangeAspect="1" noChangeArrowheads="1"/>
                          </pic:cNvPicPr>
                        </pic:nvPicPr>
                        <pic:blipFill>
                          <a:blip r:embed="rId3"/>
                          <a:stretch>
                            <a:fillRect/>
                          </a:stretch>
                        </pic:blipFill>
                        <pic:spPr bwMode="auto">
                          <a:xfrm>
                            <a:off x="0" y="0"/>
                            <a:ext cx="3888105" cy="2909570"/>
                          </a:xfrm>
                          <a:prstGeom prst="rect">
                            <a:avLst/>
                          </a:prstGeom>
                        </pic:spPr>
                      </pic:pic>
                    </a:graphicData>
                  </a:graphic>
                </wp:inline>
              </w:drawing>
            </w:r>
          </w:p>
        </w:tc>
      </w:tr>
      <w:tr>
        <w:trPr>
          <w:trHeight w:val="584" w:hRule="atLeast"/>
        </w:trPr>
        <w:tc>
          <w:tcPr>
            <w:tcW w:w="8951" w:type="dxa"/>
            <w:tcBorders/>
            <w:shd w:fill="auto" w:val="clear"/>
            <w:tcMar>
              <w:left w:w="103" w:type="dxa"/>
            </w:tcMar>
          </w:tcPr>
          <w:p>
            <w:pPr>
              <w:pStyle w:val="Normal"/>
              <w:spacing w:before="0" w:after="120"/>
              <w:jc w:val="both"/>
              <w:rPr>
                <w:rFonts w:ascii="Calibri" w:hAnsi="Calibri" w:cs="Calibri"/>
              </w:rPr>
            </w:pPr>
            <w:r>
              <w:rPr>
                <w:rFonts w:cs="Calibri" w:ascii="Calibri" w:hAnsi="Calibri"/>
                <w:b/>
                <w:bCs/>
              </w:rPr>
              <w:t>Figure 2.</w:t>
            </w:r>
            <w:r>
              <w:rPr>
                <w:rFonts w:cs="Calibri" w:ascii="Calibri" w:hAnsi="Calibri"/>
              </w:rPr>
              <w:t xml:space="preserve"> Accuracy (true positive rate) of three different spike inference algorithms for real data vs matched simulated fluorescence spike trains.</w:t>
            </w:r>
          </w:p>
        </w:tc>
      </w:tr>
    </w:tbl>
    <w:p>
      <w:pPr>
        <w:pStyle w:val="Normal"/>
        <w:spacing w:lineRule="auto" w:line="360" w:before="0" w:after="120"/>
        <w:jc w:val="both"/>
        <w:rPr>
          <w:rFonts w:ascii="Calibri" w:hAnsi="Calibri" w:cs="Calibri"/>
          <w:b/>
          <w:b/>
        </w:rPr>
      </w:pPr>
      <w:r>
        <w:rPr>
          <w:rFonts w:cs="Calibri" w:ascii="Calibri" w:hAnsi="Calibri"/>
          <w:b/>
        </w:rPr>
      </w:r>
    </w:p>
    <w:p>
      <w:pPr>
        <w:pStyle w:val="Normal"/>
        <w:spacing w:lineRule="auto" w:line="360" w:before="0" w:after="120"/>
        <w:jc w:val="both"/>
        <w:rPr/>
      </w:pPr>
      <w:r>
        <w:rPr>
          <w:rFonts w:cs="Calibri" w:ascii="Calibri" w:hAnsi="Calibri"/>
          <w:b/>
        </w:rPr>
        <w:t xml:space="preserve">3. Relative effects of various buffers to the fluorescence signal. </w:t>
      </w:r>
      <w:r>
        <w:rPr>
          <w:rFonts w:cs="Calibri" w:ascii="Calibri" w:hAnsi="Calibri"/>
          <w:bCs/>
        </w:rPr>
        <w:t>One of the benefits of computational models over laboratory experiments is that we can observe all the variables in the simulation to gain insight into the system’s dynamics, which can be difficult to do in the lab. We plotted the concentrations of the various species over time for a version of the model fit to one data set, in response to the same train of spikes used for fitting (Figure 3). Figure 3A shows the absolute values of the species concentrations summed. Consistent with experimental estimates [1], only a small fraction [~X%] of calcium is free and unbound to any buffer. Of the bound calcium, the vast majority, [~X%] is bound to the GCaMP indicator. The two types of endogenous buffer account for the remaining [~X%]. An influx of calcium from a single spike adds very little to the total calcium, in relative terms.</w:t>
      </w:r>
    </w:p>
    <w:p>
      <w:pPr>
        <w:pStyle w:val="Normal"/>
        <w:spacing w:lineRule="auto" w:line="360" w:before="0" w:after="120"/>
        <w:jc w:val="both"/>
        <w:rPr/>
      </w:pPr>
      <w:r>
        <w:rPr>
          <w:rFonts w:cs="Calibri" w:ascii="Calibri" w:hAnsi="Calibri"/>
          <w:bCs/>
        </w:rPr>
        <w:t xml:space="preserve">When calcium entered the model neuron it was rapidly buffered [6]. However the relative fractions of which buffer molecules bound to the influxed calcium was dynamic, and changed over time (NEW Figure 3X). [More commentary on this once figure is added]. Figure 3B-F shows the time course of the various species over time in response to a calcium influx event from a single action potential. Crucially, the indicator </w:t>
      </w:r>
      <w:r>
        <w:rPr>
          <w:rFonts w:cs="Calibri" w:ascii="Calibri" w:hAnsi="Calibri"/>
          <w:bCs/>
          <w:i/>
          <w:iCs/>
        </w:rPr>
        <w:t>BCa</w:t>
      </w:r>
      <w:r>
        <w:rPr>
          <w:rFonts w:cs="Calibri" w:ascii="Calibri" w:hAnsi="Calibri"/>
          <w:bCs/>
        </w:rPr>
        <w:t xml:space="preserve"> competed with the endogenous buffers </w:t>
      </w:r>
      <w:r>
        <w:rPr>
          <w:rFonts w:cs="Calibri" w:ascii="Calibri" w:hAnsi="Calibri"/>
          <w:bCs/>
          <w:i/>
          <w:iCs/>
        </w:rPr>
        <w:t>ImCa</w:t>
      </w:r>
      <w:r>
        <w:rPr>
          <w:rFonts w:cs="Calibri" w:ascii="Calibri" w:hAnsi="Calibri"/>
          <w:bCs/>
        </w:rPr>
        <w:t xml:space="preserve"> and </w:t>
      </w:r>
      <w:r>
        <w:rPr>
          <w:rFonts w:cs="Calibri" w:ascii="Calibri" w:hAnsi="Calibri"/>
          <w:bCs/>
          <w:i/>
          <w:iCs/>
        </w:rPr>
        <w:t>ECa</w:t>
      </w:r>
      <w:r>
        <w:rPr>
          <w:rFonts w:cs="Calibri" w:ascii="Calibri" w:hAnsi="Calibri"/>
          <w:bCs/>
        </w:rPr>
        <w:t xml:space="preserve"> – all three bind calcium on similar timescales. This implies that the timecourse and amplitude of the </w:t>
      </w:r>
      <w:r>
        <w:rPr>
          <w:rFonts w:cs="Calibri" w:ascii="Calibri" w:hAnsi="Calibri"/>
          <w:bCs/>
          <w:i/>
          <w:iCs/>
        </w:rPr>
        <w:t>BCa</w:t>
      </w:r>
      <w:r>
        <w:rPr>
          <w:rFonts w:cs="Calibri" w:ascii="Calibri" w:hAnsi="Calibri"/>
          <w:bCs/>
        </w:rPr>
        <w:t xml:space="preserve"> variable will also depend on the binding rates and availabilities of the endogenous buffers. For example if we decreased the concentration of an endogenous buffer, we might expect both a faster rise time and greater peak amplitude of the BCa signal in response to a calcium influx event. The slowest component of the decay had a similar time constant for BCa, ImCa and ECa, which in turn matched the Ca extrusion time constant in our model [add approximate decay time constant, ~2s]. This implies that the buffers and the indicator had reached a dynamic equilibrium and were jointly tracking the free calcium concentration as calcium was slowly extruded from the cell.</w:t>
      </w:r>
    </w:p>
    <w:p>
      <w:pPr>
        <w:pStyle w:val="Normal"/>
        <w:spacing w:lineRule="auto" w:line="360" w:before="0" w:after="120"/>
        <w:jc w:val="both"/>
        <w:rPr>
          <w:rFonts w:ascii="Calibri" w:hAnsi="Calibri" w:cs="Calibri"/>
          <w:bCs/>
        </w:rPr>
      </w:pPr>
      <w:r>
        <w:rPr>
          <w:rFonts w:cs="Calibri" w:ascii="Calibri" w:hAnsi="Calibri"/>
          <w:bCs/>
        </w:rPr>
        <w:t>Interestingly the excited bound calcium species (BCa*) showed a qualitatively different timecourse in response to a calcium influx event [more comment…].</w:t>
      </w:r>
    </w:p>
    <w:tbl>
      <w:tblPr>
        <w:tblStyle w:val="TableGrid"/>
        <w:tblW w:w="8951" w:type="dxa"/>
        <w:jc w:val="left"/>
        <w:tblInd w:w="-5" w:type="dxa"/>
        <w:tblCellMar>
          <w:top w:w="0" w:type="dxa"/>
          <w:left w:w="103"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3" w:type="dxa"/>
            </w:tcMar>
          </w:tcPr>
          <w:p>
            <w:pPr>
              <w:pStyle w:val="Normal"/>
              <w:jc w:val="both"/>
              <w:rPr/>
            </w:pPr>
            <w:r>
              <w:rPr/>
              <w:drawing>
                <wp:inline distT="0" distB="0" distL="0" distR="0">
                  <wp:extent cx="4392930" cy="601281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4392930" cy="6012815"/>
                          </a:xfrm>
                          <a:prstGeom prst="rect">
                            <a:avLst/>
                          </a:prstGeom>
                        </pic:spPr>
                      </pic:pic>
                    </a:graphicData>
                  </a:graphic>
                </wp:inline>
              </w:drawing>
            </w:r>
          </w:p>
        </w:tc>
      </w:tr>
      <w:tr>
        <w:trPr>
          <w:trHeight w:val="584" w:hRule="atLeast"/>
        </w:trPr>
        <w:tc>
          <w:tcPr>
            <w:tcW w:w="8951" w:type="dxa"/>
            <w:tcBorders/>
            <w:shd w:fill="auto" w:val="clear"/>
            <w:tcMar>
              <w:left w:w="103" w:type="dxa"/>
            </w:tcMar>
          </w:tcPr>
          <w:p>
            <w:pPr>
              <w:pStyle w:val="Normal"/>
              <w:spacing w:before="0" w:after="120"/>
              <w:jc w:val="both"/>
              <w:rPr>
                <w:rFonts w:ascii="Calibri" w:hAnsi="Calibri" w:cs="Calibri"/>
              </w:rPr>
            </w:pPr>
            <w:r>
              <w:rPr>
                <w:rFonts w:cs="Calibri" w:ascii="Calibri" w:hAnsi="Calibri"/>
                <w:b/>
                <w:bCs/>
              </w:rPr>
              <w:t>Figure 3.</w:t>
            </w:r>
            <w:r>
              <w:rPr>
                <w:rFonts w:cs="Calibri" w:ascii="Calibri" w:hAnsi="Calibri"/>
              </w:rPr>
              <w:t xml:space="preserve"> Competition between various buffers for calcium.</w:t>
            </w:r>
          </w:p>
          <w:p>
            <w:pPr>
              <w:pStyle w:val="Normal"/>
              <w:spacing w:before="0" w:after="120"/>
              <w:jc w:val="both"/>
              <w:rPr>
                <w:rFonts w:ascii="Calibri" w:hAnsi="Calibri" w:cs="Calibri"/>
              </w:rPr>
            </w:pPr>
            <w:r>
              <w:rPr>
                <w:rFonts w:cs="Calibri" w:ascii="Calibri" w:hAnsi="Calibri"/>
              </w:rPr>
              <w:t>(a) The proportions of bound and free calcium concentrations within a cell, with the associated spike train. (b)-(f) The dynamics of the concentration of (b) excited indicator bound calcium, (c) indicator bound calcium, (d) immobile endogeneous buffer bound calcium, (e) mobile endogenous buffer bound calcium, and (f) free calcium in response to an action potential at 23.17s.</w:t>
            </w:r>
          </w:p>
        </w:tc>
      </w:tr>
    </w:tbl>
    <w:p>
      <w:pPr>
        <w:pStyle w:val="Normal"/>
        <w:spacing w:lineRule="auto" w:line="360" w:before="0" w:after="120"/>
        <w:jc w:val="both"/>
        <w:rPr>
          <w:rFonts w:ascii="Calibri" w:hAnsi="Calibri" w:cs="Calibri"/>
          <w:bCs/>
        </w:rPr>
      </w:pPr>
      <w:r>
        <w:rPr>
          <w:rFonts w:cs="Calibri" w:ascii="Calibri" w:hAnsi="Calibri"/>
          <w:bCs/>
        </w:rPr>
      </w:r>
    </w:p>
    <w:p>
      <w:pPr>
        <w:pStyle w:val="Normal"/>
        <w:spacing w:lineRule="auto" w:line="360" w:before="0" w:after="120"/>
        <w:jc w:val="both"/>
        <w:rPr>
          <w:rFonts w:ascii="Calibri" w:hAnsi="Calibri" w:cs="Calibri"/>
          <w:b/>
          <w:b/>
        </w:rPr>
      </w:pPr>
      <w:r>
        <w:rPr>
          <w:rFonts w:cs="Calibri" w:ascii="Calibri" w:hAnsi="Calibri"/>
          <w:b/>
        </w:rPr>
        <w:t>4. Spike inference accuracy is sensitive to indicator properties, and likely varies within and between cells.</w:t>
      </w:r>
    </w:p>
    <w:p>
      <w:pPr>
        <w:pStyle w:val="Normal"/>
        <w:spacing w:lineRule="auto" w:line="360" w:before="0" w:after="120"/>
        <w:jc w:val="both"/>
        <w:rPr>
          <w:rFonts w:ascii="Calibri" w:hAnsi="Calibri" w:cs="Calibri"/>
          <w:bCs/>
        </w:rPr>
      </w:pPr>
      <w:r>
        <w:rPr>
          <w:rFonts w:cs="Calibri" w:ascii="Calibri" w:hAnsi="Calibri"/>
          <w:bCs/>
        </w:rPr>
        <w:t>The above results imply that the fluorescence signal depends on the relative properties of both GCaMP and the endogenous buffers. We next used the model to directly ask how sensitive spike inference was to these components. We focused on three key parameters that likely vary from cell to cell and experiment to experiment: GCaMP binding kinetics, GCaMP concentration, and endogenous buffer concentration.</w:t>
      </w:r>
    </w:p>
    <w:p>
      <w:pPr>
        <w:pStyle w:val="Normal"/>
        <w:spacing w:lineRule="auto" w:line="360" w:before="0" w:after="120"/>
        <w:jc w:val="both"/>
        <w:rPr/>
      </w:pPr>
      <w:r>
        <w:rPr>
          <w:rFonts w:cs="Calibri" w:ascii="Calibri" w:hAnsi="Calibri"/>
          <w:bCs/>
        </w:rPr>
        <w:t>Several variants of GCaMP itself have been made that differ in calcium binding kinetics, baseline fluorescence, fluorescence efficiency, and other factors. For example, GCaMP6f has a decay time constant of ~1 s, while GCaMP6s has a decay time constant of ~2 s [15].  Here we asked how these differences in binding kinetics affect spike inference. We jointly varied the calcium binding and unbinding rates of the indicator by the same factor over a range from 100-fold slower to 100-fold faster from the fitted values, and simulated the fluorescence response for each of the parameter settings in response to the same spike trains as before (Figure 4A). Notably this manipulation does not affect the indicators affinity, and therefore would not affect steady-state responses to prolonged changes in calcium. Instead it is likely to affect its sensitivity to the spike train dynamics. We computed two summary measures from the simulated fluorescence traces: the signal-to-noise ratio for a single spike (Methods), and the accuracy of spike inference for each of the spike trains. Varying the indicator kinetics resulted in obvious visual differences in the fluorescence time series. Faster kinetics resulted in both larger amplitude spike signals and larger amplitude baseline noise. Slow kinetics rates resulted in the signal not decaying back to baseline between spike events. Accordingly, indicator kinetics had a substantial effect on both signal-to-noise ratio and spike inference accuracy. Both had a non-monotonic profile, implying there exists an optimum value for the kinetics. Interestingly the kinetics value that gave the largest signal-to-noise ratio was not the same as the kinetics value that resulted in the highest spike inference accuracy (Figure b-c).</w:t>
      </w:r>
    </w:p>
    <w:p>
      <w:pPr>
        <w:pStyle w:val="Normal"/>
        <w:spacing w:lineRule="auto" w:line="360" w:before="0" w:after="120"/>
        <w:jc w:val="both"/>
        <w:rPr>
          <w:rFonts w:ascii="Calibri" w:hAnsi="Calibri" w:cs="Calibri"/>
          <w:bCs/>
        </w:rPr>
      </w:pPr>
      <w:r>
        <w:rPr>
          <w:rFonts w:cs="Calibri" w:ascii="Calibri" w:hAnsi="Calibri"/>
          <w:bCs/>
        </w:rPr>
        <w:t>[ARE FIGURES SWAPPED FOR INDICATOR CONCENTRATION VS KINETICS IN THOMAS’S DOCUMENT?]</w:t>
      </w:r>
    </w:p>
    <w:tbl>
      <w:tblPr>
        <w:tblStyle w:val="TableGrid"/>
        <w:tblW w:w="8951" w:type="dxa"/>
        <w:jc w:val="left"/>
        <w:tblInd w:w="-5" w:type="dxa"/>
        <w:tblCellMar>
          <w:top w:w="0" w:type="dxa"/>
          <w:left w:w="103"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3" w:type="dxa"/>
            </w:tcMar>
          </w:tcPr>
          <w:p>
            <w:pPr>
              <w:pStyle w:val="Normal"/>
              <w:jc w:val="center"/>
              <w:rPr/>
            </w:pPr>
            <w:r>
              <w:rPr/>
              <w:drawing>
                <wp:inline distT="0" distB="0" distL="0" distR="0">
                  <wp:extent cx="4756150" cy="592963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4756150" cy="5929630"/>
                          </a:xfrm>
                          <a:prstGeom prst="rect">
                            <a:avLst/>
                          </a:prstGeom>
                        </pic:spPr>
                      </pic:pic>
                    </a:graphicData>
                  </a:graphic>
                </wp:inline>
              </w:drawing>
            </w:r>
          </w:p>
        </w:tc>
      </w:tr>
      <w:tr>
        <w:trPr>
          <w:trHeight w:val="584" w:hRule="atLeast"/>
        </w:trPr>
        <w:tc>
          <w:tcPr>
            <w:tcW w:w="8951" w:type="dxa"/>
            <w:tcBorders/>
            <w:shd w:fill="auto" w:val="clear"/>
            <w:tcMar>
              <w:left w:w="103" w:type="dxa"/>
            </w:tcMar>
          </w:tcPr>
          <w:p>
            <w:pPr>
              <w:pStyle w:val="Normal"/>
              <w:spacing w:before="0" w:after="120"/>
              <w:jc w:val="both"/>
              <w:rPr>
                <w:rFonts w:ascii="Calibri" w:hAnsi="Calibri" w:cs="Calibri"/>
              </w:rPr>
            </w:pPr>
            <w:r>
              <w:rPr>
                <w:rFonts w:cs="Calibri" w:ascii="Calibri" w:hAnsi="Calibri"/>
                <w:b/>
                <w:bCs/>
              </w:rPr>
              <w:t>Figure 4.</w:t>
            </w:r>
            <w:r>
              <w:rPr>
                <w:rFonts w:cs="Calibri" w:ascii="Calibri" w:hAnsi="Calibri"/>
              </w:rPr>
              <w:t xml:space="preserve"> Effect of calcium indicator kinetics on spike inference.</w:t>
            </w:r>
          </w:p>
          <w:p>
            <w:pPr>
              <w:pStyle w:val="Normal"/>
              <w:spacing w:before="0" w:after="120"/>
              <w:jc w:val="both"/>
              <w:rPr>
                <w:rFonts w:ascii="Calibri" w:hAnsi="Calibri" w:cs="Calibri"/>
              </w:rPr>
            </w:pPr>
            <w:r>
              <w:rPr>
                <w:rFonts w:cs="Calibri" w:ascii="Calibri" w:hAnsi="Calibri"/>
              </w:rPr>
              <w:t xml:space="preserve">(a) Example fluorescence traces from  </w:t>
            </w:r>
          </w:p>
        </w:tc>
      </w:tr>
    </w:tbl>
    <w:p>
      <w:pPr>
        <w:pStyle w:val="Normal"/>
        <w:spacing w:lineRule="auto" w:line="360" w:before="0" w:after="120"/>
        <w:jc w:val="both"/>
        <w:rPr>
          <w:rFonts w:ascii="Calibri" w:hAnsi="Calibri" w:cs="Calibri"/>
          <w:bCs/>
        </w:rPr>
      </w:pPr>
      <w:r>
        <w:rPr>
          <w:rFonts w:cs="Calibri" w:ascii="Calibri" w:hAnsi="Calibri"/>
          <w:bCs/>
        </w:rPr>
      </w:r>
    </w:p>
    <w:p>
      <w:pPr>
        <w:pStyle w:val="Normal"/>
        <w:spacing w:lineRule="auto" w:line="360" w:before="0" w:after="120"/>
        <w:jc w:val="both"/>
        <w:rPr>
          <w:rFonts w:ascii="Calibri" w:hAnsi="Calibri" w:cs="Calibri"/>
          <w:bCs/>
        </w:rPr>
      </w:pPr>
      <w:r>
        <w:rPr>
          <w:rFonts w:cs="Calibri" w:ascii="Calibri" w:hAnsi="Calibri"/>
          <w:bCs/>
        </w:rPr>
        <w:t xml:space="preserve"> </w:t>
      </w:r>
      <w:r>
        <w:rPr>
          <w:rFonts w:cs="Calibri" w:ascii="Calibri" w:hAnsi="Calibri"/>
          <w:bCs/>
        </w:rPr>
        <w:t>Second, the overall concentrations of GCaMP often varies from cell to cell. For example different cells, even of the same type in the same tissue, can express different levels of GCaMP [REFS]. Also, GCaMP is often used for longitudinal experiments where the same cells are re-imaged across multiple days or weeks. However since GCaMP expression typically ramps up over time [REF], the accuracy of spike inference may differ across multiple longitudinal recordings in the same cell. We addressed this by varying the concentration of calcium indicator in the model, simulating spike trains and measuring signal-to-noise ratio and spike inference accuracy on the resulting fluorescence traces. Surprisingly, indicator concentration had little effect on either the signal-to-noise ratio or the spike inference accuracy over a wide range of values (Figure 4b-c). Only when concentrations were 100-fold lower than their fitted values did we see an appreciable drop in signal-to-noise ratio and spike inference accuracy. In contrast, increasing the indicator concentration from the fitted values had very modest effects on spike inference.</w:t>
      </w:r>
    </w:p>
    <w:tbl>
      <w:tblPr>
        <w:tblStyle w:val="TableGrid"/>
        <w:tblW w:w="8951" w:type="dxa"/>
        <w:jc w:val="left"/>
        <w:tblInd w:w="-5" w:type="dxa"/>
        <w:tblCellMar>
          <w:top w:w="0" w:type="dxa"/>
          <w:left w:w="103"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3" w:type="dxa"/>
            </w:tcMar>
          </w:tcPr>
          <w:p>
            <w:pPr>
              <w:pStyle w:val="Normal"/>
              <w:jc w:val="center"/>
              <w:rPr/>
            </w:pPr>
            <w:r>
              <w:rPr/>
              <w:drawing>
                <wp:inline distT="0" distB="0" distL="0" distR="0">
                  <wp:extent cx="4460875" cy="560133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4460875" cy="5601335"/>
                          </a:xfrm>
                          <a:prstGeom prst="rect">
                            <a:avLst/>
                          </a:prstGeom>
                        </pic:spPr>
                      </pic:pic>
                    </a:graphicData>
                  </a:graphic>
                </wp:inline>
              </w:drawing>
            </w:r>
          </w:p>
        </w:tc>
      </w:tr>
      <w:tr>
        <w:trPr>
          <w:trHeight w:val="584" w:hRule="atLeast"/>
        </w:trPr>
        <w:tc>
          <w:tcPr>
            <w:tcW w:w="8951" w:type="dxa"/>
            <w:tcBorders/>
            <w:shd w:fill="auto" w:val="clear"/>
            <w:tcMar>
              <w:left w:w="103" w:type="dxa"/>
            </w:tcMar>
          </w:tcPr>
          <w:p>
            <w:pPr>
              <w:pStyle w:val="Normal"/>
              <w:spacing w:before="0" w:after="120"/>
              <w:jc w:val="both"/>
              <w:rPr>
                <w:rFonts w:ascii="Calibri" w:hAnsi="Calibri" w:cs="Calibri"/>
              </w:rPr>
            </w:pPr>
            <w:r>
              <w:rPr>
                <w:rFonts w:cs="Calibri" w:ascii="Calibri" w:hAnsi="Calibri"/>
                <w:b/>
                <w:bCs/>
              </w:rPr>
              <w:t>Figure 5.</w:t>
            </w:r>
            <w:r>
              <w:rPr>
                <w:rFonts w:cs="Calibri" w:ascii="Calibri" w:hAnsi="Calibri"/>
              </w:rPr>
              <w:t xml:space="preserve"> Effect of calcium indicator concentration on spike inference.</w:t>
            </w:r>
          </w:p>
          <w:p>
            <w:pPr>
              <w:pStyle w:val="Normal"/>
              <w:spacing w:before="0" w:after="120"/>
              <w:jc w:val="both"/>
              <w:rPr>
                <w:rFonts w:ascii="Calibri" w:hAnsi="Calibri" w:cs="Calibri"/>
              </w:rPr>
            </w:pPr>
            <w:r>
              <w:rPr>
                <w:rFonts w:cs="Calibri" w:ascii="Calibri" w:hAnsi="Calibri"/>
              </w:rPr>
              <w:t xml:space="preserve">(a) </w:t>
            </w:r>
          </w:p>
        </w:tc>
      </w:tr>
    </w:tbl>
    <w:p>
      <w:pPr>
        <w:pStyle w:val="Normal"/>
        <w:spacing w:lineRule="auto" w:line="360" w:before="0" w:after="120"/>
        <w:jc w:val="both"/>
        <w:rPr>
          <w:rFonts w:ascii="Calibri" w:hAnsi="Calibri" w:cs="Calibri"/>
          <w:b/>
          <w:b/>
        </w:rPr>
      </w:pPr>
      <w:r>
        <w:rPr>
          <w:rFonts w:cs="Calibri" w:ascii="Calibri" w:hAnsi="Calibri"/>
          <w:b/>
        </w:rPr>
      </w:r>
    </w:p>
    <w:p>
      <w:pPr>
        <w:pStyle w:val="Normal"/>
        <w:spacing w:lineRule="auto" w:line="360" w:before="0" w:after="120"/>
        <w:jc w:val="both"/>
        <w:rPr>
          <w:rFonts w:ascii="Calibri" w:hAnsi="Calibri" w:cs="Calibri"/>
          <w:bCs/>
        </w:rPr>
      </w:pPr>
      <w:r>
        <w:rPr>
          <w:rFonts w:cs="Calibri" w:ascii="Calibri" w:hAnsi="Calibri"/>
          <w:bCs/>
        </w:rPr>
        <w:t xml:space="preserve">Third, the concentration and types of endogenous calcium buffers also vary from neuron to neuron, both within and between cell types [REF calbindin hippocampal paper, MORE]. Since the calcium buffer capacity of neurons is high, around [X-Y] [REF numbers for pyramidal and purkinje cells], these endogenous buffers may compete with GCaMP for binding to calcium, and variations in endogenous buffer concentration may affect GCaMP signal and therefore spike inference. To address this we varied the concentration of the endogenous buffer in the model neuron over five orders of magnitude from [XuM to YuM], </w:t>
      </w:r>
      <w:bookmarkStart w:id="0" w:name="_GoBack"/>
      <w:bookmarkEnd w:id="0"/>
      <w:r>
        <w:rPr>
          <w:rFonts w:cs="Calibri" w:ascii="Calibri" w:hAnsi="Calibri"/>
          <w:bCs/>
        </w:rPr>
        <w:t>simulated calcium fluorescence traces in response to the same set of spike trains, and performed spike inference on the resulting fluorescence time series. Increasing the endogenous buffer concentration had a substantial effect on the GCaMP fluorescence signal, both decreasing its amplitude and slowing its kinetics (Figure 6a). This corresponded with a decrease in both single-spike signal-to-noise ratio (Figure 6b) and spike inference accuracy (Figure 6c). In contrast, decreasing endogenous buffer capacity from the fitted value had little effect on either the GCaMP signal or spike inference (Figure 6a-c).</w:t>
      </w:r>
    </w:p>
    <w:p>
      <w:pPr>
        <w:pStyle w:val="Normal"/>
        <w:spacing w:lineRule="auto" w:line="360" w:before="0" w:after="120"/>
        <w:jc w:val="both"/>
        <w:rPr>
          <w:rFonts w:ascii="Calibri" w:hAnsi="Calibri" w:cs="Calibri"/>
          <w:b/>
          <w:b/>
        </w:rPr>
      </w:pPr>
      <w:r>
        <w:rPr>
          <w:rFonts w:cs="Calibri" w:ascii="Calibri" w:hAnsi="Calibri"/>
          <w:b/>
        </w:rPr>
      </w:r>
    </w:p>
    <w:p>
      <w:pPr>
        <w:pStyle w:val="Normal"/>
        <w:spacing w:lineRule="auto" w:line="360" w:before="0" w:after="120"/>
        <w:jc w:val="both"/>
        <w:rPr>
          <w:rFonts w:ascii="Calibri" w:hAnsi="Calibri" w:cs="Calibri"/>
          <w:b/>
          <w:b/>
        </w:rPr>
      </w:pPr>
      <w:r>
        <w:rPr>
          <w:rFonts w:cs="Calibri" w:ascii="Calibri" w:hAnsi="Calibri"/>
          <w:b/>
        </w:rPr>
        <w:t>5. Single spike inference accuracy drops for high firing rates, but firing rate itself can be estimated from mean fluorescence amplitude.</w:t>
      </w:r>
    </w:p>
    <w:p>
      <w:pPr>
        <w:pStyle w:val="Normal"/>
        <w:spacing w:lineRule="auto" w:line="360" w:before="0" w:after="120"/>
        <w:jc w:val="both"/>
        <w:rPr>
          <w:rFonts w:ascii="Calibri" w:hAnsi="Calibri" w:cs="Calibri"/>
          <w:bCs/>
        </w:rPr>
      </w:pPr>
      <w:r>
        <w:rPr>
          <w:rFonts w:cs="Calibri" w:ascii="Calibri" w:hAnsi="Calibri"/>
          <w:bCs/>
        </w:rPr>
        <w:t>The fluorescence signal recorded from neurons using calcium indicators is typically much slower than changes in membrane potential for two reasons: first, because the calcium and the indicator have slow binding and unbinding kinetics, the signal is a low-pass filtered version of the membrane potential. Second, neuronal two-photon imaging experiments are often performed in scanning mode, which limits their frame rate to ~10Hz or slower. This implies that multiple spike events that occur close in time might be difficult to resolve from a calcium indicator time series. Many cells, especially several types of inhibitory interneurons, fire tonically at rates higher than 10Hz. We used the model to test whether spike inference accuracy depended on the neuron’s firing frequency by driving the cell with spike trains sampled from Poisson processes of varying frequency. Surprisingly, spike inference accuracy increased with increasing firing rate, for up to 10 Hz Poisson spike trains. We also plotted the average Delta_F as a function of stimulation firing rate. [We found that it increased monotonically as a function of firing rate.]</w:t>
      </w:r>
    </w:p>
    <w:tbl>
      <w:tblPr>
        <w:tblStyle w:val="TableGrid"/>
        <w:tblW w:w="8951" w:type="dxa"/>
        <w:jc w:val="left"/>
        <w:tblInd w:w="-5" w:type="dxa"/>
        <w:tblCellMar>
          <w:top w:w="0" w:type="dxa"/>
          <w:left w:w="103"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3" w:type="dxa"/>
            </w:tcMar>
          </w:tcPr>
          <w:p>
            <w:pPr>
              <w:pStyle w:val="Normal"/>
              <w:jc w:val="center"/>
              <w:rPr/>
            </w:pPr>
            <w:r>
              <w:rPr/>
              <w:drawing>
                <wp:inline distT="0" distB="0" distL="0" distR="0">
                  <wp:extent cx="4243070" cy="557212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4243070" cy="5572125"/>
                          </a:xfrm>
                          <a:prstGeom prst="rect">
                            <a:avLst/>
                          </a:prstGeom>
                        </pic:spPr>
                      </pic:pic>
                    </a:graphicData>
                  </a:graphic>
                </wp:inline>
              </w:drawing>
            </w:r>
          </w:p>
        </w:tc>
      </w:tr>
      <w:tr>
        <w:trPr>
          <w:trHeight w:val="584" w:hRule="atLeast"/>
        </w:trPr>
        <w:tc>
          <w:tcPr>
            <w:tcW w:w="8951" w:type="dxa"/>
            <w:tcBorders/>
            <w:shd w:fill="auto" w:val="clear"/>
            <w:tcMar>
              <w:left w:w="103" w:type="dxa"/>
            </w:tcMar>
          </w:tcPr>
          <w:p>
            <w:pPr>
              <w:pStyle w:val="Normal"/>
              <w:spacing w:before="0" w:after="120"/>
              <w:jc w:val="both"/>
              <w:rPr>
                <w:rFonts w:ascii="Calibri" w:hAnsi="Calibri" w:cs="Calibri"/>
              </w:rPr>
            </w:pPr>
            <w:r>
              <w:rPr>
                <w:rFonts w:cs="Calibri" w:ascii="Calibri" w:hAnsi="Calibri"/>
                <w:b/>
                <w:bCs/>
              </w:rPr>
              <w:t>Figure 6.</w:t>
            </w:r>
            <w:r>
              <w:rPr>
                <w:rFonts w:cs="Calibri" w:ascii="Calibri" w:hAnsi="Calibri"/>
              </w:rPr>
              <w:t xml:space="preserve"> Effect of endogenous buffer concentration on spike inference.</w:t>
            </w:r>
          </w:p>
          <w:p>
            <w:pPr>
              <w:pStyle w:val="Normal"/>
              <w:spacing w:before="0" w:after="120"/>
              <w:jc w:val="both"/>
              <w:rPr>
                <w:rFonts w:ascii="Calibri" w:hAnsi="Calibri" w:cs="Calibri"/>
              </w:rPr>
            </w:pPr>
            <w:r>
              <w:rPr>
                <w:rFonts w:cs="Calibri" w:ascii="Calibri" w:hAnsi="Calibri"/>
              </w:rPr>
              <w:t xml:space="preserve">(a) </w:t>
            </w:r>
          </w:p>
        </w:tc>
      </w:tr>
    </w:tbl>
    <w:p>
      <w:pPr>
        <w:pStyle w:val="Normal"/>
        <w:spacing w:lineRule="auto" w:line="360" w:before="0" w:after="120"/>
        <w:jc w:val="both"/>
        <w:rPr>
          <w:rFonts w:ascii="Calibri" w:hAnsi="Calibri" w:cs="Calibri"/>
          <w:b/>
          <w:b/>
        </w:rPr>
      </w:pPr>
      <w:r>
        <w:rPr>
          <w:rFonts w:cs="Calibri" w:ascii="Calibri" w:hAnsi="Calibri"/>
          <w:b/>
        </w:rPr>
      </w:r>
      <w:r>
        <w:br w:type="page"/>
      </w:r>
    </w:p>
    <w:tbl>
      <w:tblPr>
        <w:tblStyle w:val="TableGrid"/>
        <w:tblW w:w="8951" w:type="dxa"/>
        <w:jc w:val="left"/>
        <w:tblInd w:w="-5" w:type="dxa"/>
        <w:tblCellMar>
          <w:top w:w="0" w:type="dxa"/>
          <w:left w:w="103"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3" w:type="dxa"/>
            </w:tcMar>
          </w:tcPr>
          <w:p>
            <w:pPr>
              <w:pStyle w:val="Normal"/>
              <w:pageBreakBefore/>
              <w:jc w:val="center"/>
              <w:rPr/>
            </w:pPr>
            <w:r>
              <w:rPr/>
              <w:drawing>
                <wp:inline distT="0" distB="0" distL="0" distR="0">
                  <wp:extent cx="4040505" cy="347789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8"/>
                          <a:stretch>
                            <a:fillRect/>
                          </a:stretch>
                        </pic:blipFill>
                        <pic:spPr bwMode="auto">
                          <a:xfrm>
                            <a:off x="0" y="0"/>
                            <a:ext cx="4040505" cy="3477895"/>
                          </a:xfrm>
                          <a:prstGeom prst="rect">
                            <a:avLst/>
                          </a:prstGeom>
                        </pic:spPr>
                      </pic:pic>
                    </a:graphicData>
                  </a:graphic>
                </wp:inline>
              </w:drawing>
            </w:r>
          </w:p>
          <w:p>
            <w:pPr>
              <w:pStyle w:val="Normal"/>
              <w:jc w:val="center"/>
              <w:rPr/>
            </w:pPr>
            <w:r>
              <w:rPr/>
              <w:drawing>
                <wp:inline distT="0" distB="0" distL="0" distR="0">
                  <wp:extent cx="4650105" cy="21069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4650105" cy="2106930"/>
                          </a:xfrm>
                          <a:prstGeom prst="rect">
                            <a:avLst/>
                          </a:prstGeom>
                        </pic:spPr>
                      </pic:pic>
                    </a:graphicData>
                  </a:graphic>
                </wp:inline>
              </w:drawing>
            </w:r>
          </w:p>
        </w:tc>
      </w:tr>
      <w:tr>
        <w:trPr>
          <w:trHeight w:val="584" w:hRule="atLeast"/>
        </w:trPr>
        <w:tc>
          <w:tcPr>
            <w:tcW w:w="8951" w:type="dxa"/>
            <w:tcBorders/>
            <w:shd w:fill="auto" w:val="clear"/>
            <w:tcMar>
              <w:left w:w="103" w:type="dxa"/>
            </w:tcMar>
          </w:tcPr>
          <w:p>
            <w:pPr>
              <w:pStyle w:val="Normal"/>
              <w:spacing w:before="0" w:after="120"/>
              <w:jc w:val="both"/>
              <w:rPr>
                <w:rFonts w:ascii="Calibri" w:hAnsi="Calibri" w:cs="Calibri"/>
              </w:rPr>
            </w:pPr>
            <w:r>
              <w:rPr>
                <w:rFonts w:cs="Calibri" w:ascii="Calibri" w:hAnsi="Calibri"/>
                <w:b/>
                <w:bCs/>
              </w:rPr>
              <w:t>Figure 7.</w:t>
            </w:r>
            <w:r>
              <w:rPr>
                <w:rFonts w:cs="Calibri" w:ascii="Calibri" w:hAnsi="Calibri"/>
              </w:rPr>
              <w:t xml:space="preserve"> Effect of cell firing rate on spike inference</w:t>
            </w:r>
          </w:p>
          <w:p>
            <w:pPr>
              <w:pStyle w:val="ListParagraph"/>
              <w:numPr>
                <w:ilvl w:val="0"/>
                <w:numId w:val="1"/>
              </w:numPr>
              <w:spacing w:before="0" w:after="120"/>
              <w:contextualSpacing/>
              <w:jc w:val="both"/>
              <w:rPr>
                <w:rFonts w:ascii="Calibri" w:hAnsi="Calibri" w:cs="Calibri"/>
              </w:rPr>
            </w:pPr>
            <w:r>
              <w:rPr>
                <w:rFonts w:cs="Calibri" w:ascii="Calibri" w:hAnsi="Calibri"/>
              </w:rPr>
              <w:t>Simulated fluorescence time series from a cell spiking at 1Hz, 5Hz or 10Hz.</w:t>
            </w:r>
          </w:p>
          <w:p>
            <w:pPr>
              <w:pStyle w:val="ListParagraph"/>
              <w:numPr>
                <w:ilvl w:val="0"/>
                <w:numId w:val="1"/>
              </w:numPr>
              <w:spacing w:before="0" w:after="120"/>
              <w:contextualSpacing/>
              <w:jc w:val="both"/>
              <w:rPr>
                <w:rFonts w:ascii="Calibri" w:hAnsi="Calibri" w:cs="Calibri"/>
              </w:rPr>
            </w:pPr>
            <w:r>
              <w:rPr>
                <w:rFonts w:cs="Calibri" w:ascii="Calibri" w:hAnsi="Calibri"/>
              </w:rPr>
              <w:t>Accuracy of spike inference as a function of spike rate.</w:t>
            </w:r>
          </w:p>
          <w:p>
            <w:pPr>
              <w:pStyle w:val="ListParagraph"/>
              <w:numPr>
                <w:ilvl w:val="0"/>
                <w:numId w:val="1"/>
              </w:numPr>
              <w:spacing w:before="0" w:after="120"/>
              <w:contextualSpacing/>
              <w:jc w:val="both"/>
              <w:rPr>
                <w:rFonts w:ascii="Calibri" w:hAnsi="Calibri" w:cs="Calibri"/>
              </w:rPr>
            </w:pPr>
            <w:r>
              <w:rPr>
                <w:rFonts w:cs="Calibri" w:ascii="Calibri" w:hAnsi="Calibri"/>
              </w:rPr>
              <w:t>Average fluorescence signal over time for three neural firing rates.</w:t>
            </w:r>
          </w:p>
        </w:tc>
      </w:tr>
    </w:tbl>
    <w:p>
      <w:pPr>
        <w:pStyle w:val="Normal"/>
        <w:spacing w:lineRule="auto" w:line="360" w:before="0" w:after="120"/>
        <w:jc w:val="both"/>
        <w:rPr>
          <w:rFonts w:ascii="Calibri" w:hAnsi="Calibri" w:cs="Calibri"/>
          <w:b/>
          <w:b/>
        </w:rPr>
      </w:pPr>
      <w:r>
        <w:rPr>
          <w:rFonts w:cs="Calibri" w:ascii="Calibri" w:hAnsi="Calibri"/>
          <w:b/>
        </w:rPr>
      </w:r>
    </w:p>
    <w:p>
      <w:pPr>
        <w:pStyle w:val="Normal"/>
        <w:spacing w:lineRule="auto" w:line="360" w:before="0" w:after="120"/>
        <w:jc w:val="both"/>
        <w:rPr>
          <w:rFonts w:ascii="Calibri" w:hAnsi="Calibri" w:cs="Calibri"/>
          <w:b/>
          <w:b/>
        </w:rPr>
      </w:pPr>
      <w:r>
        <w:rPr>
          <w:rFonts w:cs="Calibri" w:ascii="Calibri" w:hAnsi="Calibri"/>
          <w:b/>
        </w:rPr>
        <w:t>Discussion</w:t>
      </w:r>
    </w:p>
    <w:p>
      <w:pPr>
        <w:pStyle w:val="Normal"/>
        <w:spacing w:lineRule="auto" w:line="360" w:before="0" w:after="120"/>
        <w:jc w:val="both"/>
        <w:rPr/>
      </w:pPr>
      <w:r>
        <w:rPr>
          <w:rFonts w:cs="Calibri" w:ascii="Calibri" w:hAnsi="Calibri"/>
          <w:bCs/>
        </w:rPr>
        <w:t>[Para recapping what we did and what we found]</w:t>
      </w:r>
    </w:p>
    <w:p>
      <w:pPr>
        <w:pStyle w:val="Normal"/>
        <w:spacing w:lineRule="auto" w:line="360" w:before="0" w:after="120"/>
        <w:jc w:val="both"/>
        <w:rPr/>
      </w:pPr>
      <w:r>
        <w:rPr>
          <w:rFonts w:cs="Calibri" w:ascii="Calibri" w:hAnsi="Calibri"/>
          <w:bCs/>
        </w:rPr>
        <w:t xml:space="preserve">We designed a biophysical model for the changes in free calcium and bound calcium concentrations within a cell soma with a fluorescent calcium indicator. We used this model to model the fluorescence trace resulting from a spike train in this cell. </w:t>
      </w:r>
    </w:p>
    <w:p>
      <w:pPr>
        <w:pStyle w:val="Normal"/>
        <w:spacing w:lineRule="auto" w:line="360" w:before="0" w:after="120"/>
        <w:jc w:val="both"/>
        <w:rPr/>
      </w:pPr>
      <w:r>
        <w:rPr>
          <w:rFonts w:cs="Calibri" w:ascii="Calibri" w:hAnsi="Calibri"/>
          <w:bCs/>
        </w:rPr>
        <w:t xml:space="preserve">We fit the free parameters of the model by matching the power spectrum and amplitude of fluorescence traces with simultaneously measured spike trains. </w:t>
      </w:r>
    </w:p>
    <w:p>
      <w:pPr>
        <w:pStyle w:val="Normal"/>
        <w:spacing w:lineRule="auto" w:line="360" w:before="0" w:after="120"/>
        <w:jc w:val="both"/>
        <w:rPr/>
      </w:pPr>
      <w:r>
        <w:rPr>
          <w:rFonts w:cs="Calibri" w:ascii="Calibri" w:hAnsi="Calibri"/>
          <w:bCs/>
        </w:rPr>
        <w:t>We inferred spikes from real fluorescence traces and modelled fluorescence traces, and measured the quality of the spike inference in both cases. We found that the spike inference quality was similar in both cases.</w:t>
      </w:r>
    </w:p>
    <w:p>
      <w:pPr>
        <w:pStyle w:val="Normal"/>
        <w:spacing w:lineRule="auto" w:line="360" w:before="0" w:after="120"/>
        <w:jc w:val="both"/>
        <w:rPr/>
      </w:pPr>
      <w:r>
        <w:rPr>
          <w:rFonts w:cs="Calibri" w:ascii="Calibri" w:hAnsi="Calibri"/>
          <w:bCs/>
        </w:rPr>
        <w:t xml:space="preserve">We perturbed the concentration of the calcium buffers in the model, and the binding/unbinding rates of those buffers in the model, and measured the effect on the signal-to-noise ratio (SNR) of the modelled fluorescence traces and the spike inference quality. </w:t>
      </w:r>
    </w:p>
    <w:p>
      <w:pPr>
        <w:pStyle w:val="Normal"/>
        <w:spacing w:lineRule="auto" w:line="360" w:before="0" w:after="120"/>
        <w:jc w:val="both"/>
        <w:rPr/>
      </w:pPr>
      <w:r>
        <w:rPr>
          <w:rFonts w:cs="Calibri" w:ascii="Calibri" w:hAnsi="Calibri"/>
          <w:bCs/>
        </w:rPr>
        <w:t>[Para commenting on possible explanations for the effects from varying model parameters]</w:t>
      </w:r>
    </w:p>
    <w:p>
      <w:pPr>
        <w:pStyle w:val="Normal"/>
        <w:spacing w:lineRule="auto" w:line="360" w:before="0" w:after="120"/>
        <w:jc w:val="both"/>
        <w:rPr/>
      </w:pPr>
      <w:r>
        <w:rPr>
          <w:rFonts w:cs="Calibri" w:ascii="Calibri" w:hAnsi="Calibri"/>
          <w:bCs/>
        </w:rPr>
        <w:t xml:space="preserve">For the fluorescent calcium indicator, we found that any large perturbation away from the experimental value led to a reduction in SNR, and spike inference quality. For the binding/unbinding rates, we kept the ratio of these rates constant, but altered their values in parallel. The lower values caused a reduction in SNR, and a reduction in spike inference quality. For the endogenous buffer concentration, an increase above the experimental value caused a reduction in SNR and spike inference quality. </w:t>
      </w:r>
    </w:p>
    <w:p>
      <w:pPr>
        <w:pStyle w:val="Normal"/>
        <w:spacing w:lineRule="auto" w:line="360" w:before="0" w:after="120"/>
        <w:jc w:val="both"/>
        <w:rPr/>
      </w:pPr>
      <w:r>
        <w:rPr>
          <w:rFonts w:cs="Calibri" w:ascii="Calibri" w:hAnsi="Calibri"/>
          <w:bCs/>
        </w:rPr>
        <w:t>[Para commenting on possibility of developing firing rate inference algorithms for high-firing rate cells where individual spike inference is not feasible. The challenge is how to calibrate them?]</w:t>
      </w:r>
    </w:p>
    <w:p>
      <w:pPr>
        <w:pStyle w:val="Normal"/>
        <w:spacing w:lineRule="auto" w:line="360" w:before="0" w:after="120"/>
        <w:jc w:val="both"/>
        <w:rPr/>
      </w:pPr>
      <w:r>
        <w:rPr>
          <w:rFonts w:cs="Calibri" w:ascii="Calibri" w:hAnsi="Calibri"/>
          <w:bCs/>
        </w:rPr>
        <w:t>Although the model produced visually similar time series to the real data, there were a few aspects it did not capture. First, the real data featured some low-frequency components that did not appear related to the spike events. These were not captured by the models we used in this study, but could be added in future by adding a suitable low-frequency term to the resulting time series. Second, the real data seemed to have some nonlinearities not captured in the model, for example the response to two nearby spikes was greater than expected from the linear sum of two single spikes. This may be due to the co-operative binding of Calmodulin to calcium, which gives calmodulin a supra-linear sensitivity to calcium concentration. The model, in contrast behaved much more linearly, but could be extended in future to include such nonlinearities. Third, in the real data the fluorescence peak amplitude seemed to vary from spike to spike, even well-isolated spike events. However in our model we assumed each spike lead to the same fixed-amplitude injection of calcium to the cell, leading to much greater regularity in fluorescence peak amplitudes. This variability could be added in future version of the model by making the injected calcium peak a random variable. Fourth, we modelled the soma as a single compartment, but in reality there is likely a non-uniform spatial profile of calcium concentration. This may matter because some endogenous buffers might access calcium right as it influxes from the extracellular space, whereas the fluorescence signal is more likely majority coming from the bulk of the cytoplasm. Future models could attempt to model these spatial dependencies to assess whether they affect the overall spike inference procedure.</w:t>
      </w:r>
    </w:p>
    <w:p>
      <w:pPr>
        <w:pStyle w:val="Normal"/>
        <w:spacing w:lineRule="auto" w:line="360" w:before="0" w:after="120"/>
        <w:jc w:val="both"/>
        <w:rPr>
          <w:rFonts w:ascii="Calibri" w:hAnsi="Calibri" w:cs="Calibri"/>
          <w:bCs/>
        </w:rPr>
      </w:pPr>
      <w:r>
        <w:rPr>
          <w:rFonts w:cs="Calibri" w:ascii="Calibri" w:hAnsi="Calibri"/>
          <w:bCs/>
        </w:rPr>
        <w:t>[Para commenting on recent Jason kerr group paper, Pillow and Tank paper]</w:t>
      </w:r>
    </w:p>
    <w:p>
      <w:pPr>
        <w:pStyle w:val="Normal"/>
        <w:spacing w:lineRule="auto" w:line="360" w:before="0" w:after="120"/>
        <w:jc w:val="both"/>
        <w:rPr>
          <w:rFonts w:ascii="Calibri" w:hAnsi="Calibri" w:cs="Calibri"/>
          <w:bCs/>
        </w:rPr>
      </w:pPr>
      <w:r>
        <w:rPr>
          <w:rFonts w:cs="Calibri" w:ascii="Calibri" w:hAnsi="Calibri"/>
          <w:bCs/>
        </w:rPr>
        <w:t>[Para exploring the idea of the model as a tool, with suggestions for how it could be used as part of an experimental project.]</w:t>
      </w:r>
    </w:p>
    <w:p>
      <w:pPr>
        <w:pStyle w:val="Normal"/>
        <w:spacing w:lineRule="auto" w:line="360" w:before="0" w:after="120"/>
        <w:jc w:val="both"/>
        <w:rPr/>
      </w:pPr>
      <w:r>
        <w:rPr>
          <w:rFonts w:cs="Calibri" w:ascii="Calibri" w:hAnsi="Calibri"/>
          <w:bCs/>
        </w:rPr>
        <w:t>[Para exploring how model could be used for future development of spike inference algorithms and genetically encoded calcium indicators]</w:t>
      </w:r>
    </w:p>
    <w:p>
      <w:pPr>
        <w:pStyle w:val="Normal"/>
        <w:spacing w:lineRule="auto" w:line="360" w:before="0" w:after="120"/>
        <w:jc w:val="both"/>
        <w:rPr>
          <w:b w:val="false"/>
          <w:b w:val="false"/>
          <w:bCs w:val="false"/>
        </w:rPr>
      </w:pPr>
      <w:r>
        <w:rPr>
          <w:rFonts w:cs="Calibri" w:ascii="Calibri" w:hAnsi="Calibri"/>
          <w:b w:val="false"/>
          <w:bCs w:val="false"/>
        </w:rPr>
        <w:t xml:space="preserve">As well as the optimised parameters, the model has 14 fixed parameters than can be changed to simulate different types of calcium indicators. This model could be used to test the theoretical performance of proposed new types of calcium indicator. </w:t>
      </w:r>
    </w:p>
    <w:p>
      <w:pPr>
        <w:pStyle w:val="Normal"/>
        <w:spacing w:lineRule="auto" w:line="360" w:before="0" w:after="120"/>
        <w:jc w:val="both"/>
        <w:rPr>
          <w:b w:val="false"/>
          <w:b w:val="false"/>
          <w:bCs w:val="false"/>
        </w:rPr>
      </w:pPr>
      <w:r>
        <w:rPr>
          <w:rFonts w:cs="Calibri" w:ascii="Calibri" w:hAnsi="Calibri"/>
          <w:b w:val="false"/>
          <w:bCs w:val="false"/>
        </w:rPr>
        <w:t xml:space="preserve">The model could also be used by developers of spike inference algorithms to test the effects of changing calcium indicator parameters on spike inference, or to test the affects of changing spiking characteristics on spike inference. For example, high firing rate vs low firing rate, or bursting vs no bursting. </w:t>
      </w:r>
      <w:r>
        <w:br w:type="page"/>
      </w:r>
    </w:p>
    <w:p>
      <w:pPr>
        <w:pStyle w:val="Normal"/>
        <w:spacing w:lineRule="auto" w:line="360" w:before="0" w:after="120"/>
        <w:jc w:val="both"/>
        <w:rPr/>
      </w:pPr>
      <w:r>
        <w:rPr>
          <w:rFonts w:cs="Calibri" w:ascii="Calibri" w:hAnsi="Calibri"/>
          <w:b/>
        </w:rPr>
        <w:t>Methods</w:t>
      </w:r>
    </w:p>
    <w:p>
      <w:pPr>
        <w:pStyle w:val="Normal"/>
        <w:spacing w:lineRule="auto" w:line="360" w:before="0" w:after="120"/>
        <w:jc w:val="both"/>
        <w:rPr/>
      </w:pPr>
      <w:r>
        <w:rPr>
          <w:rFonts w:cs="Calibri" w:ascii="Calibri" w:hAnsi="Calibri"/>
          <w:b/>
        </w:rPr>
        <w:t>1. The Calcium Dynamics Model</w:t>
      </w:r>
    </w:p>
    <w:p>
      <w:pPr>
        <w:pStyle w:val="Normal"/>
        <w:spacing w:lineRule="auto" w:line="360" w:before="0" w:after="120"/>
        <w:jc w:val="both"/>
        <w:rPr>
          <w:b w:val="false"/>
          <w:b w:val="false"/>
          <w:bCs w:val="false"/>
        </w:rPr>
      </w:pPr>
      <w:r>
        <w:rPr>
          <w:rFonts w:cs="Calibri" w:ascii="Calibri" w:hAnsi="Calibri"/>
          <w:b w:val="false"/>
          <w:bCs w:val="false"/>
        </w:rPr>
        <w:t>We wrote a biophysical model of the calcium dynamics within a cell soma. When a neuron fires an action potential, voltage-dependent calcium ion-channels open up that allow a current of Ca</w:t>
      </w:r>
      <w:r>
        <w:rPr>
          <w:rFonts w:cs="Calibri" w:ascii="Calibri" w:hAnsi="Calibri"/>
          <w:b w:val="false"/>
          <w:bCs w:val="false"/>
          <w:vertAlign w:val="superscript"/>
        </w:rPr>
        <w:t>2+</w:t>
      </w:r>
      <w:r>
        <w:rPr>
          <w:rFonts w:cs="Calibri" w:ascii="Calibri" w:hAnsi="Calibri"/>
          <w:b w:val="false"/>
          <w:bCs w:val="false"/>
        </w:rPr>
        <w:t xml:space="preserve"> to flow into the neuron [2]. The increase in the free calcium ion concentration inside of the cell, along with changes in the concentration of potassium and sodium, causes the change in cell membrane potential, which must be depolarised. The depolarising process consists of free calcium ions leaving the cell through open ion channels, or binding to molecules within the cell called buffers, or calcium storage by organelles such as the endoplasmic reticulum. A diagram illustrating the cell, its channels, and its buffers can be seen in figure 8. There are several different types of calcium buffer, each with different dynamics and different concentrations within different types of excitable cell. The fluorescent calcium indicator is another calcium buffer, with the useful property that when it is bound to a calcium ion, the bound molecule may become excited by a photon and release a photon in return. This is what creates the fluorescence. After the action potential has taken place, the free calcium concentration within the cell will return to a baseline level [1].</w:t>
      </w:r>
    </w:p>
    <w:p>
      <w:pPr>
        <w:pStyle w:val="Normal"/>
        <w:spacing w:lineRule="auto" w:line="360" w:before="0" w:after="120"/>
        <w:jc w:val="both"/>
        <w:rPr>
          <w:rFonts w:ascii="Calibri" w:hAnsi="Calibri" w:cs="Calibri"/>
        </w:rPr>
      </w:pPr>
      <w:r>
        <w:rPr>
          <w:rFonts w:cs="Calibri" w:ascii="Calibri" w:hAnsi="Calibri"/>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2145" cy="4527550"/>
                <wp:effectExtent l="0" t="0" r="0" b="0"/>
                <wp:wrapSquare wrapText="largest"/>
                <wp:docPr id="9" name="Frame1"/>
                <a:graphic xmlns:a="http://schemas.openxmlformats.org/drawingml/2006/main">
                  <a:graphicData uri="http://schemas.microsoft.com/office/word/2010/wordprocessingShape">
                    <wps:wsp>
                      <wps:cNvSpPr/>
                      <wps:spPr>
                        <a:xfrm>
                          <a:off x="0" y="0"/>
                          <a:ext cx="5731560" cy="4527000"/>
                        </a:xfrm>
                        <a:prstGeom prst="rect">
                          <a:avLst/>
                        </a:prstGeom>
                        <a:noFill/>
                        <a:ln w="720">
                          <a:solidFill>
                            <a:srgbClr val="000000"/>
                          </a:solidFill>
                          <a:round/>
                        </a:ln>
                      </wps:spPr>
                      <wps:style>
                        <a:lnRef idx="0"/>
                        <a:fillRef idx="0"/>
                        <a:effectRef idx="0"/>
                        <a:fontRef idx="minor"/>
                      </wps:style>
                      <wps:txbx>
                        <w:txbxContent>
                          <w:p>
                            <w:pPr>
                              <w:pStyle w:val="Caption"/>
                              <w:suppressLineNumbers/>
                              <w:spacing w:before="120" w:after="120"/>
                              <w:rPr/>
                            </w:pPr>
                            <w:r>
                              <w:rPr/>
                              <w:drawing>
                                <wp:inline distT="0" distB="0" distL="0" distR="0">
                                  <wp:extent cx="5694680" cy="403034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0"/>
                                          <a:stretch>
                                            <a:fillRect/>
                                          </a:stretch>
                                        </pic:blipFill>
                                        <pic:spPr bwMode="auto">
                                          <a:xfrm>
                                            <a:off x="0" y="0"/>
                                            <a:ext cx="5694680" cy="4030345"/>
                                          </a:xfrm>
                                          <a:prstGeom prst="rect">
                                            <a:avLst/>
                                          </a:prstGeom>
                                        </pic:spPr>
                                      </pic:pic>
                                    </a:graphicData>
                                  </a:graphic>
                                </wp:inline>
                              </w:drawing>
                            </w:r>
                            <w:r>
                              <w:rPr>
                                <w:vanish/>
                              </w:rPr>
                              <w:br/>
                            </w:r>
                            <w:r>
                              <w:rPr>
                                <w:b/>
                                <w:bCs/>
                                <w:i w:val="false"/>
                                <w:iCs w:val="false"/>
                              </w:rPr>
                              <w:t>Figure 8.</w:t>
                            </w:r>
                            <w:r>
                              <w:rPr>
                                <w:i w:val="false"/>
                                <w:iCs w:val="false"/>
                              </w:rPr>
                              <w:t xml:space="preserve"> A diagram showing the methods by which Ca 2+ can enter the cell, leave thecell, and become ‘buffered’.</w:t>
                            </w:r>
                          </w:p>
                        </w:txbxContent>
                      </wps:txbx>
                      <wps:bodyPr lIns="90000" rIns="90000" tIns="45000" bIns="45000">
                        <a:noAutofit/>
                      </wps:bodyPr>
                    </wps:wsp>
                  </a:graphicData>
                </a:graphic>
              </wp:anchor>
            </w:drawing>
          </mc:Choice>
          <mc:Fallback>
            <w:pict>
              <v:rect id="shape_0" ID="Frame1" stroked="t" style="position:absolute;margin-left:0pt;margin-top:0.05pt;width:451.25pt;height:356.4pt;mso-position-horizontal:center">
                <w10:wrap type="square"/>
                <v:fill o:detectmouseclick="t" on="false"/>
                <v:stroke color="black" weight="720" joinstyle="round" endcap="flat"/>
                <v:textbox>
                  <w:txbxContent>
                    <w:p>
                      <w:pPr>
                        <w:pStyle w:val="Caption"/>
                        <w:suppressLineNumbers/>
                        <w:spacing w:before="120" w:after="120"/>
                        <w:rPr/>
                      </w:pPr>
                      <w:r>
                        <w:rPr/>
                        <w:drawing>
                          <wp:inline distT="0" distB="0" distL="0" distR="0">
                            <wp:extent cx="5694680" cy="403034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0"/>
                                    <a:stretch>
                                      <a:fillRect/>
                                    </a:stretch>
                                  </pic:blipFill>
                                  <pic:spPr bwMode="auto">
                                    <a:xfrm>
                                      <a:off x="0" y="0"/>
                                      <a:ext cx="5694680" cy="4030345"/>
                                    </a:xfrm>
                                    <a:prstGeom prst="rect">
                                      <a:avLst/>
                                    </a:prstGeom>
                                  </pic:spPr>
                                </pic:pic>
                              </a:graphicData>
                            </a:graphic>
                          </wp:inline>
                        </w:drawing>
                      </w:r>
                      <w:r>
                        <w:rPr>
                          <w:vanish/>
                        </w:rPr>
                        <w:br/>
                      </w:r>
                      <w:r>
                        <w:rPr>
                          <w:b/>
                          <w:bCs/>
                          <w:i w:val="false"/>
                          <w:iCs w:val="false"/>
                        </w:rPr>
                        <w:t>Figure 8.</w:t>
                      </w:r>
                      <w:r>
                        <w:rPr>
                          <w:i w:val="false"/>
                          <w:iCs w:val="false"/>
                        </w:rPr>
                        <w:t xml:space="preserve"> A diagram showing the methods by which Ca 2+ can enter the cell, leave thecell, and become ‘buffered’.</w:t>
                      </w:r>
                    </w:p>
                  </w:txbxContent>
                </v:textbox>
              </v:rect>
            </w:pict>
          </mc:Fallback>
        </mc:AlternateContent>
      </w:r>
    </w:p>
    <w:p>
      <w:pPr>
        <w:pStyle w:val="Normal"/>
        <w:spacing w:lineRule="auto" w:line="360" w:before="0" w:after="120"/>
        <w:jc w:val="both"/>
        <w:rPr>
          <w:b w:val="false"/>
          <w:b w:val="false"/>
          <w:bCs w:val="false"/>
        </w:rPr>
      </w:pPr>
      <w:r>
        <w:rPr>
          <w:rFonts w:cs="Calibri" w:ascii="Calibri" w:hAnsi="Calibri"/>
          <w:b w:val="false"/>
          <w:bCs w:val="false"/>
        </w:rPr>
        <w:t>We modelled the the dynamics of five molecular concentrations,</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Free calcium ion concentration, </w:t>
      </w:r>
      <w:r>
        <w:rPr>
          <w:rFonts w:cs="Calibri" w:ascii="Calibri" w:hAnsi="Calibri"/>
          <w:b w:val="false"/>
          <w:bCs w:val="false"/>
          <w:i/>
          <w:iCs/>
        </w:rPr>
        <w:t>[Ca</w:t>
      </w:r>
      <w:r>
        <w:rPr>
          <w:rFonts w:cs="Calibri" w:ascii="Calibri" w:hAnsi="Calibri"/>
          <w:b w:val="false"/>
          <w:bCs w:val="false"/>
          <w:i/>
          <w:iCs/>
          <w:vertAlign w:val="superscript"/>
        </w:rPr>
        <w:t>2+</w:t>
      </w:r>
      <w:r>
        <w:rPr>
          <w:rFonts w:cs="Calibri" w:ascii="Calibri" w:hAnsi="Calibri"/>
          <w:b w:val="false"/>
          <w:bCs w:val="false"/>
          <w:i/>
          <w:iCs/>
        </w:rPr>
        <w:t>]</w:t>
      </w:r>
      <w:r>
        <w:rPr>
          <w:rFonts w:cs="Calibri" w:ascii="Calibri" w:hAnsi="Calibri"/>
          <w:b w:val="false"/>
          <w:bCs w:val="false"/>
        </w:rPr>
        <w:t>,</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Fluorescent indicator bound calcium, </w:t>
      </w:r>
      <w:r>
        <w:rPr>
          <w:rFonts w:cs="Calibri" w:ascii="Calibri" w:hAnsi="Calibri"/>
          <w:b w:val="false"/>
          <w:bCs w:val="false"/>
          <w:i/>
          <w:iCs/>
        </w:rPr>
        <w:t>[BCa]</w:t>
      </w:r>
      <w:r>
        <w:rPr>
          <w:rFonts w:cs="Calibri" w:ascii="Calibri" w:hAnsi="Calibri"/>
          <w:b w:val="false"/>
          <w:bCs w:val="false"/>
        </w:rPr>
        <w:t>,</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Endogenous mobile buffer bound calcium, </w:t>
      </w:r>
      <w:r>
        <w:rPr>
          <w:rFonts w:cs="Calibri" w:ascii="Calibri" w:hAnsi="Calibri"/>
          <w:b w:val="false"/>
          <w:bCs w:val="false"/>
          <w:i/>
          <w:iCs/>
        </w:rPr>
        <w:t>[ECa]</w:t>
      </w:r>
      <w:r>
        <w:rPr>
          <w:rFonts w:cs="Calibri" w:ascii="Calibri" w:hAnsi="Calibri"/>
          <w:b w:val="false"/>
          <w:bCs w:val="false"/>
        </w:rPr>
        <w:t>,</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Endogenous immobile buffer bound calcium, </w:t>
      </w:r>
      <w:r>
        <w:rPr>
          <w:rFonts w:cs="Calibri" w:ascii="Calibri" w:hAnsi="Calibri"/>
          <w:b w:val="false"/>
          <w:bCs w:val="false"/>
          <w:i/>
          <w:iCs/>
        </w:rPr>
        <w:t>[ImCa]</w:t>
      </w:r>
      <w:r>
        <w:rPr>
          <w:rFonts w:cs="Calibri" w:ascii="Calibri" w:hAnsi="Calibri"/>
          <w:b w:val="false"/>
          <w:bCs w:val="false"/>
        </w:rPr>
        <w:t>,</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Excited buffered calcium, </w:t>
      </w:r>
      <w:r>
        <w:rPr>
          <w:rFonts w:cs="Calibri" w:ascii="Calibri" w:hAnsi="Calibri"/>
          <w:b w:val="false"/>
          <w:bCs w:val="false"/>
          <w:i/>
          <w:iCs/>
        </w:rPr>
        <w:t>[Bca</w:t>
      </w:r>
      <w:r>
        <w:rPr>
          <w:rFonts w:cs="Calibri" w:ascii="Calibri" w:hAnsi="Calibri"/>
          <w:b w:val="false"/>
          <w:bCs w:val="false"/>
          <w:i/>
          <w:iCs/>
          <w:vertAlign w:val="superscript"/>
        </w:rPr>
        <w:t>∗</w:t>
      </w:r>
      <w:r>
        <w:rPr>
          <w:rFonts w:cs="Calibri" w:ascii="Calibri" w:hAnsi="Calibri"/>
          <w:b w:val="false"/>
          <w:bCs w:val="false"/>
          <w:i/>
          <w:iCs/>
        </w:rPr>
        <w:t>]</w:t>
      </w:r>
      <w:r>
        <w:rPr>
          <w:rFonts w:cs="Calibri" w:ascii="Calibri" w:hAnsi="Calibri"/>
          <w:b w:val="false"/>
          <w:bCs w:val="false"/>
        </w:rPr>
        <w:t>.</w:t>
      </w:r>
    </w:p>
    <w:p>
      <w:pPr>
        <w:pStyle w:val="Normal"/>
        <w:spacing w:lineRule="auto" w:line="360" w:before="0" w:after="120"/>
        <w:jc w:val="both"/>
        <w:rPr>
          <w:b w:val="false"/>
          <w:b w:val="false"/>
          <w:bCs w:val="false"/>
        </w:rPr>
      </w:pPr>
      <w:r>
        <w:rPr>
          <w:rFonts w:cs="Calibri" w:ascii="Calibri" w:hAnsi="Calibri"/>
          <w:b w:val="false"/>
          <w:bCs w:val="false"/>
        </w:rPr>
        <w:t>The term ‘buffering’ refers to free calcium ions coming into contact with buffer</w:t>
      </w:r>
    </w:p>
    <w:p>
      <w:pPr>
        <w:pStyle w:val="Normal"/>
        <w:spacing w:lineRule="auto" w:line="360" w:before="0" w:after="120"/>
        <w:jc w:val="both"/>
        <w:rPr>
          <w:b w:val="false"/>
          <w:b w:val="false"/>
          <w:bCs w:val="false"/>
        </w:rPr>
      </w:pPr>
      <w:r>
        <w:rPr>
          <w:rFonts w:cs="Calibri" w:ascii="Calibri" w:hAnsi="Calibri"/>
          <w:b w:val="false"/>
          <w:bCs w:val="false"/>
        </w:rPr>
        <w:t>molecules and binding together. Diagrammatically:</w:t>
      </w:r>
    </w:p>
    <w:p>
      <w:pPr>
        <w:pStyle w:val="Normal"/>
        <w:spacing w:lineRule="auto" w:line="360" w:before="0" w:after="120"/>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114550" cy="54292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1"/>
                    <a:stretch>
                      <a:fillRect/>
                    </a:stretch>
                  </pic:blipFill>
                  <pic:spPr bwMode="auto">
                    <a:xfrm>
                      <a:off x="0" y="0"/>
                      <a:ext cx="2114550" cy="542925"/>
                    </a:xfrm>
                    <a:prstGeom prst="rect">
                      <a:avLst/>
                    </a:prstGeom>
                  </pic:spPr>
                </pic:pic>
              </a:graphicData>
            </a:graphic>
          </wp:anchor>
        </w:drawing>
      </w:r>
    </w:p>
    <w:p>
      <w:pPr>
        <w:pStyle w:val="Normal"/>
        <w:spacing w:lineRule="auto" w:line="360" w:before="0" w:after="120"/>
        <w:jc w:val="both"/>
        <w:rPr>
          <w:b w:val="false"/>
          <w:b w:val="false"/>
          <w:bCs w:val="false"/>
        </w:rPr>
      </w:pPr>
      <w:r>
        <w:rPr>
          <w:b w:val="false"/>
          <w:bCs w:val="false"/>
        </w:rPr>
      </w:r>
    </w:p>
    <w:p>
      <w:pPr>
        <w:pStyle w:val="Normal"/>
        <w:spacing w:lineRule="auto" w:line="360" w:before="0" w:after="120"/>
        <w:jc w:val="both"/>
        <w:rPr>
          <w:rFonts w:ascii="Calibri" w:hAnsi="Calibri" w:eastAsia="Times New Roman" w:cs="Calibri"/>
          <w:b w:val="false"/>
          <w:b w:val="false"/>
          <w:bCs w:val="false"/>
        </w:rPr>
      </w:pPr>
      <w:r>
        <w:rPr>
          <w:rFonts w:eastAsia="Times New Roman" w:cs="Calibri" w:ascii="Calibri" w:hAnsi="Calibri"/>
          <w:b w:val="false"/>
          <w:bCs w:val="false"/>
        </w:rPr>
        <w:t xml:space="preserve">where </w:t>
      </w:r>
      <w:r>
        <w:rPr>
          <w:rFonts w:eastAsia="Times New Roman" w:cs="Calibri" w:ascii="Calibri" w:hAnsi="Calibri"/>
          <w:b w:val="false"/>
          <w:bCs w:val="false"/>
          <w:i/>
          <w:iCs/>
        </w:rPr>
        <w:t>[X]</w:t>
      </w:r>
      <w:r>
        <w:rPr>
          <w:rFonts w:eastAsia="Times New Roman" w:cs="Calibri" w:ascii="Calibri" w:hAnsi="Calibri"/>
          <w:b w:val="false"/>
          <w:bCs w:val="false"/>
        </w:rPr>
        <w:t xml:space="preserve"> represents any buffer molecule, and </w:t>
      </w:r>
      <w:r>
        <w:rPr>
          <w:rFonts w:eastAsia="Times New Roman" w:cs="Calibri" w:ascii="Calibri" w:hAnsi="Calibri"/>
          <w:b w:val="false"/>
          <w:bCs w:val="false"/>
          <w:i/>
          <w:iCs/>
        </w:rPr>
        <w:t>k</w:t>
      </w:r>
      <w:r>
        <w:rPr>
          <w:rFonts w:eastAsia="Times New Roman" w:cs="Calibri" w:ascii="Calibri" w:hAnsi="Calibri"/>
          <w:b w:val="false"/>
          <w:bCs w:val="false"/>
          <w:i/>
          <w:iCs/>
          <w:vertAlign w:val="subscript"/>
        </w:rPr>
        <w:t>Xf</w:t>
      </w:r>
      <w:r>
        <w:rPr>
          <w:rFonts w:eastAsia="Times New Roman" w:cs="Calibri" w:ascii="Calibri" w:hAnsi="Calibri"/>
          <w:b w:val="false"/>
          <w:bCs w:val="false"/>
        </w:rPr>
        <w:t xml:space="preserve"> and </w:t>
      </w:r>
      <w:r>
        <w:rPr>
          <w:rFonts w:eastAsia="Times New Roman" w:cs="Calibri" w:ascii="Calibri" w:hAnsi="Calibri"/>
          <w:b w:val="false"/>
          <w:bCs w:val="false"/>
          <w:i/>
          <w:iCs/>
        </w:rPr>
        <w:t>k</w:t>
      </w:r>
      <w:r>
        <w:rPr>
          <w:rFonts w:eastAsia="Times New Roman" w:cs="Calibri" w:ascii="Calibri" w:hAnsi="Calibri"/>
          <w:b w:val="false"/>
          <w:bCs w:val="false"/>
          <w:i/>
          <w:iCs/>
          <w:vertAlign w:val="subscript"/>
        </w:rPr>
        <w:t>Xb</w:t>
      </w:r>
      <w:r>
        <w:rPr>
          <w:rFonts w:eastAsia="Times New Roman" w:cs="Calibri" w:ascii="Calibri" w:hAnsi="Calibri"/>
          <w:b w:val="false"/>
          <w:bCs w:val="false"/>
        </w:rPr>
        <w:t xml:space="preserve"> represent the binding and unbinding (dissociation) rates in units of per molar concentration per second (</w:t>
      </w:r>
      <w:r>
        <w:rPr>
          <w:rFonts w:eastAsia="Times New Roman" w:cs="Calibri" w:ascii="Calibri" w:hAnsi="Calibri"/>
          <w:b w:val="false"/>
          <w:bCs w:val="false"/>
          <w:i/>
          <w:iCs/>
        </w:rPr>
        <w:t>M</w:t>
      </w:r>
      <w:r>
        <w:rPr>
          <w:rFonts w:eastAsia="Times New Roman" w:cs="Calibri" w:ascii="Calibri" w:hAnsi="Calibri"/>
          <w:b w:val="false"/>
          <w:bCs w:val="false"/>
          <w:i/>
          <w:iCs/>
          <w:vertAlign w:val="superscript"/>
        </w:rPr>
        <w:t>−1</w:t>
      </w:r>
      <w:r>
        <w:rPr>
          <w:rFonts w:eastAsia="Times New Roman" w:cs="Calibri" w:ascii="Calibri" w:hAnsi="Calibri"/>
          <w:b w:val="false"/>
          <w:bCs w:val="false"/>
          <w:i/>
          <w:iCs/>
        </w:rPr>
        <w:t xml:space="preserve"> s</w:t>
      </w:r>
      <w:r>
        <w:rPr>
          <w:rFonts w:eastAsia="Times New Roman" w:cs="Calibri" w:ascii="Calibri" w:hAnsi="Calibri"/>
          <w:b w:val="false"/>
          <w:bCs w:val="false"/>
          <w:i/>
          <w:iCs/>
          <w:vertAlign w:val="superscript"/>
        </w:rPr>
        <w:t>−1</w:t>
      </w:r>
      <w:r>
        <w:rPr>
          <w:rFonts w:eastAsia="Times New Roman" w:cs="Calibri" w:ascii="Calibri" w:hAnsi="Calibri"/>
          <w:b w:val="false"/>
          <w:bCs w:val="false"/>
        </w:rPr>
        <w:t>) and per second (</w:t>
      </w:r>
      <w:r>
        <w:rPr>
          <w:rFonts w:eastAsia="Times New Roman" w:cs="Calibri" w:ascii="Calibri" w:hAnsi="Calibri"/>
          <w:b w:val="false"/>
          <w:bCs w:val="false"/>
          <w:i/>
          <w:iCs/>
        </w:rPr>
        <w:t>s</w:t>
      </w:r>
      <w:r>
        <w:rPr>
          <w:rFonts w:eastAsia="Times New Roman" w:cs="Calibri" w:ascii="Calibri" w:hAnsi="Calibri"/>
          <w:b w:val="false"/>
          <w:bCs w:val="false"/>
          <w:i/>
          <w:iCs/>
          <w:vertAlign w:val="superscript"/>
        </w:rPr>
        <w:t>−1</w:t>
      </w:r>
      <w:r>
        <w:rPr>
          <w:rFonts w:eastAsia="Times New Roman" w:cs="Calibri" w:ascii="Calibri" w:hAnsi="Calibri"/>
          <w:b w:val="false"/>
          <w:bCs w:val="false"/>
        </w:rPr>
        <w:t>) respectively. The speed of this chemical reaction is determined by the binding and unbinding rates.</w:t>
      </w:r>
    </w:p>
    <w:p>
      <w:pPr>
        <w:pStyle w:val="Normal"/>
        <w:spacing w:lineRule="auto" w:line="360" w:before="0" w:after="120"/>
        <w:jc w:val="both"/>
        <w:rPr>
          <w:rFonts w:ascii="Calibri" w:hAnsi="Calibri" w:eastAsia="Times New Roman" w:cs="Calibri"/>
          <w:b w:val="false"/>
          <w:b w:val="false"/>
          <w:bCs w:val="false"/>
        </w:rPr>
      </w:pPr>
      <w:r>
        <w:rPr>
          <w:rFonts w:eastAsia="Times New Roman" w:cs="Calibri" w:ascii="Calibri" w:hAnsi="Calibri"/>
          <w:b w:val="false"/>
          <w:bCs w:val="false"/>
        </w:rPr>
        <w:t>There are a number different endogenous buffers in any neuron. Which buffers are present, and the buffers’ concentrations vary from cell to cell. In order to capture the effects of mobile and immobile endogenous buffers without introducing several parameters, they were modelled as two buffers. One representing mobile buffers and the other representing immobile buffers. Each with their own binding and unbinding rates.</w:t>
      </w:r>
    </w:p>
    <w:p>
      <w:pPr>
        <w:pStyle w:val="Normal"/>
        <w:spacing w:lineRule="auto" w:line="360" w:before="0" w:after="120"/>
        <w:jc w:val="both"/>
        <w:rPr>
          <w:b w:val="false"/>
          <w:b w:val="false"/>
          <w:bCs w:val="false"/>
        </w:rPr>
      </w:pPr>
      <w:r>
        <w:rPr>
          <w:rFonts w:cs="Calibri" w:ascii="Calibri" w:hAnsi="Calibri"/>
          <w:b w:val="false"/>
          <w:bCs w:val="false"/>
        </w:rPr>
        <w:t xml:space="preserve">The fluorescent calcium indicator behaves similarly to the other calcium buffers. The calcium is buffered by the indicator in the same way. But an indicator bound calcium molecule can become excited by absorbing the energy from a photon. An excited indicator bound calcium molecule can then release a photon to go back to its ‘relaxed’ state. </w:t>
      </w:r>
    </w:p>
    <w:p>
      <w:pPr>
        <w:pStyle w:val="Normal"/>
        <w:spacing w:lineRule="auto" w:line="360" w:before="0" w:after="120"/>
        <w:jc w:val="both"/>
        <w:rPr>
          <w:rFonts w:ascii="Calibri" w:hAnsi="Calibri" w:cs="Calibri"/>
        </w:rPr>
      </w:pPr>
      <w:r>
        <w:rPr>
          <w:rFonts w:cs="Calibri" w:ascii="Calibri" w:hAnsi="Calibri"/>
        </w:rPr>
        <w:drawing>
          <wp:anchor behindDoc="0" distT="0" distB="0" distL="0" distR="0" simplePos="0" locked="0" layoutInCell="1" allowOverlap="1" relativeHeight="4">
            <wp:simplePos x="0" y="0"/>
            <wp:positionH relativeFrom="column">
              <wp:posOffset>1389380</wp:posOffset>
            </wp:positionH>
            <wp:positionV relativeFrom="paragraph">
              <wp:posOffset>-10160</wp:posOffset>
            </wp:positionV>
            <wp:extent cx="3009900" cy="50482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2"/>
                    <a:stretch>
                      <a:fillRect/>
                    </a:stretch>
                  </pic:blipFill>
                  <pic:spPr bwMode="auto">
                    <a:xfrm>
                      <a:off x="0" y="0"/>
                      <a:ext cx="3009900" cy="504825"/>
                    </a:xfrm>
                    <a:prstGeom prst="rect">
                      <a:avLst/>
                    </a:prstGeom>
                  </pic:spPr>
                </pic:pic>
              </a:graphicData>
            </a:graphic>
          </wp:anchor>
        </w:drawing>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b w:val="false"/>
          <w:b w:val="false"/>
          <w:bCs w:val="false"/>
        </w:rPr>
      </w:pPr>
      <w:r>
        <w:rPr>
          <w:rFonts w:cs="Calibri" w:ascii="Calibri" w:hAnsi="Calibri"/>
          <w:b w:val="false"/>
          <w:bCs w:val="false"/>
        </w:rPr>
        <w:t>The released photons are captured by a photon collector. This gives us the fluorescence trace.</w:t>
      </w:r>
    </w:p>
    <w:p>
      <w:pPr>
        <w:pStyle w:val="Normal"/>
        <w:spacing w:lineRule="auto" w:line="360" w:before="0" w:after="120"/>
        <w:jc w:val="both"/>
        <w:rPr>
          <w:b w:val="false"/>
          <w:b w:val="false"/>
          <w:bCs w:val="false"/>
        </w:rPr>
      </w:pPr>
      <w:r>
        <w:rPr>
          <w:rFonts w:cs="Calibri" w:ascii="Calibri" w:hAnsi="Calibri"/>
          <w:b w:val="false"/>
          <w:bCs w:val="false"/>
        </w:rPr>
        <w:t>Ignoring the baseline level of free calcium in a neuron, the system of equations we used to model all of these interactions is as follows:</w:t>
      </w:r>
    </w:p>
    <w:p>
      <w:pPr>
        <w:pStyle w:val="Normal"/>
        <w:spacing w:lineRule="auto" w:line="360" w:before="0" w:after="120"/>
        <w:jc w:val="both"/>
        <w:rPr>
          <w:rFonts w:ascii="Calibri" w:hAnsi="Calibri" w:cs="Calibri"/>
        </w:rPr>
      </w:pPr>
      <w:r>
        <w:rPr>
          <w:rFonts w:cs="Calibri" w:ascii="Calibri" w:hAnsi="Calibri"/>
        </w:rPr>
        <w:drawing>
          <wp:anchor behindDoc="0" distT="0" distB="0" distL="0" distR="0" simplePos="0" locked="0" layoutInCell="1" allowOverlap="1" relativeHeight="5">
            <wp:simplePos x="0" y="0"/>
            <wp:positionH relativeFrom="column">
              <wp:posOffset>346710</wp:posOffset>
            </wp:positionH>
            <wp:positionV relativeFrom="paragraph">
              <wp:posOffset>-119380</wp:posOffset>
            </wp:positionV>
            <wp:extent cx="5591175" cy="352425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3"/>
                    <a:stretch>
                      <a:fillRect/>
                    </a:stretch>
                  </pic:blipFill>
                  <pic:spPr bwMode="auto">
                    <a:xfrm>
                      <a:off x="0" y="0"/>
                      <a:ext cx="5591175" cy="3524250"/>
                    </a:xfrm>
                    <a:prstGeom prst="rect">
                      <a:avLst/>
                    </a:prstGeom>
                  </pic:spPr>
                </pic:pic>
              </a:graphicData>
            </a:graphic>
          </wp:anchor>
        </w:drawing>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b w:val="false"/>
          <w:b w:val="false"/>
          <w:bCs w:val="false"/>
        </w:rPr>
      </w:pPr>
      <w:r>
        <w:rPr>
          <w:rFonts w:cs="Calibri" w:ascii="Calibri" w:hAnsi="Calibri"/>
          <w:b w:val="false"/>
          <w:bCs w:val="false"/>
        </w:rPr>
        <w:t xml:space="preserve">where </w:t>
      </w:r>
      <w:r>
        <w:rPr>
          <w:rFonts w:cs="Calibri" w:ascii="Calibri" w:hAnsi="Calibri"/>
          <w:b w:val="false"/>
          <w:bCs w:val="false"/>
          <w:i/>
          <w:iCs/>
        </w:rPr>
        <w:t>[Ca</w:t>
      </w:r>
      <w:r>
        <w:rPr>
          <w:rFonts w:cs="Calibri" w:ascii="Calibri" w:hAnsi="Calibri"/>
          <w:b w:val="false"/>
          <w:bCs w:val="false"/>
          <w:i/>
          <w:iCs/>
          <w:vertAlign w:val="superscript"/>
        </w:rPr>
        <w:t>2+0</w:t>
      </w:r>
      <w:r>
        <w:rPr>
          <w:rFonts w:cs="Calibri" w:ascii="Calibri" w:hAnsi="Calibri"/>
          <w:b w:val="false"/>
          <w:bCs w:val="false"/>
          <w:i/>
          <w:iCs/>
        </w:rPr>
        <w:t>]</w:t>
      </w:r>
      <w:r>
        <w:rPr>
          <w:rFonts w:cs="Calibri" w:ascii="Calibri" w:hAnsi="Calibri"/>
          <w:b w:val="false"/>
          <w:bCs w:val="false"/>
        </w:rPr>
        <w:t xml:space="preserve"> is the baseline calcium concentration within the cell soma, </w:t>
      </w:r>
      <w:r>
        <w:rPr>
          <w:rFonts w:cs="Calibri" w:ascii="Calibri" w:hAnsi="Calibri"/>
          <w:b w:val="false"/>
          <w:bCs w:val="false"/>
          <w:i/>
          <w:iCs/>
        </w:rPr>
        <w:t>β</w:t>
      </w:r>
      <w:r>
        <w:rPr>
          <w:rFonts w:cs="Calibri" w:ascii="Calibri" w:hAnsi="Calibri"/>
          <w:b w:val="false"/>
          <w:bCs w:val="false"/>
        </w:rPr>
        <w:t xml:space="preserve"> is a rate defining how quickly free calcium enters or leaves the cell in the absence of an action potential, </w:t>
      </w:r>
      <w:r>
        <w:rPr>
          <w:rFonts w:cs="Calibri" w:ascii="Calibri" w:hAnsi="Calibri"/>
          <w:b w:val="false"/>
          <w:bCs w:val="false"/>
          <w:i/>
          <w:iCs/>
        </w:rPr>
        <w:t>e</w:t>
      </w:r>
      <w:r>
        <w:rPr>
          <w:rFonts w:cs="Calibri" w:ascii="Calibri" w:hAnsi="Calibri"/>
          <w:b w:val="false"/>
          <w:bCs w:val="false"/>
        </w:rPr>
        <w:t xml:space="preserve"> is the excitation rate for indicator bound calcium, </w:t>
      </w:r>
      <w:r>
        <w:rPr>
          <w:rFonts w:cs="Calibri" w:ascii="Calibri" w:hAnsi="Calibri"/>
          <w:b w:val="false"/>
          <w:bCs w:val="false"/>
          <w:i/>
          <w:iCs/>
        </w:rPr>
        <w:t>r</w:t>
      </w:r>
      <w:r>
        <w:rPr>
          <w:rFonts w:cs="Calibri" w:ascii="Calibri" w:hAnsi="Calibri"/>
          <w:b w:val="false"/>
          <w:bCs w:val="false"/>
        </w:rPr>
        <w:t xml:space="preserve"> is the photon release rate for the excited indicator bound calcium, and </w:t>
      </w:r>
      <w:r>
        <w:rPr>
          <w:rFonts w:cs="Calibri" w:ascii="Calibri" w:hAnsi="Calibri"/>
          <w:b w:val="false"/>
          <w:bCs w:val="false"/>
          <w:i/>
          <w:iCs/>
        </w:rPr>
        <w:t>f</w:t>
      </w:r>
      <w:r>
        <w:rPr>
          <w:rFonts w:cs="Calibri" w:ascii="Calibri" w:hAnsi="Calibri"/>
          <w:b w:val="false"/>
          <w:bCs w:val="false"/>
        </w:rPr>
        <w:t xml:space="preserve"> and </w:t>
      </w:r>
      <w:r>
        <w:rPr>
          <w:rFonts w:cs="Calibri" w:ascii="Calibri" w:hAnsi="Calibri"/>
          <w:b w:val="false"/>
          <w:bCs w:val="false"/>
          <w:i/>
          <w:iCs/>
        </w:rPr>
        <w:t>b</w:t>
      </w:r>
      <w:r>
        <w:rPr>
          <w:rFonts w:cs="Calibri" w:ascii="Calibri" w:hAnsi="Calibri"/>
          <w:b w:val="false"/>
          <w:bCs w:val="false"/>
        </w:rPr>
        <w:t xml:space="preserve"> are used to indicate the forward and backward rates for chemical reactions respectively .The excitation rate defines the proportion of indicator bound calcium that becomes excited at each time step. The photon release rate defines the proportion of excited indicator bound calcium that releases a photon and returns to its relaxed state at each time step. An action potential is modelled as a discontinuous increase in the free calcium concentration to an appropriate value [1].</w:t>
      </w:r>
    </w:p>
    <w:p>
      <w:pPr>
        <w:pStyle w:val="Normal"/>
        <w:spacing w:lineRule="auto" w:line="360" w:before="0" w:after="120"/>
        <w:jc w:val="both"/>
        <w:rPr>
          <w:b w:val="false"/>
          <w:b w:val="false"/>
          <w:bCs w:val="false"/>
        </w:rPr>
      </w:pPr>
      <w:r>
        <w:rPr>
          <w:rFonts w:cs="Calibri" w:ascii="Calibri" w:hAnsi="Calibri"/>
          <w:b w:val="false"/>
          <w:bCs w:val="false"/>
        </w:rPr>
        <w:t>Note that each of the three pairs of binding and unbinding terms in the first equation has a corresponding pair in one of the subsequent three equations. Binding removes a free calcium molecule and adds a bound calcium molecule, and unbinding does the opposite.</w:t>
      </w:r>
    </w:p>
    <w:p>
      <w:pPr>
        <w:pStyle w:val="Normal"/>
        <w:spacing w:lineRule="auto" w:line="360" w:before="0" w:after="120"/>
        <w:jc w:val="both"/>
        <w:rPr>
          <w:b w:val="false"/>
          <w:b w:val="false"/>
          <w:bCs w:val="false"/>
        </w:rPr>
      </w:pPr>
      <w:r>
        <w:rPr>
          <w:rFonts w:cs="Calibri" w:ascii="Calibri" w:hAnsi="Calibri"/>
          <w:b w:val="false"/>
          <w:bCs w:val="false"/>
        </w:rPr>
        <w:t>When using this model to simulate a fluorescence trace, the system of equations above are first solved over a period of 25s without action potentials. This lets each of the five tracked chemical concentrations reach their steady state. Then we use the given spike train and the parameters to model the fluorescence trace.</w:t>
      </w:r>
    </w:p>
    <w:p>
      <w:pPr>
        <w:pStyle w:val="Normal"/>
        <w:spacing w:lineRule="auto" w:line="360" w:before="0" w:after="120"/>
        <w:jc w:val="both"/>
        <w:rPr>
          <w:b w:val="false"/>
          <w:b w:val="false"/>
          <w:bCs w:val="false"/>
        </w:rPr>
      </w:pPr>
      <w:r>
        <w:rPr>
          <w:rFonts w:cs="Calibri" w:ascii="Calibri" w:hAnsi="Calibri"/>
          <w:b w:val="false"/>
          <w:bCs w:val="false"/>
        </w:rPr>
        <w:t>Note that since the model has no spatial component, the mobile and immobile buffers only differ in their binding and unbinding rates.</w:t>
      </w:r>
    </w:p>
    <w:p>
      <w:pPr>
        <w:pStyle w:val="Normal"/>
        <w:spacing w:lineRule="auto" w:line="360" w:before="0" w:after="120"/>
        <w:jc w:val="both"/>
        <w:rPr>
          <w:b/>
          <w:b/>
          <w:bCs/>
        </w:rPr>
      </w:pPr>
      <w:r>
        <w:rPr>
          <w:rFonts w:cs="Calibri" w:ascii="Calibri" w:hAnsi="Calibri"/>
          <w:b/>
          <w:bCs/>
        </w:rPr>
        <w:t>2. Photon release &amp; capture</w:t>
      </w:r>
    </w:p>
    <w:p>
      <w:pPr>
        <w:pStyle w:val="Normal"/>
        <w:spacing w:lineRule="auto" w:line="360" w:before="0" w:after="120"/>
        <w:jc w:val="both"/>
        <w:rPr>
          <w:b w:val="false"/>
          <w:b w:val="false"/>
          <w:bCs w:val="false"/>
        </w:rPr>
      </w:pPr>
      <w:r>
        <w:rPr>
          <w:rFonts w:cs="Calibri" w:ascii="Calibri" w:hAnsi="Calibri"/>
          <w:b w:val="false"/>
          <w:bCs w:val="false"/>
        </w:rPr>
        <w:t>We used a simple model for the photon release. The number of photons released at each time step was controlled by the number of excited indicator bound calcium molecules in the cell and a parameter called the ‘release rate’. The release rate is an optimised free parameter of the model.</w:t>
      </w:r>
    </w:p>
    <w:p>
      <w:pPr>
        <w:pStyle w:val="Normal"/>
        <w:spacing w:lineRule="auto" w:line="360" w:before="0" w:after="120"/>
        <w:jc w:val="both"/>
        <w:rPr>
          <w:b w:val="false"/>
          <w:b w:val="false"/>
          <w:bCs w:val="false"/>
        </w:rPr>
      </w:pPr>
      <w:r>
        <w:rPr>
          <w:rFonts w:cs="Calibri" w:ascii="Calibri" w:hAnsi="Calibri"/>
          <w:b w:val="false"/>
          <w:bCs w:val="false"/>
        </w:rPr>
        <w:t>As for the photon capture, in two-photon excitation microscopy the photons scattered by the fluorescent indicator get scattered in all directions. Therefore the number of photons detected is stochastic. This made the process for capturing photons the natural source of noise in the system. The number of photons captured, and therefore the intensity of the fluorescence, is modelled using a binomial distribution. The number of photons released was used as the number of trials. The probability of success, or ‘capture rate’ was a free parameter of the model that we optimised.</w:t>
      </w:r>
    </w:p>
    <w:p>
      <w:pPr>
        <w:pStyle w:val="Normal"/>
        <w:spacing w:lineRule="auto" w:line="360" w:before="0" w:after="120"/>
        <w:jc w:val="both"/>
        <w:rPr>
          <w:b/>
          <w:b/>
          <w:bCs/>
        </w:rPr>
      </w:pPr>
      <w:r>
        <w:rPr>
          <w:rFonts w:cs="Calibri" w:ascii="Calibri" w:hAnsi="Calibri"/>
          <w:b/>
          <w:bCs/>
        </w:rPr>
        <w:t>3. Parameter Optimisation</w:t>
      </w:r>
    </w:p>
    <w:p>
      <w:pPr>
        <w:pStyle w:val="Normal"/>
        <w:spacing w:lineRule="auto" w:line="360" w:before="0" w:after="120"/>
        <w:jc w:val="both"/>
        <w:rPr>
          <w:b w:val="false"/>
          <w:b w:val="false"/>
          <w:bCs w:val="false"/>
        </w:rPr>
      </w:pPr>
      <w:r>
        <w:rPr>
          <w:rFonts w:cs="Calibri" w:ascii="Calibri" w:hAnsi="Calibri"/>
          <w:b w:val="false"/>
          <w:bCs w:val="false"/>
        </w:rPr>
        <w:t>The free parameters of the model are as follows:</w:t>
      </w:r>
    </w:p>
    <w:p>
      <w:pPr>
        <w:pStyle w:val="Normal"/>
        <w:spacing w:lineRule="auto" w:line="360" w:before="0" w:after="120"/>
        <w:jc w:val="both"/>
        <w:rPr>
          <w:b w:val="false"/>
          <w:b w:val="false"/>
          <w:bCs w:val="false"/>
        </w:rPr>
      </w:pPr>
      <w:r>
        <w:rPr>
          <w:rFonts w:cs="Calibri" w:ascii="Calibri" w:hAnsi="Calibri"/>
          <w:b/>
          <w:bCs/>
        </w:rPr>
        <w:t>Calcium rate,</w:t>
      </w:r>
      <w:r>
        <w:rPr>
          <w:rFonts w:cs="Calibri" w:ascii="Calibri" w:hAnsi="Calibri"/>
          <w:b w:val="false"/>
          <w:bCs w:val="false"/>
        </w:rPr>
        <w:t xml:space="preserve"> </w:t>
      </w:r>
      <w:r>
        <w:rPr>
          <w:rFonts w:cs="Calibri" w:ascii="Calibri" w:hAnsi="Calibri"/>
          <w:b w:val="false"/>
          <w:bCs w:val="false"/>
          <w:i/>
          <w:iCs/>
        </w:rPr>
        <w:t>β</w:t>
      </w:r>
      <w:r>
        <w:rPr>
          <w:rFonts w:cs="Calibri" w:ascii="Calibri" w:hAnsi="Calibri"/>
          <w:b w:val="false"/>
          <w:bCs w:val="false"/>
        </w:rPr>
        <w:t xml:space="preserve"> Controls how quickly the concentration of free calcium will be driven to the baseline concentration.</w:t>
      </w:r>
    </w:p>
    <w:p>
      <w:pPr>
        <w:pStyle w:val="Normal"/>
        <w:spacing w:lineRule="auto" w:line="360" w:before="0" w:after="120"/>
        <w:jc w:val="both"/>
        <w:rPr>
          <w:b w:val="false"/>
          <w:b w:val="false"/>
          <w:bCs w:val="false"/>
        </w:rPr>
      </w:pPr>
      <w:r>
        <w:rPr>
          <w:rFonts w:cs="Calibri" w:ascii="Calibri" w:hAnsi="Calibri"/>
          <w:b/>
          <w:bCs/>
        </w:rPr>
        <w:t>Capture rate,</w:t>
      </w:r>
      <w:r>
        <w:rPr>
          <w:rFonts w:cs="Calibri" w:ascii="Calibri" w:hAnsi="Calibri"/>
          <w:b w:val="false"/>
          <w:bCs w:val="false"/>
        </w:rPr>
        <w:t xml:space="preserve"> </w:t>
      </w:r>
      <w:r>
        <w:rPr>
          <w:rFonts w:cs="Calibri" w:ascii="Calibri" w:hAnsi="Calibri"/>
          <w:b w:val="false"/>
          <w:bCs w:val="false"/>
          <w:i/>
          <w:iCs/>
        </w:rPr>
        <w:t>p</w:t>
      </w:r>
      <w:r>
        <w:rPr>
          <w:rFonts w:cs="Calibri" w:ascii="Calibri" w:hAnsi="Calibri"/>
          <w:b w:val="false"/>
          <w:bCs w:val="false"/>
        </w:rPr>
        <w:t xml:space="preserve"> The average proportion of photons captured by the photon detector.</w:t>
      </w:r>
    </w:p>
    <w:p>
      <w:pPr>
        <w:pStyle w:val="Normal"/>
        <w:spacing w:lineRule="auto" w:line="360" w:before="0" w:after="120"/>
        <w:jc w:val="both"/>
        <w:rPr>
          <w:b w:val="false"/>
          <w:b w:val="false"/>
          <w:bCs w:val="false"/>
        </w:rPr>
      </w:pPr>
      <w:r>
        <w:rPr>
          <w:rFonts w:cs="Calibri" w:ascii="Calibri" w:hAnsi="Calibri"/>
          <w:b/>
          <w:bCs/>
        </w:rPr>
        <w:t>Excitation rate,</w:t>
      </w:r>
      <w:r>
        <w:rPr>
          <w:rFonts w:cs="Calibri" w:ascii="Calibri" w:hAnsi="Calibri"/>
          <w:b w:val="false"/>
          <w:bCs w:val="false"/>
        </w:rPr>
        <w:t xml:space="preserve"> </w:t>
      </w:r>
      <w:r>
        <w:rPr>
          <w:rFonts w:cs="Calibri" w:ascii="Calibri" w:hAnsi="Calibri"/>
          <w:b w:val="false"/>
          <w:bCs w:val="false"/>
          <w:i/>
          <w:iCs/>
        </w:rPr>
        <w:t>e</w:t>
      </w:r>
      <w:r>
        <w:rPr>
          <w:rFonts w:cs="Calibri" w:ascii="Calibri" w:hAnsi="Calibri"/>
          <w:b w:val="false"/>
          <w:bCs w:val="false"/>
        </w:rPr>
        <w:t xml:space="preserve"> The number of indicator bound calcium molecules that become excited by photon bombardment at each time step.</w:t>
      </w:r>
    </w:p>
    <w:p>
      <w:pPr>
        <w:pStyle w:val="Normal"/>
        <w:spacing w:lineRule="auto" w:line="360" w:before="0" w:after="120"/>
        <w:jc w:val="both"/>
        <w:rPr>
          <w:b w:val="false"/>
          <w:b w:val="false"/>
          <w:bCs w:val="false"/>
        </w:rPr>
      </w:pPr>
      <w:r>
        <w:rPr>
          <w:rFonts w:cs="Calibri" w:ascii="Calibri" w:hAnsi="Calibri"/>
          <w:b/>
          <w:bCs/>
        </w:rPr>
        <w:t>Release rate,</w:t>
      </w:r>
      <w:r>
        <w:rPr>
          <w:rFonts w:cs="Calibri" w:ascii="Calibri" w:hAnsi="Calibri"/>
          <w:b w:val="false"/>
          <w:bCs w:val="false"/>
        </w:rPr>
        <w:t xml:space="preserve"> </w:t>
      </w:r>
      <w:r>
        <w:rPr>
          <w:rFonts w:cs="Calibri" w:ascii="Calibri" w:hAnsi="Calibri"/>
          <w:b w:val="false"/>
          <w:bCs w:val="false"/>
          <w:i/>
          <w:iCs/>
        </w:rPr>
        <w:t>r</w:t>
      </w:r>
      <w:r>
        <w:rPr>
          <w:rFonts w:cs="Calibri" w:ascii="Calibri" w:hAnsi="Calibri"/>
          <w:b w:val="false"/>
          <w:bCs w:val="false"/>
        </w:rPr>
        <w:t xml:space="preserve"> The number of excited indicator bound calcium molecules that release a photon at each time step.</w:t>
      </w:r>
    </w:p>
    <w:p>
      <w:pPr>
        <w:pStyle w:val="Normal"/>
        <w:spacing w:lineRule="auto" w:line="360" w:before="0" w:after="120"/>
        <w:jc w:val="both"/>
        <w:rPr>
          <w:b w:val="false"/>
          <w:b w:val="false"/>
          <w:bCs w:val="false"/>
        </w:rPr>
      </w:pPr>
      <w:r>
        <w:rPr>
          <w:rFonts w:cs="Calibri" w:ascii="Calibri" w:hAnsi="Calibri"/>
          <w:b w:val="false"/>
          <w:bCs w:val="false"/>
        </w:rPr>
        <w:t>To optimise the free parameters given a fluorescence trace, we applied the following procedure:</w:t>
      </w:r>
    </w:p>
    <w:p>
      <w:pPr>
        <w:pStyle w:val="Normal"/>
        <w:numPr>
          <w:ilvl w:val="0"/>
          <w:numId w:val="3"/>
        </w:numPr>
        <w:spacing w:lineRule="auto" w:line="360" w:before="0" w:after="120"/>
        <w:jc w:val="both"/>
        <w:rPr>
          <w:b w:val="false"/>
          <w:b w:val="false"/>
          <w:bCs w:val="false"/>
        </w:rPr>
      </w:pPr>
      <w:r>
        <w:rPr>
          <w:b w:val="false"/>
          <w:bCs w:val="false"/>
        </w:rPr>
        <w:t>The frequency power spectrum of the trace was measured.</w:t>
      </w:r>
    </w:p>
    <w:p>
      <w:pPr>
        <w:pStyle w:val="Normal"/>
        <w:numPr>
          <w:ilvl w:val="0"/>
          <w:numId w:val="3"/>
        </w:numPr>
        <w:spacing w:lineRule="auto" w:line="360" w:before="0" w:after="120"/>
        <w:jc w:val="both"/>
        <w:rPr>
          <w:b w:val="false"/>
          <w:b w:val="false"/>
          <w:bCs w:val="false"/>
        </w:rPr>
      </w:pPr>
      <w:r>
        <w:rPr>
          <w:b w:val="false"/>
          <w:bCs w:val="false"/>
        </w:rPr>
        <w:t>The power spectrum was smoothed using a boxcar smoother (aka. sliding average, box smoother).</w:t>
      </w:r>
    </w:p>
    <w:p>
      <w:pPr>
        <w:pStyle w:val="Normal"/>
        <w:numPr>
          <w:ilvl w:val="0"/>
          <w:numId w:val="3"/>
        </w:numPr>
        <w:spacing w:lineRule="auto" w:line="360" w:before="0" w:after="120"/>
        <w:jc w:val="both"/>
        <w:rPr>
          <w:b w:val="false"/>
          <w:b w:val="false"/>
          <w:bCs w:val="false"/>
        </w:rPr>
      </w:pPr>
      <w:r>
        <w:rPr>
          <w:b w:val="false"/>
          <w:bCs w:val="false"/>
        </w:rPr>
        <w:t>The log of the smoothed power spectrum was measured.</w:t>
      </w:r>
    </w:p>
    <w:p>
      <w:pPr>
        <w:pStyle w:val="Normal"/>
        <w:numPr>
          <w:ilvl w:val="0"/>
          <w:numId w:val="3"/>
        </w:numPr>
        <w:spacing w:lineRule="auto" w:line="360" w:before="0" w:after="120"/>
        <w:jc w:val="both"/>
        <w:rPr>
          <w:b w:val="false"/>
          <w:b w:val="false"/>
          <w:bCs w:val="false"/>
        </w:rPr>
      </w:pPr>
      <w:r>
        <w:rPr>
          <w:b w:val="false"/>
          <w:bCs w:val="false"/>
        </w:rPr>
        <w:t>Use the model to create a modelled fluorescence trace</w:t>
      </w:r>
    </w:p>
    <w:p>
      <w:pPr>
        <w:pStyle w:val="Normal"/>
        <w:numPr>
          <w:ilvl w:val="0"/>
          <w:numId w:val="3"/>
        </w:numPr>
        <w:spacing w:lineRule="auto" w:line="360" w:before="0" w:after="120"/>
        <w:jc w:val="both"/>
        <w:rPr>
          <w:b w:val="false"/>
          <w:b w:val="false"/>
          <w:bCs w:val="false"/>
        </w:rPr>
      </w:pPr>
      <w:r>
        <w:rPr>
          <w:b w:val="false"/>
          <w:bCs w:val="false"/>
        </w:rPr>
        <w:t>Apply steps 1, 2, and 3 to the modelled fluorescence trace.</w:t>
      </w:r>
    </w:p>
    <w:p>
      <w:pPr>
        <w:pStyle w:val="Normal"/>
        <w:numPr>
          <w:ilvl w:val="0"/>
          <w:numId w:val="3"/>
        </w:numPr>
        <w:spacing w:lineRule="auto" w:line="360" w:before="0" w:after="120"/>
        <w:jc w:val="both"/>
        <w:rPr>
          <w:b w:val="false"/>
          <w:b w:val="false"/>
          <w:bCs w:val="false"/>
        </w:rPr>
      </w:pPr>
      <w:r>
        <w:rPr>
          <w:b w:val="false"/>
          <w:bCs w:val="false"/>
        </w:rPr>
        <w:t>Calculate the root mean squared difference between the log power of the actual fluorescence trace, and the log power of the modelled fluorescence trace.</w:t>
      </w:r>
    </w:p>
    <w:p>
      <w:pPr>
        <w:pStyle w:val="Normal"/>
        <w:numPr>
          <w:ilvl w:val="0"/>
          <w:numId w:val="3"/>
        </w:numPr>
        <w:spacing w:lineRule="auto" w:line="360" w:before="0" w:after="120"/>
        <w:jc w:val="both"/>
        <w:rPr>
          <w:b w:val="false"/>
          <w:b w:val="false"/>
          <w:bCs w:val="false"/>
        </w:rPr>
      </w:pPr>
      <w:r>
        <w:rPr>
          <w:b w:val="false"/>
          <w:bCs w:val="false"/>
        </w:rPr>
        <w:t>Calculate the root mean squared difference between the actual fluorescence trace and the modelled fluorescence trace.</w:t>
      </w:r>
    </w:p>
    <w:p>
      <w:pPr>
        <w:pStyle w:val="Normal"/>
        <w:numPr>
          <w:ilvl w:val="0"/>
          <w:numId w:val="3"/>
        </w:numPr>
        <w:spacing w:lineRule="auto" w:line="360" w:before="0" w:after="120"/>
        <w:jc w:val="both"/>
        <w:rPr>
          <w:b w:val="false"/>
          <w:b w:val="false"/>
          <w:bCs w:val="false"/>
        </w:rPr>
      </w:pPr>
      <w:r>
        <w:rPr>
          <w:b w:val="false"/>
          <w:bCs w:val="false"/>
        </w:rPr>
        <w:t>Use an optimisation algorithm to reapply this process, attempting to minimize the sum of the two root mean squared differences at each iteration.</w:t>
      </w:r>
    </w:p>
    <w:p>
      <w:pPr>
        <w:pStyle w:val="Normal"/>
        <w:spacing w:lineRule="auto" w:line="360" w:before="0" w:after="120"/>
        <w:jc w:val="both"/>
        <w:rPr>
          <w:b w:val="false"/>
          <w:b w:val="false"/>
          <w:bCs w:val="false"/>
        </w:rPr>
      </w:pPr>
      <w:r>
        <w:rPr>
          <w:b w:val="false"/>
          <w:bCs w:val="false"/>
        </w:rPr>
        <w:t>Using the root mean squared difference of the log power spectra as part of the objective function forces the model to match the noise frequency of the actual fluorescence. Using the root mean squared difference of the traces themselves forces the model to match the amplitude of the fluorescence trace more accurately.</w:t>
      </w:r>
    </w:p>
    <w:p>
      <w:pPr>
        <w:pStyle w:val="Normal"/>
        <w:spacing w:lineRule="auto" w:line="360" w:before="0" w:after="120"/>
        <w:jc w:val="both"/>
        <w:rPr>
          <w:b w:val="false"/>
          <w:b w:val="false"/>
          <w:bCs w:val="false"/>
        </w:rPr>
      </w:pPr>
      <w:r>
        <w:rPr>
          <w:b w:val="false"/>
          <w:bCs w:val="false"/>
        </w:rPr>
        <w:t>In order to minimise the objective function, a suite of meta-heuristic optimisation (aka. black-box optimisation) algorithms were implemented on each of the traces in the dataset. These methods were chosen because they don’t require a gradient for the objective function (gradient-free) and they are particularly useful for minimising stochastic objective functions like the one we used here. The free parameters were optimised for each individual fluorescence trace. The most successful method for each trace was recorded. The method that was most often successful was probabilistic descent, and the second most successful method was generating set search. Both of these methods are examples of pattern search. These two methods were the best optimisers on about 75% of the traces in the dataset.</w:t>
      </w:r>
    </w:p>
    <w:p>
      <w:pPr>
        <w:pStyle w:val="Normal"/>
        <w:spacing w:lineRule="auto" w:line="360" w:before="0" w:after="120"/>
        <w:jc w:val="both"/>
        <w:rPr>
          <w:b w:val="false"/>
          <w:b w:val="false"/>
          <w:bCs w:val="false"/>
        </w:rPr>
      </w:pPr>
      <w:r>
        <w:rPr>
          <w:b w:val="false"/>
          <w:bCs w:val="false"/>
        </w:rPr>
        <w:t xml:space="preserve">Although this optimisation procedure minimises the value of the optimisation function, the value never reaches zero for a number of reasons. Firstly, the fluores cence traces carry low frequency fluctuations that cannot be captured by the model. Secondly, the model assumes that the process of calcium binding to the fluorescent indicator is linear in time (see equation 1), but there are more complicated dynamics involved here. Fluorescent calcium indicators are often built upon the calcium binding protein called ‘calmodulin’. This protein has four calcium binding sites. These sites are locally split into two pairs. Each pair has a different affinity for calcium, and the affinity of the binding sites is affected by the occupancy of the other binding sites [3]. So the calcium to calcium indicator binding process is non-linear, but the model does not take this into account. </w:t>
      </w:r>
    </w:p>
    <w:p>
      <w:pPr>
        <w:pStyle w:val="Normal"/>
        <w:spacing w:lineRule="auto" w:line="360" w:before="0" w:after="120"/>
        <w:jc w:val="both"/>
        <w:rPr>
          <w:b/>
          <w:b/>
          <w:bCs/>
        </w:rPr>
      </w:pPr>
      <w:r>
        <w:rPr>
          <w:b/>
          <w:bCs/>
        </w:rPr>
        <w:t>4. Fixed parameters</w:t>
      </w:r>
    </w:p>
    <w:p>
      <w:pPr>
        <w:pStyle w:val="Normal"/>
        <w:spacing w:lineRule="auto" w:line="360" w:before="0" w:after="120"/>
        <w:jc w:val="both"/>
        <w:rPr>
          <w:b w:val="false"/>
          <w:b w:val="false"/>
          <w:bCs w:val="false"/>
        </w:rPr>
      </w:pPr>
      <w:r>
        <w:rPr>
          <w:b w:val="false"/>
          <w:bCs w:val="false"/>
        </w:rPr>
        <w:t>As well as the optimised parameters mentioned in section 2.1.4, the model also has</w:t>
      </w:r>
    </w:p>
    <w:p>
      <w:pPr>
        <w:pStyle w:val="Normal"/>
        <w:spacing w:lineRule="auto" w:line="360" w:before="0" w:after="120"/>
        <w:jc w:val="both"/>
        <w:rPr>
          <w:b w:val="false"/>
          <w:b w:val="false"/>
          <w:bCs w:val="false"/>
        </w:rPr>
      </w:pPr>
      <w:r>
        <w:rPr>
          <w:b w:val="false"/>
          <w:bCs w:val="false"/>
        </w:rPr>
        <w:t>thirteen fixed parameters. Please see table 1 for details of these parameters and their</w:t>
      </w:r>
    </w:p>
    <w:p>
      <w:pPr>
        <w:pStyle w:val="Normal"/>
        <w:spacing w:lineRule="auto" w:line="360" w:before="0" w:after="120"/>
        <w:jc w:val="both"/>
        <w:rPr>
          <w:b w:val="false"/>
          <w:b w:val="false"/>
          <w:bCs w:val="false"/>
        </w:rPr>
      </w:pPr>
      <w:r>
        <w:rPr>
          <w:b w:val="false"/>
          <w:bCs w:val="false"/>
        </w:rPr>
        <w:t>values. In an application of the model, these parameters can be changed in order to</w:t>
      </w:r>
    </w:p>
    <w:p>
      <w:pPr>
        <w:pStyle w:val="Normal"/>
        <w:spacing w:lineRule="auto" w:line="360" w:before="0" w:after="120"/>
        <w:jc w:val="both"/>
        <w:rPr>
          <w:b w:val="false"/>
          <w:b w:val="false"/>
          <w:bCs w:val="false"/>
        </w:rPr>
      </w:pPr>
      <w:r>
        <w:rPr>
          <w:b w:val="false"/>
          <w:bCs w:val="false"/>
        </w:rPr>
        <w:t>model any given fluorescent calcium indicator.</w:t>
      </w:r>
      <w:r>
        <w:br w:type="page"/>
      </w:r>
    </w:p>
    <w:tbl>
      <w:tblPr>
        <w:tblW w:w="9026"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530"/>
        <w:gridCol w:w="4200"/>
        <w:gridCol w:w="2325"/>
        <w:gridCol w:w="970"/>
      </w:tblGrid>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pageBreakBefore/>
              <w:rPr>
                <w:b/>
                <w:b/>
                <w:bCs/>
              </w:rPr>
            </w:pPr>
            <w:r>
              <w:rPr>
                <w:b/>
                <w:bCs/>
              </w:rPr>
              <w:t>Parameter</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Description</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Value</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b/>
                <w:b/>
                <w:bCs/>
              </w:rPr>
            </w:pPr>
            <w:r>
              <w:rPr>
                <w:b/>
                <w:bCs/>
              </w:rPr>
              <w:t>Source</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pPr>
            <w:r>
              <w:rPr/>
              <w:t>baseline</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baseline concentration of free calcium within the cell soma.</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4.5 × 10</w:t>
            </w:r>
            <w:r>
              <w:rPr>
                <w:vertAlign w:val="superscript"/>
              </w:rPr>
              <w:t>−8</w:t>
            </w:r>
            <w:r>
              <w:rPr/>
              <w:t>M</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[1]</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pPr>
            <w:r>
              <w:rPr/>
              <w:t>cell radius</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radius of the soma (assumed to be spherical).</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10</w:t>
            </w:r>
            <w:r>
              <w:rPr>
                <w:vertAlign w:val="superscript"/>
              </w:rPr>
              <w:t>−5</w:t>
            </w:r>
            <w:r>
              <w:rPr/>
              <w:t>m</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[4]</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pPr>
            <w:r>
              <w:rPr/>
              <w:t>endogeneous</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concentration of endogeneous mobile buffer within the cell soma.</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10</w:t>
            </w:r>
            <w:r>
              <w:rPr>
                <w:vertAlign w:val="superscript"/>
              </w:rPr>
              <w:t>−4</w:t>
            </w:r>
            <w:r>
              <w:rPr/>
              <w:t>M</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[5]</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pPr>
            <w:r>
              <w:rPr/>
              <w:t>frequency</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frequency at which the spike trains are sampled.</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100Hz</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pPr>
            <w:r>
              <w:rPr/>
              <w:t>immobile</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concentration of endogeneous immobile buffer within the cell</w:t>
            </w:r>
          </w:p>
          <w:p>
            <w:pPr>
              <w:pStyle w:val="TableContents"/>
              <w:rPr/>
            </w:pPr>
            <w:r>
              <w:rPr/>
              <w:t>soma.</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7.87 × 10</w:t>
            </w:r>
            <w:r>
              <w:rPr>
                <w:vertAlign w:val="superscript"/>
              </w:rPr>
              <w:t>−5</w:t>
            </w:r>
            <w:r>
              <w:rPr/>
              <w:t>M</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[6]</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pPr>
            <w:r>
              <w:rPr/>
              <w:t>indicator</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concentration of fluorescent indicator within the cell soma.</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10</w:t>
            </w:r>
            <w:r>
              <w:rPr>
                <w:vertAlign w:val="superscript"/>
              </w:rPr>
              <w:t>−4</w:t>
            </w:r>
            <w:r>
              <w:rPr/>
              <w:t>M</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[1]</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i/>
                <w:i/>
                <w:iCs/>
              </w:rPr>
            </w:pPr>
            <w:r>
              <w:rPr>
                <w:i/>
                <w:iCs/>
              </w:rPr>
              <w:t>κ</w:t>
            </w:r>
            <w:r>
              <w:rPr>
                <w:i/>
                <w:iCs/>
                <w:vertAlign w:val="subscript"/>
              </w:rPr>
              <w:t>Bb</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unbinding rate of the fluorescent calcium indicator.</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160s</w:t>
            </w:r>
            <w:r>
              <w:rPr>
                <w:vertAlign w:val="superscript"/>
              </w:rPr>
              <w:t>−1</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[6]</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i/>
                <w:i/>
                <w:iCs/>
              </w:rPr>
            </w:pPr>
            <w:r>
              <w:rPr>
                <w:i/>
                <w:iCs/>
              </w:rPr>
              <w:t>κ</w:t>
            </w:r>
            <w:r>
              <w:rPr>
                <w:i/>
                <w:iCs/>
                <w:vertAlign w:val="subscript"/>
              </w:rPr>
              <w:t>Bf</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binding rate of the fluorescent calcium indicator.</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7.76699 × 10</w:t>
            </w:r>
            <w:r>
              <w:rPr>
                <w:vertAlign w:val="superscript"/>
              </w:rPr>
              <w:t>8</w:t>
            </w:r>
            <w:r>
              <w:rPr/>
              <w:t>s</w:t>
            </w:r>
            <w:r>
              <w:rPr>
                <w:vertAlign w:val="superscript"/>
              </w:rPr>
              <w:t>−1</w:t>
            </w:r>
            <w:r>
              <w:rPr/>
              <w:t>M</w:t>
            </w:r>
            <w:r>
              <w:rPr>
                <w:vertAlign w:val="superscript"/>
              </w:rPr>
              <w:t>−1</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[6]</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i/>
                <w:i/>
                <w:iCs/>
              </w:rPr>
            </w:pPr>
            <w:r>
              <w:rPr>
                <w:i/>
                <w:iCs/>
              </w:rPr>
              <w:t>κ</w:t>
            </w:r>
            <w:r>
              <w:rPr>
                <w:i/>
                <w:iCs/>
                <w:vertAlign w:val="subscript"/>
              </w:rPr>
              <w:t>Eb</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unbinding rate of the endogeneous mobile buffer.</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10</w:t>
            </w:r>
            <w:r>
              <w:rPr>
                <w:vertAlign w:val="superscript"/>
              </w:rPr>
              <w:t>4</w:t>
            </w:r>
            <w:r>
              <w:rPr/>
              <w:t>s</w:t>
            </w:r>
            <w:r>
              <w:rPr>
                <w:vertAlign w:val="superscript"/>
              </w:rPr>
              <w:t>−1</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[6]</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i/>
                <w:i/>
                <w:iCs/>
              </w:rPr>
            </w:pPr>
            <w:r>
              <w:rPr>
                <w:i/>
                <w:iCs/>
              </w:rPr>
              <w:t>κ</w:t>
            </w:r>
            <w:r>
              <w:rPr>
                <w:i/>
                <w:iCs/>
                <w:vertAlign w:val="subscript"/>
              </w:rPr>
              <w:t>Ef</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binding rate of the endogeneous mobile buffer.</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10</w:t>
            </w:r>
            <w:r>
              <w:rPr>
                <w:vertAlign w:val="superscript"/>
              </w:rPr>
              <w:t>8</w:t>
            </w:r>
            <w:r>
              <w:rPr/>
              <w:t>s</w:t>
            </w:r>
            <w:r>
              <w:rPr>
                <w:vertAlign w:val="superscript"/>
              </w:rPr>
              <w:t>−1</w:t>
            </w:r>
            <w:r>
              <w:rPr/>
              <w:t>M</w:t>
            </w:r>
            <w:r>
              <w:rPr>
                <w:vertAlign w:val="superscript"/>
              </w:rPr>
              <w:t>−1</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[6]</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i/>
                <w:i/>
                <w:iCs/>
              </w:rPr>
            </w:pPr>
            <w:r>
              <w:rPr>
                <w:i/>
                <w:iCs/>
              </w:rPr>
              <w:t>κ</w:t>
            </w:r>
            <w:r>
              <w:rPr>
                <w:i/>
                <w:iCs/>
                <w:vertAlign w:val="subscript"/>
              </w:rPr>
              <w:t>Imb</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unbinding rate of the endogeneous immobile buffer.</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524s</w:t>
            </w:r>
            <w:r>
              <w:rPr>
                <w:vertAlign w:val="superscript"/>
              </w:rPr>
              <w:t>−1</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[6]</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i/>
                <w:i/>
                <w:iCs/>
              </w:rPr>
            </w:pPr>
            <w:r>
              <w:rPr>
                <w:i/>
                <w:iCs/>
              </w:rPr>
              <w:t>κ</w:t>
            </w:r>
            <w:r>
              <w:rPr>
                <w:i/>
                <w:iCs/>
                <w:vertAlign w:val="subscript"/>
              </w:rPr>
              <w:t>Imf</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binding rate of the endogeneous immobile buffer.</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2.47 × 10</w:t>
            </w:r>
            <w:r>
              <w:rPr>
                <w:vertAlign w:val="superscript"/>
              </w:rPr>
              <w:t>8</w:t>
            </w:r>
            <w:r>
              <w:rPr/>
              <w:t>s</w:t>
            </w:r>
            <w:r>
              <w:rPr>
                <w:vertAlign w:val="superscript"/>
              </w:rPr>
              <w:t>−1</w:t>
            </w:r>
            <w:r>
              <w:rPr/>
              <w:t>M</w:t>
            </w:r>
            <w:r>
              <w:rPr>
                <w:vertAlign w:val="superscript"/>
              </w:rPr>
              <w:t>−1</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[6]</w:t>
            </w:r>
          </w:p>
        </w:tc>
      </w:tr>
      <w:tr>
        <w:trPr/>
        <w:tc>
          <w:tcPr>
            <w:tcW w:w="15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keepNext w:val="true"/>
              <w:rPr/>
            </w:pPr>
            <w:r>
              <w:rPr/>
              <w:t>peak</w:t>
            </w:r>
          </w:p>
        </w:tc>
        <w:tc>
          <w:tcPr>
            <w:tcW w:w="42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The increase in free calcium concentration within the cell induced</w:t>
            </w:r>
          </w:p>
          <w:p>
            <w:pPr>
              <w:pStyle w:val="TableContents"/>
              <w:rPr/>
            </w:pPr>
            <w:r>
              <w:rPr/>
              <w:t>by an action potential.</w:t>
            </w:r>
          </w:p>
        </w:tc>
        <w:tc>
          <w:tcPr>
            <w:tcW w:w="232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2.9 × 10</w:t>
            </w:r>
            <w:r>
              <w:rPr>
                <w:vertAlign w:val="superscript"/>
              </w:rPr>
              <w:t>−7</w:t>
            </w:r>
            <w:r>
              <w:rPr/>
              <w:t>M</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[1]</w:t>
            </w:r>
          </w:p>
        </w:tc>
      </w:tr>
    </w:tbl>
    <w:p>
      <w:pPr>
        <w:pStyle w:val="Table"/>
        <w:rPr/>
      </w:pPr>
      <w:r>
        <w:rPr>
          <w:b/>
          <w:bCs/>
          <w:i w:val="false"/>
          <w:iCs w:val="false"/>
        </w:rPr>
        <w:t xml:space="preserve">Table </w:t>
      </w:r>
      <w:r>
        <w:rPr>
          <w:b/>
          <w:bCs/>
          <w:i w:val="false"/>
          <w:iCs w:val="false"/>
        </w:rPr>
        <w:fldChar w:fldCharType="begin"/>
      </w:r>
      <w:r>
        <w:instrText> SEQ Table \* ARABIC </w:instrText>
      </w:r>
      <w:r>
        <w:fldChar w:fldCharType="separate"/>
      </w:r>
      <w:r>
        <w:t>1</w:t>
      </w:r>
      <w:r>
        <w:fldChar w:fldCharType="end"/>
      </w:r>
      <w:r>
        <w:rPr>
          <w:b/>
          <w:bCs/>
          <w:i w:val="false"/>
          <w:iCs w:val="false"/>
        </w:rPr>
        <w:t>.</w:t>
      </w:r>
      <w:r>
        <w:rPr>
          <w:i w:val="false"/>
          <w:iCs w:val="false"/>
        </w:rPr>
        <w:t xml:space="preserve"> Names, descriptions and values for each of the fixed parameters of the model.In an implementation of the model, these parameters can be changed to model differentfluorescent calcium indicators.</w:t>
      </w:r>
    </w:p>
    <w:p>
      <w:pPr>
        <w:pStyle w:val="Normal"/>
        <w:spacing w:lineRule="auto" w:line="360" w:before="0" w:after="120"/>
        <w:jc w:val="both"/>
        <w:rPr>
          <w:b/>
          <w:b/>
          <w:bCs/>
        </w:rPr>
      </w:pPr>
      <w:r>
        <w:rPr>
          <w:b/>
          <w:bCs/>
        </w:rPr>
        <w:t>5. Julia</w:t>
      </w:r>
    </w:p>
    <w:p>
      <w:pPr>
        <w:pStyle w:val="Normal"/>
        <w:spacing w:lineRule="auto" w:line="360" w:before="0" w:after="120"/>
        <w:jc w:val="both"/>
        <w:rPr>
          <w:b w:val="false"/>
          <w:b w:val="false"/>
          <w:bCs w:val="false"/>
        </w:rPr>
      </w:pPr>
      <w:r>
        <w:rPr>
          <w:b w:val="false"/>
          <w:bCs w:val="false"/>
        </w:rPr>
        <w:t>The programming language used to write and execute the model was ‘Julia’. Julia is a dynamic programming language designed for technical computing. Julia was designed specifically to provide a convenient high-level dynamic language similar to MATLAB, or Python, with improved performance. Julia’s type system and Julia’s direct interfaces with C and Fortran allow this aim to be achieved [7]. The Julia version of the ‘Sundials’ package for ODE solving was used to solve the system of equations above. The BlackBoxOptim.jl package for Julia was used to perform the optimisation.</w:t>
      </w:r>
    </w:p>
    <w:p>
      <w:pPr>
        <w:pStyle w:val="Normal"/>
        <w:spacing w:lineRule="auto" w:line="360" w:before="0" w:after="120"/>
        <w:jc w:val="both"/>
        <w:rPr>
          <w:b/>
          <w:b/>
          <w:bCs/>
        </w:rPr>
      </w:pPr>
      <w:r>
        <w:rPr>
          <w:b/>
          <w:bCs/>
        </w:rPr>
        <w:t>6. Spike inference</w:t>
      </w:r>
    </w:p>
    <w:p>
      <w:pPr>
        <w:pStyle w:val="Normal"/>
        <w:spacing w:lineRule="auto" w:line="360" w:before="0" w:after="120"/>
        <w:jc w:val="both"/>
        <w:rPr>
          <w:b w:val="false"/>
          <w:b w:val="false"/>
          <w:bCs w:val="false"/>
        </w:rPr>
      </w:pPr>
      <w:r>
        <w:rPr>
          <w:b w:val="false"/>
          <w:bCs w:val="false"/>
        </w:rPr>
        <w:t>We used spike inference algorithms to compare the quality of spike inference using the modelled traces to the quality of spike inference using the observed traces. We also used the spike inference algorithms to assess the effect of parameter perturbation on the spike inference. Three algorithms were used:</w:t>
      </w:r>
    </w:p>
    <w:p>
      <w:pPr>
        <w:pStyle w:val="Normal"/>
        <w:spacing w:lineRule="auto" w:line="360" w:before="0" w:after="120"/>
        <w:jc w:val="both"/>
        <w:rPr>
          <w:b w:val="false"/>
          <w:b w:val="false"/>
          <w:bCs w:val="false"/>
        </w:rPr>
      </w:pPr>
      <w:r>
        <w:rPr>
          <w:b/>
          <w:bCs/>
        </w:rPr>
        <w:t>Constrained non-negative deconvolution algorithm (aka Paninski algorithm)</w:t>
      </w:r>
      <w:r>
        <w:rPr>
          <w:b w:val="false"/>
          <w:bCs w:val="false"/>
        </w:rPr>
        <w:t xml:space="preserve"> This algorithm uses a constrained version of non-negative Weiner deconvolution to infer a calcium signal and a ‘spiking activity signal’ from the fluorescence trace [8, 9]. The spiking activity signal is a non-negative vector of real numbers reflecting the cell’s activity rather than an actual spike train. We inferred a spike train by choosing an optimised threshold for the spiking activity signal. Whenever the spiking activity signal exceeded that threshold, an action potential was inferred. The threshold was optimised by minimising the difference between the number of spikes observed and the number of spikes predicted.</w:t>
      </w:r>
    </w:p>
    <w:p>
      <w:pPr>
        <w:pStyle w:val="Normal"/>
        <w:spacing w:lineRule="auto" w:line="360" w:before="0" w:after="120"/>
        <w:jc w:val="both"/>
        <w:rPr>
          <w:b w:val="false"/>
          <w:b w:val="false"/>
          <w:bCs w:val="false"/>
        </w:rPr>
      </w:pPr>
      <w:r>
        <w:rPr>
          <w:b/>
          <w:bCs/>
        </w:rPr>
        <w:t xml:space="preserve">ML-Spike algorithm </w:t>
      </w:r>
      <w:r>
        <w:rPr>
          <w:b w:val="false"/>
          <w:bCs w:val="false"/>
        </w:rPr>
        <w:t>This algorithm uses a generalised version of the Viterbi algorithm to return the spike train that maximises the likelihood of producing the given fluorescence trace. The Viterbi algorithm is an algorithm for estimating the most likely sequence of hidden states resulting in a sequence of observed states in a discrete-time finite-state Markov process [10]. In this case, each hidden state is defined by the presence or absence of an action potential, and each observed state is the value of the fluorescence trace at each time step. This algorithm assumes that the concentration of calcium within the cell will decay to a drifting baseline, rather than a fixed baseline [11].</w:t>
      </w:r>
    </w:p>
    <w:p>
      <w:pPr>
        <w:pStyle w:val="Normal"/>
        <w:spacing w:lineRule="auto" w:line="360" w:before="0" w:after="120"/>
        <w:jc w:val="both"/>
        <w:rPr>
          <w:b w:val="false"/>
          <w:b w:val="false"/>
          <w:bCs w:val="false"/>
        </w:rPr>
      </w:pPr>
      <w:r>
        <w:rPr>
          <w:b/>
          <w:bCs/>
        </w:rPr>
        <w:t>Online Active Set method to Infer Spikes (OASIS)</w:t>
      </w:r>
      <w:r>
        <w:rPr>
          <w:b w:val="false"/>
          <w:bCs w:val="false"/>
        </w:rPr>
        <w:t xml:space="preserve"> This algorithm is once again based on an auto-regressive model of the fluorescence trace, but can be generalised to any order. The algorithm itself is a generalisation of the pool adjacent violators algorithm (PAVA) that is used in isotonic regression. The OASIS algorithm works through the fluorescence trace from beginning to end, this combined with the speed of the algorithm means that it could be used for real-time online spike inference [12]. Given a fluorescence trace, the algorithm will return the most likely spike train and an inferred denoised fluorescence signal.</w:t>
      </w:r>
    </w:p>
    <w:p>
      <w:pPr>
        <w:pStyle w:val="Normal"/>
        <w:spacing w:lineRule="auto" w:line="360" w:before="0" w:after="120"/>
        <w:jc w:val="both"/>
        <w:rPr>
          <w:b w:val="false"/>
          <w:b w:val="false"/>
          <w:bCs w:val="false"/>
        </w:rPr>
      </w:pPr>
      <w:r>
        <w:rPr>
          <w:b w:val="false"/>
          <w:bCs w:val="false"/>
        </w:rPr>
        <w:t>In order to quantify the quality of spike inference for a given algorithm, we ran that algorithm on all of the fluorescence traces in dataset number eight of the spike finder datasets. Then we measured some binary classification measures on the results. These measures included</w:t>
      </w:r>
    </w:p>
    <w:p>
      <w:pPr>
        <w:pStyle w:val="Normal"/>
        <w:numPr>
          <w:ilvl w:val="0"/>
          <w:numId w:val="4"/>
        </w:numPr>
        <w:spacing w:lineRule="auto" w:line="360" w:before="0" w:after="120"/>
        <w:jc w:val="both"/>
        <w:rPr>
          <w:b w:val="false"/>
          <w:b w:val="false"/>
          <w:bCs w:val="false"/>
        </w:rPr>
      </w:pPr>
      <w:r>
        <w:rPr>
          <w:b w:val="false"/>
          <w:bCs w:val="false"/>
        </w:rPr>
        <w:t>Accuracy</w:t>
      </w:r>
    </w:p>
    <w:p>
      <w:pPr>
        <w:pStyle w:val="Normal"/>
        <w:numPr>
          <w:ilvl w:val="0"/>
          <w:numId w:val="4"/>
        </w:numPr>
        <w:spacing w:lineRule="auto" w:line="360" w:before="0" w:after="120"/>
        <w:jc w:val="both"/>
        <w:rPr>
          <w:b w:val="false"/>
          <w:b w:val="false"/>
          <w:bCs w:val="false"/>
        </w:rPr>
      </w:pPr>
      <w:r>
        <w:rPr>
          <w:b w:val="false"/>
          <w:bCs w:val="false"/>
        </w:rPr>
        <w:t>True positive rate, (aka recall, sensitivity, hit rate)</w:t>
      </w:r>
    </w:p>
    <w:p>
      <w:pPr>
        <w:pStyle w:val="Normal"/>
        <w:numPr>
          <w:ilvl w:val="0"/>
          <w:numId w:val="4"/>
        </w:numPr>
        <w:spacing w:lineRule="auto" w:line="360" w:before="0" w:after="120"/>
        <w:jc w:val="both"/>
        <w:rPr>
          <w:b w:val="false"/>
          <w:b w:val="false"/>
          <w:bCs w:val="false"/>
        </w:rPr>
      </w:pPr>
      <w:r>
        <w:rPr>
          <w:b w:val="false"/>
          <w:bCs w:val="false"/>
        </w:rPr>
        <w:t>True negative rate, (aka specificity)</w:t>
      </w:r>
    </w:p>
    <w:p>
      <w:pPr>
        <w:pStyle w:val="Normal"/>
        <w:numPr>
          <w:ilvl w:val="0"/>
          <w:numId w:val="4"/>
        </w:numPr>
        <w:spacing w:lineRule="auto" w:line="360" w:before="0" w:after="120"/>
        <w:jc w:val="both"/>
        <w:rPr>
          <w:b w:val="false"/>
          <w:b w:val="false"/>
          <w:bCs w:val="false"/>
        </w:rPr>
      </w:pPr>
      <w:r>
        <w:rPr>
          <w:b w:val="false"/>
          <w:bCs w:val="false"/>
        </w:rPr>
        <w:t>Precision, (aka positive predicted value)</w:t>
      </w:r>
    </w:p>
    <w:p>
      <w:pPr>
        <w:pStyle w:val="Normal"/>
        <w:numPr>
          <w:ilvl w:val="0"/>
          <w:numId w:val="4"/>
        </w:numPr>
        <w:spacing w:lineRule="auto" w:line="360" w:before="0" w:after="120"/>
        <w:jc w:val="both"/>
        <w:rPr>
          <w:b w:val="false"/>
          <w:b w:val="false"/>
          <w:bCs w:val="false"/>
        </w:rPr>
      </w:pPr>
      <w:r>
        <w:rPr>
          <w:b w:val="false"/>
          <w:bCs w:val="false"/>
        </w:rPr>
        <w:t>Negative predicted value,</w:t>
      </w:r>
    </w:p>
    <w:p>
      <w:pPr>
        <w:pStyle w:val="Normal"/>
        <w:numPr>
          <w:ilvl w:val="0"/>
          <w:numId w:val="4"/>
        </w:numPr>
        <w:spacing w:lineRule="auto" w:line="360" w:before="0" w:after="120"/>
        <w:jc w:val="both"/>
        <w:rPr>
          <w:b w:val="false"/>
          <w:b w:val="false"/>
          <w:bCs w:val="false"/>
        </w:rPr>
      </w:pPr>
      <w:r>
        <w:rPr>
          <w:b w:val="false"/>
          <w:bCs w:val="false"/>
        </w:rPr>
        <w:t>False negative rate, (aka miss rate)</w:t>
      </w:r>
    </w:p>
    <w:p>
      <w:pPr>
        <w:pStyle w:val="Normal"/>
        <w:numPr>
          <w:ilvl w:val="0"/>
          <w:numId w:val="4"/>
        </w:numPr>
        <w:spacing w:lineRule="auto" w:line="360" w:before="0" w:after="120"/>
        <w:jc w:val="both"/>
        <w:rPr>
          <w:b w:val="false"/>
          <w:b w:val="false"/>
          <w:bCs w:val="false"/>
        </w:rPr>
      </w:pPr>
      <w:r>
        <w:rPr>
          <w:b w:val="false"/>
          <w:bCs w:val="false"/>
        </w:rPr>
        <w:t>False positive rate, (aka fall-out)</w:t>
      </w:r>
    </w:p>
    <w:p>
      <w:pPr>
        <w:pStyle w:val="Normal"/>
        <w:numPr>
          <w:ilvl w:val="0"/>
          <w:numId w:val="4"/>
        </w:numPr>
        <w:spacing w:lineRule="auto" w:line="360" w:before="0" w:after="120"/>
        <w:jc w:val="both"/>
        <w:rPr>
          <w:b w:val="false"/>
          <w:b w:val="false"/>
          <w:bCs w:val="false"/>
        </w:rPr>
      </w:pPr>
      <w:r>
        <w:rPr>
          <w:b w:val="false"/>
          <w:bCs w:val="false"/>
        </w:rPr>
        <w:t>False discovery rate,</w:t>
      </w:r>
    </w:p>
    <w:p>
      <w:pPr>
        <w:pStyle w:val="Normal"/>
        <w:numPr>
          <w:ilvl w:val="0"/>
          <w:numId w:val="4"/>
        </w:numPr>
        <w:spacing w:lineRule="auto" w:line="360" w:before="0" w:after="120"/>
        <w:jc w:val="both"/>
        <w:rPr>
          <w:b w:val="false"/>
          <w:b w:val="false"/>
          <w:bCs w:val="false"/>
        </w:rPr>
      </w:pPr>
      <w:r>
        <w:rPr>
          <w:b w:val="false"/>
          <w:bCs w:val="false"/>
        </w:rPr>
        <w:t>False omission rate</w:t>
      </w:r>
    </w:p>
    <w:p>
      <w:pPr>
        <w:pStyle w:val="Normal"/>
        <w:spacing w:lineRule="auto" w:line="360" w:before="0" w:after="120"/>
        <w:jc w:val="both"/>
        <w:rPr>
          <w:b w:val="false"/>
          <w:b w:val="false"/>
          <w:bCs w:val="false"/>
        </w:rPr>
      </w:pPr>
      <w:r>
        <w:rPr>
          <w:b w:val="false"/>
          <w:bCs w:val="false"/>
        </w:rPr>
        <w:t xml:space="preserve">In making these measurements, we allowed a tolerance of two subsequent time bins for spike prediction. For example, the spike train data is a vector of 0s and 1s, with one element for each time bin. A ‘0’ denotes inactivity, a ‘1’ denotes the presence of at least one action potential. The inferred spike trains produced by the spike inference algorithms take the same form. In our analysis, if a spike appeared in the inferred spike train up to two time frames after a spike in the observed spike train, that spike was considered correctly inferred i.e. a true positive. However, once a spike in the inferred spike train was matched to a spike from the observed spike train, the inferred spike could not be matched to another observed spike. To illustrate, if two spikes were inferred in the two time bins following an isolated observed spike, the first inferred spike was considered correctly inferred, but the second inferred spike was considered incorrectly inferred, i.e. a false positive. </w:t>
      </w:r>
    </w:p>
    <w:p>
      <w:pPr>
        <w:pStyle w:val="Normal"/>
        <w:spacing w:lineRule="auto" w:line="360" w:before="0" w:after="120"/>
        <w:jc w:val="both"/>
        <w:rPr>
          <w:b w:val="false"/>
          <w:b w:val="false"/>
          <w:bCs w:val="false"/>
        </w:rPr>
      </w:pPr>
      <w:r>
        <w:rPr>
          <w:b w:val="false"/>
          <w:bCs w:val="false"/>
        </w:rPr>
        <w:t>The most useful measure was the true positive rate. This is because the spiking is sparse and this measurement is sensitive to the number of spikes observed and inferred. After optimising the parameters for each fluorescence trace we measured the spike inference quality for the observed fluorescence traces, and compared this to the spike inference quality for the modelled traces.</w:t>
      </w:r>
    </w:p>
    <w:p>
      <w:pPr>
        <w:pStyle w:val="Normal"/>
        <w:spacing w:lineRule="auto" w:line="360" w:before="0" w:after="120"/>
        <w:jc w:val="both"/>
        <w:rPr>
          <w:b/>
          <w:b/>
          <w:bCs/>
        </w:rPr>
      </w:pPr>
      <w:r>
        <w:rPr>
          <w:b/>
          <w:bCs/>
        </w:rPr>
        <w:t>7. Comparing spike inference quality</w:t>
      </w:r>
    </w:p>
    <w:p>
      <w:pPr>
        <w:pStyle w:val="Normal"/>
        <w:spacing w:lineRule="auto" w:line="360" w:before="0" w:after="120"/>
        <w:jc w:val="both"/>
        <w:rPr>
          <w:b w:val="false"/>
          <w:b w:val="false"/>
          <w:bCs w:val="false"/>
        </w:rPr>
      </w:pPr>
      <w:r>
        <w:rPr>
          <w:b w:val="false"/>
          <w:bCs w:val="false"/>
        </w:rPr>
        <w:t>In order to compare spike inference quality we had to use methods for comparing samples. When comparing the true positive rate distributions arising from two different datasets, or two different algorithms on the same dataset, we compared the distributions using a paired t-test. When comparing three or more true positive rate distributions, we compared all the distributions pairwise, then we adjusted the resulting p-values using the Benjamini–Hochberg procedure with α = 0.9.</w:t>
      </w:r>
    </w:p>
    <w:p>
      <w:pPr>
        <w:pStyle w:val="Normal"/>
        <w:spacing w:lineRule="auto" w:line="360" w:before="0" w:after="120"/>
        <w:jc w:val="both"/>
        <w:rPr>
          <w:b/>
          <w:b/>
          <w:bCs/>
        </w:rPr>
      </w:pPr>
      <w:r>
        <w:rPr>
          <w:b/>
          <w:bCs/>
        </w:rPr>
        <w:t>8. Perturbation analysis</w:t>
      </w:r>
    </w:p>
    <w:p>
      <w:pPr>
        <w:pStyle w:val="Normal"/>
        <w:spacing w:lineRule="auto" w:line="360" w:before="0" w:after="120"/>
        <w:jc w:val="both"/>
        <w:rPr>
          <w:b w:val="false"/>
          <w:b w:val="false"/>
          <w:bCs w:val="false"/>
        </w:rPr>
      </w:pPr>
      <w:r>
        <w:rPr>
          <w:b w:val="false"/>
          <w:bCs w:val="false"/>
        </w:rPr>
        <w:t>In order to measure the sensitivity of spike inference to changes in a given model parameter, we perturbed the parameter and compared the quality of spike inference with the perturbed parameters to the quality of spike inference with the experimental or optimised parameters. In order to maximise the possibility of observing a difference due to the perturbation, we perturbed the chosen parameter by a relatively large amount. For example, the experimental value for the molar concentration of the fluorescent indicator within the cell was 10</w:t>
      </w:r>
      <w:r>
        <w:rPr>
          <w:b w:val="false"/>
          <w:bCs w:val="false"/>
          <w:vertAlign w:val="superscript"/>
        </w:rPr>
        <w:t>−4</w:t>
      </w:r>
      <w:r>
        <w:rPr>
          <w:b w:val="false"/>
          <w:bCs w:val="false"/>
        </w:rPr>
        <w:t>M [1]. The perturbed values used for this parameter were 10</w:t>
      </w:r>
      <w:r>
        <w:rPr>
          <w:b w:val="false"/>
          <w:bCs w:val="false"/>
          <w:vertAlign w:val="superscript"/>
        </w:rPr>
        <w:t>−2M</w:t>
      </w:r>
      <w:r>
        <w:rPr>
          <w:b w:val="false"/>
          <w:bCs w:val="false"/>
        </w:rPr>
        <w:t>, 10</w:t>
      </w:r>
      <w:r>
        <w:rPr>
          <w:b w:val="false"/>
          <w:bCs w:val="false"/>
          <w:vertAlign w:val="superscript"/>
        </w:rPr>
        <w:t>−3</w:t>
      </w:r>
      <w:r>
        <w:rPr>
          <w:b w:val="false"/>
          <w:bCs w:val="false"/>
        </w:rPr>
        <w:t>M, 10</w:t>
      </w:r>
      <w:r>
        <w:rPr>
          <w:b w:val="false"/>
          <w:bCs w:val="false"/>
          <w:vertAlign w:val="superscript"/>
        </w:rPr>
        <w:t>−5</w:t>
      </w:r>
      <w:r>
        <w:rPr>
          <w:b w:val="false"/>
          <w:bCs w:val="false"/>
        </w:rPr>
        <w:t>M, and 10</w:t>
      </w:r>
      <w:r>
        <w:rPr>
          <w:b w:val="false"/>
          <w:bCs w:val="false"/>
          <w:vertAlign w:val="superscript"/>
        </w:rPr>
        <w:t>−6</w:t>
      </w:r>
      <w:r>
        <w:rPr>
          <w:b w:val="false"/>
          <w:bCs w:val="false"/>
        </w:rPr>
        <w:t>M. The quality of the inference was compared by measuring the true positive rate for each perturbed value and using a t-test to compare the distributions of the results.</w:t>
      </w:r>
    </w:p>
    <w:p>
      <w:pPr>
        <w:pStyle w:val="Normal"/>
        <w:spacing w:lineRule="auto" w:line="360" w:before="0" w:after="120"/>
        <w:jc w:val="both"/>
        <w:rPr>
          <w:b w:val="false"/>
          <w:b w:val="false"/>
          <w:bCs w:val="false"/>
        </w:rPr>
      </w:pPr>
      <w:r>
        <w:rPr>
          <w:b w:val="false"/>
          <w:bCs w:val="false"/>
        </w:rPr>
        <w:t>This analysis was performed firstly without any optimisation of the free parameters for use with the perturbed parameters. Then the analysis was performed after the optimised parameters for each perturbed value were calculated.</w:t>
      </w:r>
    </w:p>
    <w:p>
      <w:pPr>
        <w:pStyle w:val="Normal"/>
        <w:spacing w:lineRule="auto" w:line="360" w:before="0" w:after="120"/>
        <w:jc w:val="both"/>
        <w:rPr>
          <w:b/>
          <w:b/>
          <w:bCs/>
        </w:rPr>
      </w:pPr>
      <w:r>
        <w:rPr>
          <w:b/>
          <w:bCs/>
        </w:rPr>
        <w:t>9. Signal-to-noise ratio</w:t>
      </w:r>
    </w:p>
    <w:p>
      <w:pPr>
        <w:pStyle w:val="Normal"/>
        <w:spacing w:lineRule="auto" w:line="360" w:before="0" w:after="120"/>
        <w:jc w:val="both"/>
        <w:rPr>
          <w:b w:val="false"/>
          <w:b w:val="false"/>
          <w:bCs w:val="false"/>
        </w:rPr>
      </w:pPr>
      <w:r>
        <w:rPr>
          <w:b w:val="false"/>
          <w:bCs w:val="false"/>
        </w:rPr>
        <w:t>To assess the effect of perturbation on the modelled traces, we measured and compared the signal to noise ratio (SNR) on each of the modelled traces. We calculated the SNR as the peak change in fluorescence divided by the standard deviation of the baseline fluctuation of the fluorescence trace [13]. We measured these values by running the model on a spike train consisting a long period of inactivity followed by one action potential. We ran the model on this spike train one hundred times. We then measured the mean change in fluorescence and standard deviation of baseline activity across the one hundred modelled fluorescence traces, and calculated the SNR.</w:t>
      </w:r>
    </w:p>
    <w:p>
      <w:pPr>
        <w:pStyle w:val="Normal"/>
        <w:spacing w:lineRule="auto" w:line="360" w:before="0" w:after="120"/>
        <w:jc w:val="left"/>
        <w:rPr>
          <w:b/>
          <w:b/>
          <w:bCs/>
        </w:rPr>
      </w:pPr>
      <w:r>
        <w:rPr>
          <w:b/>
          <w:bCs/>
        </w:rPr>
        <w:t>10. Data sources</w:t>
      </w:r>
    </w:p>
    <w:p>
      <w:pPr>
        <w:pStyle w:val="Normal"/>
        <w:spacing w:lineRule="auto" w:line="360" w:before="0" w:after="120"/>
        <w:jc w:val="both"/>
        <w:rPr>
          <w:b w:val="false"/>
          <w:b w:val="false"/>
          <w:bCs w:val="false"/>
        </w:rPr>
      </w:pPr>
      <w:r>
        <w:rPr>
          <w:b w:val="false"/>
          <w:bCs w:val="false"/>
        </w:rPr>
        <w:t>All of the data used in this project was sourced from the ‘Spike Finder’ project (spikefinder.codeneuro.org). The data consisted of a collection of datasets with simultaneously measured fluorescence traces and action potentials.</w:t>
      </w:r>
      <w:r>
        <w:br w:type="page"/>
      </w:r>
    </w:p>
    <w:p>
      <w:pPr>
        <w:pStyle w:val="Normal"/>
        <w:spacing w:lineRule="auto" w:line="360" w:before="0" w:after="120"/>
        <w:jc w:val="both"/>
        <w:rPr>
          <w:b/>
          <w:b/>
          <w:bCs/>
        </w:rPr>
      </w:pPr>
      <w:r>
        <w:rPr>
          <w:rFonts w:cs="Calibri" w:ascii="Calibri" w:hAnsi="Calibri"/>
          <w:b/>
          <w:bCs/>
        </w:rPr>
        <w:t>References</w:t>
      </w:r>
    </w:p>
    <w:p>
      <w:pPr>
        <w:pStyle w:val="Normal"/>
        <w:spacing w:lineRule="auto" w:line="360" w:before="0" w:after="120"/>
        <w:jc w:val="both"/>
        <w:rPr>
          <w:b w:val="false"/>
          <w:b w:val="false"/>
          <w:bCs w:val="false"/>
        </w:rPr>
      </w:pPr>
      <w:r>
        <w:rPr>
          <w:rFonts w:cs="Calibri" w:ascii="Calibri" w:hAnsi="Calibri"/>
          <w:b w:val="false"/>
          <w:bCs w:val="false"/>
        </w:rPr>
        <w:t>[1] M. Maravall, Z. F. Mainen, B. L. Sabatini, K. Svoboda, Estimating intracellular calcium concentrations and buffering without wavelength ratioing. Biophysical Journal 78, 2655-2667, (2000)</w:t>
      </w:r>
    </w:p>
    <w:p>
      <w:pPr>
        <w:pStyle w:val="Normal"/>
        <w:spacing w:lineRule="auto" w:line="360" w:before="0" w:after="120"/>
        <w:jc w:val="both"/>
        <w:rPr>
          <w:b w:val="false"/>
          <w:b w:val="false"/>
          <w:bCs w:val="false"/>
        </w:rPr>
      </w:pPr>
      <w:r>
        <w:rPr>
          <w:rFonts w:cs="Calibri" w:ascii="Calibri" w:hAnsi="Calibri"/>
          <w:b w:val="false"/>
          <w:bCs w:val="false"/>
        </w:rPr>
        <w:t>[2] Christoff Koch, Biophysics of Computation: Information processing in single neurons. Oxford University Press, (1999)</w:t>
      </w:r>
    </w:p>
    <w:p>
      <w:pPr>
        <w:pStyle w:val="Normal"/>
        <w:spacing w:lineRule="auto" w:line="360" w:before="0" w:after="120"/>
        <w:jc w:val="both"/>
        <w:rPr>
          <w:b w:val="false"/>
          <w:b w:val="false"/>
          <w:bCs w:val="false"/>
        </w:rPr>
      </w:pPr>
      <w:r>
        <w:rPr>
          <w:rFonts w:cs="Calibri" w:ascii="Calibri" w:hAnsi="Calibri"/>
          <w:b w:val="false"/>
          <w:bCs w:val="false"/>
        </w:rPr>
        <w:t>[3] Marie-Claude Kilhoffer, Daniel M. Roberts, Abiodun 0. Adibi, D. Martin Wattersons, Jacques Haiech, Investigation of the Mechanism of Calcium Binding to Calmodulin. Journal of Biological Chemistry 32, 17023-17029, (1988)</w:t>
      </w:r>
    </w:p>
    <w:p>
      <w:pPr>
        <w:pStyle w:val="Normal"/>
        <w:spacing w:lineRule="auto" w:line="360" w:before="0" w:after="120"/>
        <w:jc w:val="both"/>
        <w:rPr>
          <w:b w:val="false"/>
          <w:b w:val="false"/>
          <w:bCs w:val="false"/>
        </w:rPr>
      </w:pPr>
      <w:r>
        <w:rPr>
          <w:rFonts w:cs="Calibri" w:ascii="Calibri" w:hAnsi="Calibri"/>
          <w:b w:val="false"/>
          <w:bCs w:val="false"/>
        </w:rPr>
        <w:t>[4] John C. Fiala, Kristen M. Harris, Dendrites. Oxford University Press, Chapter 1: Dendrite Structure, (1999)</w:t>
      </w:r>
    </w:p>
    <w:p>
      <w:pPr>
        <w:pStyle w:val="Normal"/>
        <w:spacing w:lineRule="auto" w:line="360" w:before="0" w:after="120"/>
        <w:jc w:val="both"/>
        <w:rPr>
          <w:b w:val="false"/>
          <w:b w:val="false"/>
          <w:bCs w:val="false"/>
        </w:rPr>
      </w:pPr>
      <w:r>
        <w:rPr>
          <w:rFonts w:cs="Calibri" w:ascii="Calibri" w:hAnsi="Calibri"/>
          <w:b w:val="false"/>
          <w:bCs w:val="false"/>
        </w:rPr>
        <w:t>[5] G. C. Faas, S. Raghavachari, J. E. Lisman, I. Mody, Calmodulin as a direct detector of Ca 2+ signals. Nature Neuroscience 14, 301–304, (2011)</w:t>
      </w:r>
    </w:p>
    <w:p>
      <w:pPr>
        <w:pStyle w:val="Normal"/>
        <w:spacing w:lineRule="auto" w:line="360" w:before="0" w:after="120"/>
        <w:jc w:val="both"/>
        <w:rPr>
          <w:b w:val="false"/>
          <w:b w:val="false"/>
          <w:bCs w:val="false"/>
        </w:rPr>
      </w:pPr>
      <w:r>
        <w:rPr>
          <w:rFonts w:cs="Calibri" w:ascii="Calibri" w:hAnsi="Calibri"/>
          <w:b w:val="false"/>
          <w:bCs w:val="false"/>
        </w:rPr>
        <w:t>[6] Thomas M. Bartol, Daniel X. Keller, Justin P. Kinney, Chandrajit L. Bajaj, Kristen M. Harris, Terrence J. Sejnowski, Mary B. Kennedy, Computational reconstitution of spine calcium transients from individual proteins. Frontiers in Synaptic Neuroscience 7, Article 17, (2015)</w:t>
      </w:r>
    </w:p>
    <w:p>
      <w:pPr>
        <w:pStyle w:val="Normal"/>
        <w:spacing w:lineRule="auto" w:line="360" w:before="0" w:after="120"/>
        <w:jc w:val="both"/>
        <w:rPr>
          <w:b w:val="false"/>
          <w:b w:val="false"/>
          <w:bCs w:val="false"/>
        </w:rPr>
      </w:pPr>
      <w:r>
        <w:rPr>
          <w:rFonts w:cs="Calibri" w:ascii="Calibri" w:hAnsi="Calibri"/>
          <w:b w:val="false"/>
          <w:bCs w:val="false"/>
        </w:rPr>
        <w:t>[7] Jeff Bezanson, Stefan Karpinski, Viral B. Shah, Alan Edelman, Julia: A fast dynamic language for the technical computing. ArXiv:1209.5145, (2012)</w:t>
      </w:r>
    </w:p>
    <w:p>
      <w:pPr>
        <w:pStyle w:val="Normal"/>
        <w:spacing w:lineRule="auto" w:line="360" w:before="0" w:after="120"/>
        <w:jc w:val="both"/>
        <w:rPr>
          <w:b w:val="false"/>
          <w:b w:val="false"/>
          <w:bCs w:val="false"/>
        </w:rPr>
      </w:pPr>
      <w:r>
        <w:rPr>
          <w:rFonts w:cs="Calibri" w:ascii="Calibri" w:hAnsi="Calibri"/>
          <w:b w:val="false"/>
          <w:bCs w:val="false"/>
        </w:rPr>
        <w:t>[8] Joshua T. Vogelstein, Adam M. Packer, Timothy A. Machado, Tanya Sippy, Baktash Babadi, Rafael Yuste, Liam Paninski, Fast non-negative deconvolution for spike train inference from population calcium imaging. Journal of Neurophysiology 104, 3691-3704, (2010)</w:t>
      </w:r>
    </w:p>
    <w:p>
      <w:pPr>
        <w:pStyle w:val="Normal"/>
        <w:spacing w:lineRule="auto" w:line="360" w:before="0" w:after="120"/>
        <w:jc w:val="both"/>
        <w:rPr>
          <w:b w:val="false"/>
          <w:b w:val="false"/>
          <w:bCs w:val="false"/>
        </w:rPr>
      </w:pPr>
      <w:r>
        <w:rPr>
          <w:rFonts w:cs="Calibri" w:ascii="Calibri" w:hAnsi="Calibri"/>
          <w:b w:val="false"/>
          <w:bCs w:val="false"/>
        </w:rPr>
        <w:t>[9] E.A. Pnevmatikakis, D. Soudry, Y. Gao, T.A. Machado, J. Merel, D. Pfau, T. Reardon, Y. Mu, C. Lacefield, W. Yang, M. Ahrens, R. Bruno, T.M. Jessell, D.S. Peterka, R.Yuste, L. Paninski, Simultaneous Denoising, Deconvolution, and Demixing of Calcium Imaging Data. Neuron 89, 285-299, (2016)</w:t>
      </w:r>
    </w:p>
    <w:p>
      <w:pPr>
        <w:pStyle w:val="Normal"/>
        <w:spacing w:lineRule="auto" w:line="360" w:before="0" w:after="120"/>
        <w:jc w:val="both"/>
        <w:rPr>
          <w:b w:val="false"/>
          <w:b w:val="false"/>
          <w:bCs w:val="false"/>
        </w:rPr>
      </w:pPr>
      <w:r>
        <w:rPr>
          <w:rFonts w:cs="Calibri" w:ascii="Calibri" w:hAnsi="Calibri"/>
          <w:b w:val="false"/>
          <w:bCs w:val="false"/>
        </w:rPr>
        <w:t>[10] G.D. Forney, The Viterbi algorithm. IEEE Transactions on Information Theory 61, 268-278, (1973)</w:t>
      </w:r>
    </w:p>
    <w:p>
      <w:pPr>
        <w:pStyle w:val="Normal"/>
        <w:spacing w:lineRule="auto" w:line="360" w:before="0" w:after="120"/>
        <w:jc w:val="both"/>
        <w:rPr>
          <w:b w:val="false"/>
          <w:b w:val="false"/>
          <w:bCs w:val="false"/>
        </w:rPr>
      </w:pPr>
      <w:r>
        <w:rPr>
          <w:rFonts w:cs="Calibri" w:ascii="Calibri" w:hAnsi="Calibri"/>
          <w:b w:val="false"/>
          <w:bCs w:val="false"/>
        </w:rPr>
        <w:t>[11] Thomas Deneux, Attila Kaszas, Gergely Szalay, Gergely Katona, Tam</w:t>
      </w:r>
      <w:r>
        <w:rPr>
          <w:rFonts w:eastAsia="Times New Roman" w:cs="Calibri" w:ascii="Cantarell" w:hAnsi="Cantarell"/>
          <w:b w:val="false"/>
          <w:bCs w:val="false"/>
        </w:rPr>
        <w:t>á</w:t>
      </w:r>
      <w:r>
        <w:rPr>
          <w:rFonts w:cs="Calibri" w:ascii="Calibri" w:hAnsi="Calibri"/>
          <w:b w:val="false"/>
          <w:bCs w:val="false"/>
        </w:rPr>
        <w:t>s Lakner, Amiram Grinvald, Bal</w:t>
      </w:r>
      <w:r>
        <w:rPr>
          <w:rFonts w:eastAsia="Times New Roman" w:cs="Calibri" w:ascii="Cantarell" w:hAnsi="Cantarell"/>
          <w:b w:val="false"/>
          <w:bCs w:val="false"/>
        </w:rPr>
        <w:t>á</w:t>
      </w:r>
      <w:r>
        <w:rPr>
          <w:rFonts w:cs="Calibri" w:ascii="Calibri" w:hAnsi="Calibri"/>
          <w:b w:val="false"/>
          <w:bCs w:val="false"/>
        </w:rPr>
        <w:t>zs R</w:t>
      </w:r>
      <w:r>
        <w:rPr>
          <w:rFonts w:eastAsia="Times New Roman" w:cs="Calibri" w:ascii="Cantarell" w:hAnsi="Cantarell"/>
          <w:b w:val="false"/>
          <w:bCs w:val="false"/>
        </w:rPr>
        <w:t>ó</w:t>
      </w:r>
      <w:r>
        <w:rPr>
          <w:rFonts w:eastAsia="Times New Roman" w:cs="Calibri" w:ascii="Calibri" w:hAnsi="Calibri"/>
          <w:b w:val="false"/>
          <w:bCs w:val="false"/>
        </w:rPr>
        <w:t>z</w:t>
      </w:r>
      <w:r>
        <w:rPr>
          <w:rFonts w:cs="Calibri" w:ascii="Calibri" w:hAnsi="Calibri"/>
          <w:b w:val="false"/>
          <w:bCs w:val="false"/>
        </w:rPr>
        <w:t>sa, Ivo Vanzetta, Accurate spike estimation from noisy calcium signals for ultrafast three-dimensional imaging of large neuronal populations in vivo. Nature Communications 7, 12190, (2016)</w:t>
      </w:r>
    </w:p>
    <w:p>
      <w:pPr>
        <w:pStyle w:val="Normal"/>
        <w:spacing w:lineRule="auto" w:line="360" w:before="0" w:after="120"/>
        <w:jc w:val="both"/>
        <w:rPr>
          <w:b w:val="false"/>
          <w:b w:val="false"/>
          <w:bCs w:val="false"/>
        </w:rPr>
      </w:pPr>
      <w:r>
        <w:rPr>
          <w:rFonts w:cs="Calibri" w:ascii="Calibri" w:hAnsi="Calibri"/>
          <w:b w:val="false"/>
          <w:bCs w:val="false"/>
        </w:rPr>
        <w:t>[12] Johannes Friedrich, Liam Paninski, Fast active set methods for online spike inference from calcium imaging. 30th Conference on Neural Information Processing Systems, (2017)</w:t>
      </w:r>
    </w:p>
    <w:p>
      <w:pPr>
        <w:pStyle w:val="Normal"/>
        <w:spacing w:lineRule="auto" w:line="360" w:before="0" w:after="120"/>
        <w:jc w:val="both"/>
        <w:rPr>
          <w:b w:val="false"/>
          <w:b w:val="false"/>
          <w:bCs w:val="false"/>
        </w:rPr>
      </w:pPr>
      <w:r>
        <w:rPr>
          <w:rFonts w:cs="Calibri" w:ascii="Calibri" w:hAnsi="Calibri"/>
          <w:b w:val="false"/>
          <w:bCs w:val="false"/>
        </w:rPr>
        <w:t>[13] Mayumi Tada, Atsuya Takeuchi, Miki Hashizume, Kazuo Kitamura, Masanobu Kano, A highly sensitive fluorescent indicator dye for calcium imaging of neural activity in vitro and in vivo. European Journal of Neuroscience 39, 1720-1728, (2014)</w:t>
      </w:r>
    </w:p>
    <w:p>
      <w:pPr>
        <w:pStyle w:val="Normal"/>
        <w:spacing w:lineRule="auto" w:line="360" w:before="0" w:after="120"/>
        <w:jc w:val="both"/>
        <w:rPr/>
      </w:pPr>
      <w:r>
        <w:rPr>
          <w:rFonts w:cs="Calibri" w:ascii="Calibri" w:hAnsi="Calibri"/>
          <w:b w:val="false"/>
          <w:bCs w:val="false"/>
        </w:rPr>
        <w:t>[1</w:t>
      </w:r>
      <w:r>
        <w:rPr>
          <w:rFonts w:eastAsia="Times New Roman" w:cs="Calibri" w:ascii="Calibri" w:hAnsi="Calibri"/>
          <w:b w:val="false"/>
          <w:bCs w:val="false"/>
        </w:rPr>
        <w:t>4]</w:t>
      </w:r>
      <w:r>
        <w:rPr>
          <w:rFonts w:eastAsia="Times New Roman" w:cs="Calibri" w:ascii="Calibri" w:hAnsi="Calibri"/>
          <w:b w:val="false"/>
          <w:bCs w:val="false"/>
          <w:sz w:val="24"/>
          <w:szCs w:val="24"/>
        </w:rPr>
        <w:t xml:space="preserve"> Philipp Berens et al., Community-based benchmarking improves spike inference from two-photon calcium imaging data, bioRXiv, https://doi.org/10.1101/177956 , (2017)</w:t>
      </w:r>
    </w:p>
    <w:p>
      <w:pPr>
        <w:pStyle w:val="Normal"/>
        <w:spacing w:lineRule="auto" w:line="360" w:before="0" w:after="120"/>
        <w:jc w:val="both"/>
        <w:rPr/>
      </w:pPr>
      <w:r>
        <w:rPr>
          <w:rFonts w:eastAsia="Times New Roman" w:cs="Calibri" w:ascii="Calibri" w:hAnsi="Calibri"/>
          <w:b w:val="false"/>
          <w:bCs w:val="false"/>
          <w:sz w:val="24"/>
          <w:szCs w:val="24"/>
        </w:rPr>
        <w:t>[15] Tsai-Wen Chen et al., Ultrasensitive fluorescent proteins for imaging neuronal activity, Nature 499, 295-302, (2013)</w:t>
      </w:r>
    </w:p>
    <w:p>
      <w:pPr>
        <w:pStyle w:val="Normal"/>
        <w:spacing w:lineRule="auto" w:line="360" w:before="0" w:after="120"/>
        <w:jc w:val="both"/>
        <w:rPr/>
      </w:pPr>
      <w:r>
        <w:rPr/>
      </w:r>
    </w:p>
    <w:sectPr>
      <w:footerReference w:type="default" r:id="rId14"/>
      <w:type w:val="nextPage"/>
      <w:pgSz w:w="11906" w:h="16838"/>
      <w:pgMar w:left="1440" w:right="1440" w:header="0" w:top="1440" w:footer="720" w:bottom="1440" w:gutter="0"/>
      <w:lnNumType w:countBy="1" w:restart="continuous"/>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ntarel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87294543"/>
    </w:sdtPr>
    <w:sdtContent>
      <w:p>
        <w:pPr>
          <w:pStyle w:val="Footer"/>
          <w:rPr/>
        </w:pPr>
        <w:r>
          <w:rPr/>
          <w:fldChar w:fldCharType="begin"/>
        </w:r>
        <w:r>
          <w:instrText> PAGE </w:instrText>
        </w:r>
        <w:r>
          <w:fldChar w:fldCharType="separate"/>
        </w:r>
        <w:r>
          <w:t>27</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GB"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styleId="Normal" w:default="1">
    <w:name w:val="Normal"/>
    <w:qFormat/>
    <w:rsid w:val="002552be"/>
    <w:pPr>
      <w:widowControl/>
      <w:bidi w:val="0"/>
      <w:jc w:val="left"/>
    </w:pPr>
    <w:rPr>
      <w:rFonts w:ascii="Times New Roman" w:hAnsi="Times New Roman" w:eastAsia="Times New Roman" w:cs="Times New Roman"/>
      <w:color w:val="00000A"/>
      <w:sz w:val="24"/>
      <w:szCs w:val="24"/>
      <w:lang w:val="en-GB" w:eastAsia="en-US" w:bidi="ar-SA"/>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f756c4"/>
    <w:rPr/>
  </w:style>
  <w:style w:type="character" w:styleId="Pagenumber">
    <w:name w:val="page number"/>
    <w:basedOn w:val="DefaultParagraphFont"/>
    <w:uiPriority w:val="99"/>
    <w:semiHidden/>
    <w:unhideWhenUsed/>
    <w:qFormat/>
    <w:rsid w:val="00f756c4"/>
    <w:rPr/>
  </w:style>
  <w:style w:type="character" w:styleId="PlaceholderText">
    <w:name w:val="Placeholder Text"/>
    <w:basedOn w:val="DefaultParagraphFont"/>
    <w:uiPriority w:val="99"/>
    <w:semiHidden/>
    <w:qFormat/>
    <w:rsid w:val="00f339aa"/>
    <w:rPr>
      <w:color w:val="808080"/>
    </w:rPr>
  </w:style>
  <w:style w:type="character" w:styleId="Linenumber">
    <w:name w:val="line number"/>
    <w:basedOn w:val="DefaultParagraphFont"/>
    <w:uiPriority w:val="99"/>
    <w:semiHidden/>
    <w:unhideWhenUsed/>
    <w:qFormat/>
    <w:rsid w:val="00316473"/>
    <w:rPr/>
  </w:style>
  <w:style w:type="character" w:styleId="HeaderChar" w:customStyle="1">
    <w:name w:val="Header Char"/>
    <w:basedOn w:val="DefaultParagraphFont"/>
    <w:link w:val="Header"/>
    <w:uiPriority w:val="99"/>
    <w:semiHidden/>
    <w:qFormat/>
    <w:rsid w:val="000151a6"/>
    <w:rPr>
      <w:rFonts w:ascii="Times New Roman" w:hAnsi="Times New Roman" w:eastAsia="Times New Roman" w:cs="Times New Roman"/>
    </w:rPr>
  </w:style>
  <w:style w:type="character" w:styleId="BalloonTextChar" w:customStyle="1">
    <w:name w:val="Balloon Text Char"/>
    <w:basedOn w:val="DefaultParagraphFont"/>
    <w:link w:val="BalloonText"/>
    <w:uiPriority w:val="99"/>
    <w:semiHidden/>
    <w:qFormat/>
    <w:rsid w:val="000f5346"/>
    <w:rPr>
      <w:rFonts w:ascii="Times New Roman" w:hAnsi="Times New Roman" w:eastAsia="Times New Roman" w:cs="Times New Roman"/>
      <w:sz w:val="18"/>
      <w:szCs w:val="18"/>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cs="OpenSymbol"/>
      <w:b w:val="false"/>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val="false"/>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link w:val="FooterChar"/>
    <w:uiPriority w:val="99"/>
    <w:unhideWhenUsed/>
    <w:rsid w:val="00f756c4"/>
    <w:pPr>
      <w:suppressLineNumbers/>
      <w:tabs>
        <w:tab w:val="center" w:pos="4513" w:leader="none"/>
        <w:tab w:val="right" w:pos="9026" w:leader="none"/>
      </w:tabs>
    </w:pPr>
    <w:rPr/>
  </w:style>
  <w:style w:type="paragraph" w:styleId="ListParagraph">
    <w:name w:val="List Paragraph"/>
    <w:basedOn w:val="Normal"/>
    <w:uiPriority w:val="34"/>
    <w:qFormat/>
    <w:rsid w:val="00b10ddf"/>
    <w:pPr>
      <w:spacing w:before="0" w:after="0"/>
      <w:ind w:left="720" w:hanging="0"/>
      <w:contextualSpacing/>
    </w:pPr>
    <w:rPr/>
  </w:style>
  <w:style w:type="paragraph" w:styleId="Header">
    <w:name w:val="Header"/>
    <w:basedOn w:val="Normal"/>
    <w:link w:val="HeaderChar"/>
    <w:uiPriority w:val="99"/>
    <w:semiHidden/>
    <w:unhideWhenUsed/>
    <w:rsid w:val="000151a6"/>
    <w:pPr>
      <w:suppressLineNumbers/>
      <w:tabs>
        <w:tab w:val="center" w:pos="4513" w:leader="none"/>
        <w:tab w:val="right" w:pos="9026" w:leader="none"/>
      </w:tabs>
    </w:pPr>
    <w:rPr/>
  </w:style>
  <w:style w:type="paragraph" w:styleId="Revision">
    <w:name w:val="Revision"/>
    <w:uiPriority w:val="99"/>
    <w:semiHidden/>
    <w:qFormat/>
    <w:rsid w:val="000f5346"/>
    <w:pPr>
      <w:widowControl/>
      <w:bidi w:val="0"/>
      <w:jc w:val="left"/>
    </w:pPr>
    <w:rPr>
      <w:rFonts w:ascii="Times New Roman" w:hAnsi="Times New Roman" w:eastAsia="Times New Roman" w:cs="Times New Roman"/>
      <w:color w:val="00000A"/>
      <w:sz w:val="24"/>
      <w:szCs w:val="24"/>
      <w:lang w:val="en-GB" w:eastAsia="en-US" w:bidi="ar-SA"/>
    </w:rPr>
  </w:style>
  <w:style w:type="paragraph" w:styleId="BalloonText">
    <w:name w:val="Balloon Text"/>
    <w:basedOn w:val="Normal"/>
    <w:link w:val="BalloonTextChar"/>
    <w:uiPriority w:val="99"/>
    <w:semiHidden/>
    <w:unhideWhenUsed/>
    <w:qFormat/>
    <w:rsid w:val="000f5346"/>
    <w:pPr/>
    <w:rPr>
      <w:sz w:val="18"/>
      <w:szCs w:val="18"/>
    </w:rPr>
  </w:style>
  <w:style w:type="paragraph" w:styleId="TableContents">
    <w:name w:val="Table Contents"/>
    <w:basedOn w:val="Normal"/>
    <w:qFormat/>
    <w:pPr/>
    <w:rPr/>
  </w:style>
  <w:style w:type="paragraph" w:styleId="TableHeading">
    <w:name w:val="Table Heading"/>
    <w:basedOn w:val="TableContents"/>
    <w:qFormat/>
    <w:pPr/>
    <w:rPr/>
  </w:style>
  <w:style w:type="paragraph" w:styleId="Table">
    <w:name w:val="Tabl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b448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1849</TotalTime>
  <Application>LibreOffice/5.3.6.1$Linux_X86_64 LibreOffice_project/30$Build-1</Application>
  <Pages>27</Pages>
  <Words>6696</Words>
  <Characters>36798</Characters>
  <CharactersWithSpaces>43280</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2018-08-23T14:52:00Z</dcterms:created>
  <dc:creator>Cian O'Donnell</dc:creator>
  <dc:description/>
  <dc:language>en-GB</dc:language>
  <cp:lastModifiedBy/>
  <dcterms:modified xsi:type="dcterms:W3CDTF">2019-11-29T14:36:34Z</dcterms:modified>
  <cp:revision>542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