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856705" w:rsidRDefault="00E51DFD">
      <w:pPr>
        <w:pStyle w:val="DocumentProject"/>
        <w:framePr w:hSpace="0" w:wrap="auto" w:vAnchor="margin" w:yAlign="inline"/>
        <w:ind w:left="360"/>
        <w:rPr>
          <w:b w:val="0"/>
        </w:rPr>
      </w:pPr>
      <w:r w:rsidRPr="00856705">
        <w:rPr>
          <w:b w:val="0"/>
        </w:rPr>
        <w:t>Methodology</w:t>
      </w:r>
    </w:p>
    <w:p w:rsidR="00E51DFD" w:rsidRPr="00856705" w:rsidRDefault="008A3EF1">
      <w:pPr>
        <w:pStyle w:val="DocumentProject"/>
        <w:framePr w:hSpace="0" w:wrap="auto" w:vAnchor="margin" w:yAlign="inline"/>
        <w:ind w:left="360"/>
      </w:pPr>
      <w:r>
        <w:t>May</w:t>
      </w:r>
      <w:r w:rsidR="008163B0" w:rsidRPr="00856705">
        <w:t xml:space="preserve"> 2010</w:t>
      </w:r>
      <w:r w:rsidR="002F4622" w:rsidRPr="00856705">
        <w:t xml:space="preserve"> </w:t>
      </w:r>
      <w:r w:rsidR="009554A0" w:rsidRPr="00856705">
        <w:t>–</w:t>
      </w:r>
      <w:r w:rsidR="00F24B36" w:rsidRPr="00856705">
        <w:t xml:space="preserve"> Omnibus</w:t>
      </w:r>
      <w:r>
        <w:t xml:space="preserve"> Wk 1</w:t>
      </w:r>
      <w:r w:rsidR="007F3387">
        <w:t xml:space="preserve"> </w:t>
      </w:r>
    </w:p>
    <w:p w:rsidR="00E51DFD" w:rsidRPr="00856705" w:rsidRDefault="00E51DFD">
      <w:pPr>
        <w:pStyle w:val="DocumentClient"/>
        <w:framePr w:hSpace="0" w:wrap="auto" w:vAnchor="margin" w:yAlign="inline"/>
        <w:ind w:left="360"/>
      </w:pPr>
      <w:r w:rsidRPr="00856705">
        <w:t>Prepared by Princeton Survey Research Associates International</w:t>
      </w:r>
    </w:p>
    <w:p w:rsidR="00E51DFD" w:rsidRPr="00856705" w:rsidRDefault="008A3EF1">
      <w:pPr>
        <w:pStyle w:val="DocumentDate"/>
        <w:framePr w:hSpace="0" w:wrap="auto" w:vAnchor="margin" w:yAlign="inline"/>
        <w:spacing w:after="480"/>
        <w:ind w:left="360"/>
      </w:pPr>
      <w:r>
        <w:t>May</w:t>
      </w:r>
      <w:r w:rsidR="008163B0" w:rsidRPr="00856705">
        <w:t xml:space="preserve"> 2010</w:t>
      </w:r>
    </w:p>
    <w:p w:rsidR="00E51DFD" w:rsidRPr="00856705" w:rsidRDefault="00E51DFD">
      <w:pPr>
        <w:pStyle w:val="BodyofReport"/>
        <w:ind w:firstLine="0"/>
        <w:rPr>
          <w:b/>
          <w:bCs/>
        </w:rPr>
      </w:pPr>
      <w:r w:rsidRPr="00856705">
        <w:rPr>
          <w:b/>
          <w:bCs/>
        </w:rPr>
        <w:t>SUMMARY</w:t>
      </w:r>
    </w:p>
    <w:p w:rsidR="00E51DFD" w:rsidRPr="00856705" w:rsidRDefault="00E51DFD">
      <w:pPr>
        <w:pStyle w:val="BodyofReport"/>
        <w:ind w:firstLine="0"/>
      </w:pPr>
    </w:p>
    <w:p w:rsidR="00E51DFD" w:rsidRPr="00856705" w:rsidRDefault="00E51DFD">
      <w:pPr>
        <w:pStyle w:val="BodyofReport"/>
      </w:pPr>
      <w:r w:rsidRPr="00856705">
        <w:t xml:space="preserve">The </w:t>
      </w:r>
      <w:r w:rsidR="00D30896" w:rsidRPr="00856705">
        <w:t xml:space="preserve">PSRAI </w:t>
      </w:r>
      <w:r w:rsidR="008A3EF1">
        <w:t>May</w:t>
      </w:r>
      <w:r w:rsidR="008163B0" w:rsidRPr="00856705">
        <w:t xml:space="preserve"> 2010</w:t>
      </w:r>
      <w:r w:rsidR="002F4622" w:rsidRPr="00856705">
        <w:t xml:space="preserve"> </w:t>
      </w:r>
      <w:r w:rsidR="004C55F7" w:rsidRPr="00856705">
        <w:t>O</w:t>
      </w:r>
      <w:r w:rsidR="00D30896" w:rsidRPr="00856705">
        <w:t>mnibus</w:t>
      </w:r>
      <w:r w:rsidR="009554A0" w:rsidRPr="00856705">
        <w:t xml:space="preserve"> </w:t>
      </w:r>
      <w:r w:rsidR="008A3EF1">
        <w:t>Wk 1</w:t>
      </w:r>
      <w:r w:rsidRPr="00856705">
        <w:t xml:space="preserve"> obtained telephone interviews with a nationally representative sample of </w:t>
      </w:r>
      <w:r w:rsidR="008A3EF1">
        <w:t>994</w:t>
      </w:r>
      <w:r w:rsidR="00D30896" w:rsidRPr="00856705">
        <w:t xml:space="preserve"> </w:t>
      </w:r>
      <w:r w:rsidRPr="00856705">
        <w:t>adults living in</w:t>
      </w:r>
      <w:r w:rsidR="00BF6DE2" w:rsidRPr="00856705">
        <w:t xml:space="preserve"> the</w:t>
      </w:r>
      <w:r w:rsidRPr="00856705">
        <w:t xml:space="preserve"> continental United States. </w:t>
      </w:r>
      <w:r w:rsidR="00D44672" w:rsidRPr="00856705">
        <w:t>The survey was conducted by Princeton Survey Research International</w:t>
      </w:r>
      <w:r w:rsidR="00044DFC" w:rsidRPr="00856705">
        <w:t xml:space="preserve"> (PSRAI)</w:t>
      </w:r>
      <w:r w:rsidR="00D44672" w:rsidRPr="00856705">
        <w:t xml:space="preserve">. Interviews </w:t>
      </w:r>
      <w:r w:rsidRPr="00856705">
        <w:t xml:space="preserve">were </w:t>
      </w:r>
      <w:r w:rsidR="00EE1BB7" w:rsidRPr="00856705">
        <w:t>done</w:t>
      </w:r>
      <w:r w:rsidRPr="00856705">
        <w:t xml:space="preserve"> in English</w:t>
      </w:r>
      <w:r w:rsidR="008163B0" w:rsidRPr="00856705">
        <w:t xml:space="preserve"> </w:t>
      </w:r>
      <w:r w:rsidRPr="00856705">
        <w:t xml:space="preserve">by </w:t>
      </w:r>
      <w:r w:rsidR="00BF6DE2" w:rsidRPr="00856705">
        <w:t>Princeton Data Source</w:t>
      </w:r>
      <w:r w:rsidRPr="00856705">
        <w:t xml:space="preserve"> from </w:t>
      </w:r>
      <w:r w:rsidR="008A3EF1">
        <w:t>May</w:t>
      </w:r>
      <w:r w:rsidR="004C55F7" w:rsidRPr="00856705">
        <w:t xml:space="preserve"> </w:t>
      </w:r>
      <w:r w:rsidR="008A3EF1">
        <w:t>6</w:t>
      </w:r>
      <w:r w:rsidR="00856705" w:rsidRPr="00856705">
        <w:t>-</w:t>
      </w:r>
      <w:r w:rsidR="008A3EF1">
        <w:t>9</w:t>
      </w:r>
      <w:r w:rsidR="008163B0" w:rsidRPr="00856705">
        <w:t>, 2010</w:t>
      </w:r>
      <w:r w:rsidRPr="00856705">
        <w:t>. Statistical results are weighted to correct known demographic discrepancies. The margin of sampling error for the complete set of weighted data is ±</w:t>
      </w:r>
      <w:r w:rsidR="00711397" w:rsidRPr="00856705">
        <w:t>3.</w:t>
      </w:r>
      <w:r w:rsidR="004C55F7" w:rsidRPr="00856705">
        <w:t>6</w:t>
      </w:r>
      <w:r w:rsidR="00F16150" w:rsidRPr="00856705">
        <w:t xml:space="preserve"> percentage points</w:t>
      </w:r>
      <w:r w:rsidRPr="00856705">
        <w:t>.</w:t>
      </w:r>
    </w:p>
    <w:p w:rsidR="00E51DFD" w:rsidRPr="00856705" w:rsidRDefault="00E51DFD">
      <w:pPr>
        <w:pStyle w:val="BodyofReport"/>
      </w:pPr>
      <w:r w:rsidRPr="00856705">
        <w:t>Details on the design, execution and analysis of the survey are discussed below.</w:t>
      </w:r>
    </w:p>
    <w:p w:rsidR="00E51DFD" w:rsidRPr="00856705" w:rsidRDefault="00E51DFD">
      <w:pPr>
        <w:pStyle w:val="BodyofReport"/>
        <w:ind w:firstLine="0"/>
        <w:rPr>
          <w:highlight w:val="yellow"/>
        </w:rPr>
      </w:pPr>
    </w:p>
    <w:p w:rsidR="00E51DFD" w:rsidRPr="00856705" w:rsidRDefault="00E51DFD">
      <w:pPr>
        <w:pStyle w:val="Heading1"/>
        <w:rPr>
          <w:rFonts w:ascii="Times New Roman" w:hAnsi="Times New Roman"/>
          <w:caps/>
          <w:sz w:val="24"/>
        </w:rPr>
      </w:pPr>
      <w:r w:rsidRPr="00856705">
        <w:rPr>
          <w:rFonts w:ascii="Times New Roman" w:hAnsi="Times New Roman"/>
          <w:caps/>
          <w:sz w:val="24"/>
        </w:rPr>
        <w:t>Design AND Data Collection Procedures</w:t>
      </w:r>
    </w:p>
    <w:p w:rsidR="00E51DFD" w:rsidRPr="00856705" w:rsidRDefault="00E51DFD"/>
    <w:p w:rsidR="00E51DFD" w:rsidRPr="00856705" w:rsidRDefault="00E51DFD">
      <w:pPr>
        <w:pStyle w:val="Heading4"/>
      </w:pPr>
      <w:r w:rsidRPr="00856705">
        <w:t>Sample Design</w:t>
      </w:r>
    </w:p>
    <w:p w:rsidR="00E51DFD" w:rsidRPr="00856705" w:rsidRDefault="00E51DFD">
      <w:pPr>
        <w:rPr>
          <w:b/>
          <w:bCs/>
        </w:rPr>
      </w:pPr>
    </w:p>
    <w:p w:rsidR="006806AB" w:rsidRPr="00856705" w:rsidRDefault="006806AB" w:rsidP="006806AB">
      <w:pPr>
        <w:pStyle w:val="BodyofReport"/>
      </w:pPr>
      <w:r w:rsidRPr="00856705">
        <w:t xml:space="preserve">A combination of landline and cellular random digit dial (RDD) samples was used to represent all adults in the continental </w:t>
      </w:r>
      <w:smartTag w:uri="urn:schemas-microsoft-com:office:smarttags" w:element="country-region">
        <w:smartTag w:uri="urn:schemas-microsoft-com:office:smarttags" w:element="place">
          <w:r w:rsidRPr="00856705">
            <w:t>United States</w:t>
          </w:r>
        </w:smartTag>
      </w:smartTag>
      <w:r w:rsidRPr="00856705">
        <w:t xml:space="preserve"> who have access to either a landline or cellular telephone. Both samples were provided by Survey Sampling International, LLC (SSI) according to PSRAI specifications.</w:t>
      </w:r>
    </w:p>
    <w:p w:rsidR="006806AB" w:rsidRPr="00856705" w:rsidRDefault="006806AB" w:rsidP="006806AB">
      <w:pPr>
        <w:pStyle w:val="BodyofReport"/>
      </w:pPr>
      <w:r w:rsidRPr="00856705">
        <w:t xml:space="preserve">Numbers for the landline sample were drawn </w:t>
      </w:r>
      <w:r w:rsidR="00F24B36" w:rsidRPr="00856705">
        <w:t xml:space="preserve">with probabilities in proportion to their share of listed telephone households from active blocks </w:t>
      </w:r>
      <w:r w:rsidRPr="00856705">
        <w:t>(area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6806AB" w:rsidRPr="00856705" w:rsidRDefault="006806AB" w:rsidP="006806AB">
      <w:pPr>
        <w:pStyle w:val="BodyofReport"/>
        <w:rPr>
          <w:highlight w:val="yellow"/>
        </w:rPr>
      </w:pPr>
    </w:p>
    <w:p w:rsidR="00E51DFD" w:rsidRPr="00856705" w:rsidRDefault="00E51DFD" w:rsidP="005219D3">
      <w:pPr>
        <w:pStyle w:val="Heading4"/>
        <w:spacing w:line="480" w:lineRule="auto"/>
      </w:pPr>
      <w:r w:rsidRPr="00856705">
        <w:t>Contact Procedures</w:t>
      </w:r>
    </w:p>
    <w:p w:rsidR="0002104A" w:rsidRPr="00856705" w:rsidRDefault="00E51DFD">
      <w:pPr>
        <w:pStyle w:val="BodyofReport"/>
      </w:pPr>
      <w:r w:rsidRPr="00856705">
        <w:t xml:space="preserve">Interviews were conducted from </w:t>
      </w:r>
      <w:r w:rsidR="008A3EF1">
        <w:t>May</w:t>
      </w:r>
      <w:r w:rsidR="008A3EF1" w:rsidRPr="00856705">
        <w:t xml:space="preserve"> </w:t>
      </w:r>
      <w:r w:rsidR="008A3EF1">
        <w:t>6</w:t>
      </w:r>
      <w:r w:rsidR="008A3EF1" w:rsidRPr="00856705">
        <w:t>-</w:t>
      </w:r>
      <w:r w:rsidR="008A3EF1">
        <w:t>9</w:t>
      </w:r>
      <w:r w:rsidR="00F24B36" w:rsidRPr="00856705">
        <w:t>, 2010</w:t>
      </w:r>
      <w:r w:rsidR="00C549C6" w:rsidRPr="00856705">
        <w:t xml:space="preserve">. As many as </w:t>
      </w:r>
      <w:r w:rsidR="00F24B36" w:rsidRPr="00856705">
        <w:t>5</w:t>
      </w:r>
      <w:r w:rsidRPr="00856705">
        <w:t xml:space="preserv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w:t>
      </w:r>
      <w:r w:rsidRPr="00856705">
        <w:lastRenderedPageBreak/>
        <w:t xml:space="preserve">staggered over times of day and days of the week to maximize the chance of making contact with potential respondents. Each </w:t>
      </w:r>
      <w:r w:rsidR="0002104A" w:rsidRPr="00856705">
        <w:t>phone number</w:t>
      </w:r>
      <w:r w:rsidRPr="00856705">
        <w:t xml:space="preserve"> received at least one daytime call. </w:t>
      </w:r>
    </w:p>
    <w:p w:rsidR="00B454EE" w:rsidRPr="00856705" w:rsidRDefault="00B454EE" w:rsidP="00B454EE">
      <w:pPr>
        <w:pStyle w:val="BodyofReport"/>
      </w:pPr>
      <w:r w:rsidRPr="00856705">
        <w:t xml:space="preserve">For the landline sample, </w:t>
      </w:r>
      <w:r w:rsidR="009554A0" w:rsidRPr="00856705">
        <w:t>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B454EE" w:rsidRPr="00856705" w:rsidRDefault="00B454EE" w:rsidP="00B454EE">
      <w:pPr>
        <w:pStyle w:val="BodyofReport"/>
      </w:pPr>
      <w:r w:rsidRPr="00856705">
        <w:t xml:space="preserve">For the cellular sample, interviews were conducted with the person who answered the phone. Interviewers verified that the person was an adult and in a safe place before administering the survey. </w:t>
      </w:r>
    </w:p>
    <w:p w:rsidR="00E51DFD" w:rsidRPr="00856705" w:rsidRDefault="00E51DFD">
      <w:pPr>
        <w:pStyle w:val="Heading1"/>
        <w:rPr>
          <w:rFonts w:ascii="Times New Roman" w:hAnsi="Times New Roman"/>
          <w:caps/>
          <w:sz w:val="24"/>
        </w:rPr>
      </w:pPr>
      <w:r w:rsidRPr="00856705">
        <w:rPr>
          <w:rFonts w:ascii="Times New Roman" w:hAnsi="Times New Roman"/>
          <w:caps/>
          <w:sz w:val="24"/>
        </w:rPr>
        <w:t>Weighting and analysis</w:t>
      </w:r>
    </w:p>
    <w:p w:rsidR="00E51DFD" w:rsidRPr="00856705" w:rsidRDefault="00E51DFD"/>
    <w:p w:rsidR="00257E51" w:rsidRPr="00856705" w:rsidRDefault="00257E51" w:rsidP="00675DD6">
      <w:pPr>
        <w:pStyle w:val="BodyofReport"/>
      </w:pPr>
      <w:r w:rsidRPr="00856705">
        <w:t>Weighting is generally used in survey analysis to compensate for sample designs and patterns of non-response that might bias results. A two-stage weighting procedure was used to weight this dual-frame sample.</w:t>
      </w:r>
    </w:p>
    <w:p w:rsidR="00FB6864" w:rsidRPr="00856705" w:rsidRDefault="00C831B5" w:rsidP="00675DD6">
      <w:pPr>
        <w:pStyle w:val="BodyofReport"/>
      </w:pPr>
      <w:r w:rsidRPr="00856705">
        <w:t>The first stage of weighting includes two adjustments to the sample. The first adjustment</w:t>
      </w:r>
      <w:r w:rsidR="00B611DB" w:rsidRPr="00856705">
        <w:t xml:space="preserve"> – the</w:t>
      </w:r>
      <w:r w:rsidR="00257E51" w:rsidRPr="00856705">
        <w:t xml:space="preserve"> Probability of Selection Adjustment</w:t>
      </w:r>
      <w:r w:rsidRPr="00856705">
        <w:t xml:space="preserve"> (PSA) - </w:t>
      </w:r>
      <w:r w:rsidR="00675DD6" w:rsidRPr="00856705">
        <w:t>corrects for the fact that respondents in the landline sample have different probabilities of being sampled depending on how many adults live in the household. Since we only sample one person per household, adults who live with no other adults have a greater chance of being sample</w:t>
      </w:r>
      <w:r w:rsidR="00FB6864" w:rsidRPr="00856705">
        <w:t>d</w:t>
      </w:r>
      <w:r w:rsidR="00675DD6" w:rsidRPr="00856705">
        <w:t xml:space="preserve"> than adults who live </w:t>
      </w:r>
      <w:r w:rsidR="00FB6864" w:rsidRPr="00856705">
        <w:t>in multiple-adult households.</w:t>
      </w:r>
    </w:p>
    <w:p w:rsidR="00675DD6" w:rsidRPr="00856705" w:rsidRDefault="00675DD6" w:rsidP="00675DD6">
      <w:pPr>
        <w:pStyle w:val="BodyofReport"/>
      </w:pPr>
      <w:r w:rsidRPr="00856705">
        <w:t xml:space="preserve">To compute the PSA, first define </w:t>
      </w:r>
      <w:r w:rsidRPr="00856705">
        <w:rPr>
          <w:i/>
        </w:rPr>
        <w:t>n</w:t>
      </w:r>
      <w:r w:rsidRPr="00856705">
        <w:rPr>
          <w:vertAlign w:val="subscript"/>
        </w:rPr>
        <w:t>1</w:t>
      </w:r>
      <w:r w:rsidRPr="00856705">
        <w:t xml:space="preserve"> as the number of </w:t>
      </w:r>
      <w:r w:rsidR="00BC275F" w:rsidRPr="00856705">
        <w:t>respondents</w:t>
      </w:r>
      <w:r w:rsidRPr="00856705">
        <w:t xml:space="preserve"> in the landline sample who live in single-adults households and </w:t>
      </w:r>
      <w:r w:rsidRPr="00856705">
        <w:rPr>
          <w:i/>
        </w:rPr>
        <w:t>n</w:t>
      </w:r>
      <w:r w:rsidRPr="00856705">
        <w:rPr>
          <w:vertAlign w:val="subscript"/>
        </w:rPr>
        <w:t>2</w:t>
      </w:r>
      <w:r w:rsidRPr="00856705">
        <w:t xml:space="preserve"> as the number </w:t>
      </w:r>
      <w:r w:rsidR="00BC275F" w:rsidRPr="00856705">
        <w:t>of respondents</w:t>
      </w:r>
      <w:r w:rsidR="00C72766" w:rsidRPr="00856705">
        <w:t xml:space="preserve"> in the landline sample who</w:t>
      </w:r>
      <w:r w:rsidRPr="00856705">
        <w:t xml:space="preserve"> live in multi-adult households. The PSA equals:</w:t>
      </w:r>
    </w:p>
    <w:p w:rsidR="00675DD6" w:rsidRPr="00856705" w:rsidRDefault="00675DD6" w:rsidP="00675DD6">
      <w:pPr>
        <w:pStyle w:val="BodyofReport"/>
      </w:pPr>
    </w:p>
    <w:p w:rsidR="00675DD6" w:rsidRPr="00856705" w:rsidRDefault="0017640D" w:rsidP="00A63C10">
      <w:pPr>
        <w:ind w:left="1440"/>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respondents in single-adult households</m:t>
          </m:r>
        </m:oMath>
      </m:oMathPara>
    </w:p>
    <w:p w:rsidR="00675DD6" w:rsidRPr="00856705" w:rsidRDefault="0017640D" w:rsidP="00A63C10">
      <w:pPr>
        <w:spacing w:before="240"/>
        <w:ind w:left="1440"/>
      </w:pPr>
      <m:oMathPara>
        <m:oMathParaPr>
          <m:jc m:val="center"/>
        </m:oMathParaPr>
        <m:oMath>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repondents in multiple-adult households</m:t>
          </m:r>
        </m:oMath>
      </m:oMathPara>
    </w:p>
    <w:p w:rsidR="00675DD6" w:rsidRPr="00856705" w:rsidRDefault="0017640D" w:rsidP="00A63C10">
      <w:pPr>
        <w:pStyle w:val="BodyofReport"/>
        <w:spacing w:before="240"/>
        <w:ind w:left="720"/>
      </w:pPr>
      <m:oMathPara>
        <m:oMath>
          <m:r>
            <w:rPr>
              <w:rFonts w:ascii="Cambria Math" w:hAnsi="Cambria Math"/>
            </w:rPr>
            <m:t>1 for cellphone repondents</m:t>
          </m:r>
        </m:oMath>
      </m:oMathPara>
    </w:p>
    <w:p w:rsidR="00CC765F" w:rsidRPr="00856705" w:rsidRDefault="00C831B5" w:rsidP="00C82CD1">
      <w:pPr>
        <w:pStyle w:val="BodyofReport"/>
      </w:pPr>
      <w:r w:rsidRPr="00856705">
        <w:t xml:space="preserve">The second sample adjustment corrects for the overlapping landline and cell sample frames. </w:t>
      </w:r>
      <w:r w:rsidR="00C72766" w:rsidRPr="00856705">
        <w:t>It balances</w:t>
      </w:r>
      <w:r w:rsidRPr="00856705">
        <w:t xml:space="preserve"> the phone use distribution of the entire sample to match population </w:t>
      </w:r>
      <w:r w:rsidRPr="00856705">
        <w:lastRenderedPageBreak/>
        <w:t>parameters. The phone use parameter was derived from an analysis of the most recently available National Health Interview Survey (NHIS) data.</w:t>
      </w:r>
      <w:r w:rsidRPr="00856705">
        <w:rPr>
          <w:rStyle w:val="FootnoteReference"/>
        </w:rPr>
        <w:footnoteReference w:id="1"/>
      </w:r>
    </w:p>
    <w:p w:rsidR="00BE1176" w:rsidRPr="00856705" w:rsidRDefault="00BE1176" w:rsidP="00BE1176">
      <w:pPr>
        <w:pStyle w:val="BodyofReport"/>
      </w:pPr>
      <w:r w:rsidRPr="00856705">
        <w:t>The se</w:t>
      </w:r>
      <w:r w:rsidR="001B3E1B" w:rsidRPr="00856705">
        <w:t>cond stage of weighting balances</w:t>
      </w:r>
      <w:r w:rsidRPr="00856705">
        <w:t xml:space="preserve"> sample demographics to popu</w:t>
      </w:r>
      <w:r w:rsidR="001B3E1B" w:rsidRPr="00856705">
        <w:t>lation parameters. The sample i</w:t>
      </w:r>
      <w:r w:rsidR="00856705">
        <w:t>s balanced</w:t>
      </w:r>
      <w:r w:rsidR="00C72766" w:rsidRPr="00856705">
        <w:t xml:space="preserve"> </w:t>
      </w:r>
      <w:r w:rsidRPr="00856705">
        <w:t xml:space="preserve">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United States. The population density parameter was derived from Census 2000 data. The cell phone usage parameter came from an analysis of the </w:t>
      </w:r>
      <w:r w:rsidR="00A4484C" w:rsidRPr="00856705">
        <w:t>January-June 2009</w:t>
      </w:r>
      <w:r w:rsidRPr="00856705">
        <w:t xml:space="preserve"> National Health Interview Survey.</w:t>
      </w:r>
    </w:p>
    <w:p w:rsidR="00BE1176" w:rsidRPr="00856705" w:rsidRDefault="00BE1176" w:rsidP="00BE1176">
      <w:pPr>
        <w:pStyle w:val="BodyofReport"/>
      </w:pPr>
      <w:r w:rsidRPr="00856705">
        <w:t xml:space="preserve">Weighting was accomplished using Sample Balancing, a special iterative sample weighting program that simultaneously balances the distributions of all variables using a statistical technique called the </w:t>
      </w:r>
      <w:r w:rsidRPr="00856705">
        <w:rPr>
          <w:i/>
          <w:iCs/>
        </w:rPr>
        <w:t>Deming Algorithm</w:t>
      </w:r>
      <w:r w:rsidRPr="00856705">
        <w:t xml:space="preserve">. Weights were </w:t>
      </w:r>
      <w:r w:rsidRPr="00856705">
        <w:rPr>
          <w:iCs/>
        </w:rPr>
        <w:t>trimmed</w:t>
      </w:r>
      <w:r w:rsidRPr="00856705">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DF5840" w:rsidRDefault="00DF5840">
      <w:pPr>
        <w:rPr>
          <w:highlight w:val="yellow"/>
        </w:rPr>
      </w:pPr>
      <w:r w:rsidRPr="00856705">
        <w:rPr>
          <w:highlight w:val="yellow"/>
        </w:rPr>
        <w:br w:type="page"/>
      </w:r>
    </w:p>
    <w:tbl>
      <w:tblPr>
        <w:tblW w:w="6774" w:type="dxa"/>
        <w:jc w:val="center"/>
        <w:tblInd w:w="93" w:type="dxa"/>
        <w:tblLook w:val="04A0"/>
      </w:tblPr>
      <w:tblGrid>
        <w:gridCol w:w="2121"/>
        <w:gridCol w:w="1150"/>
        <w:gridCol w:w="1755"/>
        <w:gridCol w:w="1748"/>
      </w:tblGrid>
      <w:tr w:rsidR="008A3EF1" w:rsidRPr="008A3EF1" w:rsidTr="008A3EF1">
        <w:trPr>
          <w:trHeight w:val="255"/>
          <w:jc w:val="center"/>
        </w:trPr>
        <w:tc>
          <w:tcPr>
            <w:tcW w:w="3271" w:type="dxa"/>
            <w:gridSpan w:val="2"/>
            <w:tcBorders>
              <w:top w:val="single" w:sz="4" w:space="0" w:color="auto"/>
              <w:left w:val="nil"/>
              <w:bottom w:val="single" w:sz="4" w:space="0" w:color="auto"/>
              <w:right w:val="single" w:sz="4" w:space="0" w:color="000000"/>
            </w:tcBorders>
            <w:shd w:val="clear" w:color="auto" w:fill="auto"/>
            <w:noWrap/>
            <w:vAlign w:val="bottom"/>
            <w:hideMark/>
          </w:tcPr>
          <w:p w:rsidR="008A3EF1" w:rsidRPr="008A3EF1" w:rsidRDefault="008A3EF1" w:rsidP="008A3EF1">
            <w:pPr>
              <w:widowControl/>
              <w:rPr>
                <w:rFonts w:ascii="Arial" w:hAnsi="Arial" w:cs="Arial"/>
                <w:b/>
                <w:bCs/>
                <w:snapToGrid/>
                <w:sz w:val="20"/>
              </w:rPr>
            </w:pPr>
            <w:r w:rsidRPr="008A3EF1">
              <w:rPr>
                <w:rFonts w:ascii="Arial" w:hAnsi="Arial" w:cs="Arial"/>
                <w:b/>
                <w:bCs/>
                <w:snapToGrid/>
                <w:sz w:val="20"/>
              </w:rPr>
              <w:t>Table 1: Sample Demographics</w:t>
            </w:r>
          </w:p>
        </w:tc>
        <w:tc>
          <w:tcPr>
            <w:tcW w:w="1755" w:type="dxa"/>
            <w:tcBorders>
              <w:top w:val="single" w:sz="4" w:space="0" w:color="auto"/>
              <w:left w:val="nil"/>
              <w:bottom w:val="single" w:sz="4" w:space="0" w:color="auto"/>
              <w:right w:val="nil"/>
            </w:tcBorders>
            <w:shd w:val="clear" w:color="auto" w:fill="auto"/>
            <w:vAlign w:val="bottom"/>
            <w:hideMark/>
          </w:tcPr>
          <w:p w:rsidR="008A3EF1" w:rsidRPr="008A3EF1" w:rsidRDefault="008A3EF1" w:rsidP="008A3EF1">
            <w:pPr>
              <w:widowControl/>
              <w:jc w:val="center"/>
              <w:rPr>
                <w:rFonts w:ascii="Arial" w:hAnsi="Arial" w:cs="Arial"/>
                <w:b/>
                <w:bCs/>
                <w:snapToGrid/>
                <w:sz w:val="20"/>
              </w:rPr>
            </w:pPr>
          </w:p>
        </w:tc>
        <w:tc>
          <w:tcPr>
            <w:tcW w:w="1748" w:type="dxa"/>
            <w:tcBorders>
              <w:top w:val="single" w:sz="4" w:space="0" w:color="auto"/>
              <w:left w:val="nil"/>
              <w:bottom w:val="single" w:sz="4" w:space="0" w:color="auto"/>
              <w:right w:val="single" w:sz="4" w:space="0" w:color="auto"/>
            </w:tcBorders>
            <w:shd w:val="clear" w:color="auto" w:fill="auto"/>
            <w:vAlign w:val="bottom"/>
            <w:hideMark/>
          </w:tcPr>
          <w:p w:rsidR="008A3EF1" w:rsidRPr="008A3EF1" w:rsidRDefault="008A3EF1" w:rsidP="008A3EF1">
            <w:pPr>
              <w:widowControl/>
              <w:jc w:val="right"/>
              <w:rPr>
                <w:rFonts w:ascii="Arial" w:hAnsi="Arial" w:cs="Arial"/>
                <w:b/>
                <w:bCs/>
                <w:snapToGrid/>
                <w:sz w:val="20"/>
              </w:rPr>
            </w:pPr>
            <w:r w:rsidRPr="008A3EF1">
              <w:rPr>
                <w:rFonts w:ascii="Arial" w:hAnsi="Arial" w:cs="Arial"/>
                <w:b/>
                <w:bCs/>
                <w:snapToGrid/>
                <w:sz w:val="20"/>
              </w:rPr>
              <w:t> </w:t>
            </w:r>
          </w:p>
        </w:tc>
      </w:tr>
      <w:tr w:rsidR="008A3EF1" w:rsidRPr="008A3EF1" w:rsidTr="008A3EF1">
        <w:trPr>
          <w:trHeight w:val="255"/>
          <w:jc w:val="center"/>
        </w:trPr>
        <w:tc>
          <w:tcPr>
            <w:tcW w:w="2121" w:type="dxa"/>
            <w:tcBorders>
              <w:top w:val="single" w:sz="4" w:space="0" w:color="auto"/>
              <w:left w:val="nil"/>
              <w:bottom w:val="nil"/>
              <w:right w:val="nil"/>
            </w:tcBorders>
            <w:shd w:val="clear" w:color="auto" w:fill="auto"/>
            <w:vAlign w:val="bottom"/>
            <w:hideMark/>
          </w:tcPr>
          <w:p w:rsidR="008A3EF1" w:rsidRPr="008A3EF1" w:rsidRDefault="008A3EF1" w:rsidP="008A3EF1">
            <w:pPr>
              <w:widowControl/>
              <w:jc w:val="right"/>
              <w:rPr>
                <w:rFonts w:ascii="Arial" w:hAnsi="Arial" w:cs="Arial"/>
                <w:snapToGrid/>
                <w:sz w:val="20"/>
                <w:u w:val="single"/>
              </w:rPr>
            </w:pPr>
          </w:p>
        </w:tc>
        <w:tc>
          <w:tcPr>
            <w:tcW w:w="1150" w:type="dxa"/>
            <w:tcBorders>
              <w:top w:val="single" w:sz="4" w:space="0" w:color="auto"/>
              <w:left w:val="nil"/>
              <w:bottom w:val="nil"/>
              <w:right w:val="single" w:sz="4" w:space="0" w:color="auto"/>
            </w:tcBorders>
            <w:shd w:val="clear" w:color="auto" w:fill="auto"/>
            <w:vAlign w:val="bottom"/>
            <w:hideMark/>
          </w:tcPr>
          <w:p w:rsidR="008A3EF1" w:rsidRPr="008A3EF1" w:rsidRDefault="008A3EF1" w:rsidP="008A3EF1">
            <w:pPr>
              <w:widowControl/>
              <w:jc w:val="center"/>
              <w:rPr>
                <w:rFonts w:ascii="Arial" w:hAnsi="Arial" w:cs="Arial"/>
                <w:snapToGrid/>
                <w:sz w:val="20"/>
                <w:u w:val="single"/>
              </w:rPr>
            </w:pPr>
            <w:r w:rsidRPr="008A3EF1">
              <w:rPr>
                <w:rFonts w:ascii="Arial" w:hAnsi="Arial" w:cs="Arial"/>
                <w:snapToGrid/>
                <w:sz w:val="20"/>
                <w:u w:val="single"/>
              </w:rPr>
              <w:t>Parameter</w:t>
            </w:r>
          </w:p>
        </w:tc>
        <w:tc>
          <w:tcPr>
            <w:tcW w:w="1755" w:type="dxa"/>
            <w:tcBorders>
              <w:top w:val="single" w:sz="4" w:space="0" w:color="auto"/>
              <w:left w:val="nil"/>
              <w:bottom w:val="nil"/>
              <w:right w:val="nil"/>
            </w:tcBorders>
            <w:shd w:val="clear" w:color="auto" w:fill="auto"/>
            <w:vAlign w:val="bottom"/>
            <w:hideMark/>
          </w:tcPr>
          <w:p w:rsidR="008A3EF1" w:rsidRPr="008A3EF1" w:rsidRDefault="008A3EF1" w:rsidP="008A3EF1">
            <w:pPr>
              <w:widowControl/>
              <w:jc w:val="center"/>
              <w:rPr>
                <w:rFonts w:ascii="Arial" w:hAnsi="Arial" w:cs="Arial"/>
                <w:snapToGrid/>
                <w:sz w:val="20"/>
                <w:u w:val="single"/>
              </w:rPr>
            </w:pPr>
            <w:r w:rsidRPr="008A3EF1">
              <w:rPr>
                <w:rFonts w:ascii="Arial" w:hAnsi="Arial" w:cs="Arial"/>
                <w:snapToGrid/>
                <w:sz w:val="20"/>
                <w:u w:val="single"/>
              </w:rPr>
              <w:t>Unweighted</w:t>
            </w:r>
          </w:p>
        </w:tc>
        <w:tc>
          <w:tcPr>
            <w:tcW w:w="1748" w:type="dxa"/>
            <w:tcBorders>
              <w:top w:val="single" w:sz="4" w:space="0" w:color="auto"/>
              <w:left w:val="nil"/>
              <w:bottom w:val="nil"/>
              <w:right w:val="single" w:sz="4" w:space="0" w:color="auto"/>
            </w:tcBorders>
            <w:shd w:val="clear" w:color="auto" w:fill="auto"/>
            <w:vAlign w:val="bottom"/>
            <w:hideMark/>
          </w:tcPr>
          <w:p w:rsidR="008A3EF1" w:rsidRPr="008A3EF1" w:rsidRDefault="008A3EF1" w:rsidP="008A3EF1">
            <w:pPr>
              <w:widowControl/>
              <w:jc w:val="center"/>
              <w:rPr>
                <w:rFonts w:ascii="Arial" w:hAnsi="Arial" w:cs="Arial"/>
                <w:snapToGrid/>
                <w:sz w:val="20"/>
                <w:u w:val="single"/>
              </w:rPr>
            </w:pPr>
            <w:r w:rsidRPr="008A3EF1">
              <w:rPr>
                <w:rFonts w:ascii="Arial" w:hAnsi="Arial" w:cs="Arial"/>
                <w:snapToGrid/>
                <w:sz w:val="20"/>
                <w:u w:val="single"/>
              </w:rPr>
              <w:t>Weighted</w:t>
            </w:r>
          </w:p>
        </w:tc>
      </w:tr>
      <w:tr w:rsidR="008A3EF1" w:rsidRPr="008A3EF1" w:rsidTr="008A3EF1">
        <w:trPr>
          <w:trHeight w:val="255"/>
          <w:jc w:val="center"/>
        </w:trPr>
        <w:tc>
          <w:tcPr>
            <w:tcW w:w="2121" w:type="dxa"/>
            <w:tcBorders>
              <w:top w:val="nil"/>
              <w:left w:val="nil"/>
              <w:bottom w:val="nil"/>
              <w:right w:val="nil"/>
            </w:tcBorders>
            <w:shd w:val="clear" w:color="auto" w:fill="auto"/>
            <w:vAlign w:val="bottom"/>
            <w:hideMark/>
          </w:tcPr>
          <w:p w:rsidR="008A3EF1" w:rsidRPr="008A3EF1" w:rsidRDefault="008A3EF1" w:rsidP="008A3EF1">
            <w:pPr>
              <w:widowControl/>
              <w:jc w:val="right"/>
              <w:rPr>
                <w:rFonts w:ascii="Arial" w:hAnsi="Arial" w:cs="Arial"/>
                <w:snapToGrid/>
                <w:sz w:val="20"/>
                <w:u w:val="single"/>
              </w:rPr>
            </w:pPr>
            <w:r w:rsidRPr="008A3EF1">
              <w:rPr>
                <w:rFonts w:ascii="Arial" w:hAnsi="Arial" w:cs="Arial"/>
                <w:snapToGrid/>
                <w:sz w:val="20"/>
                <w:u w:val="single"/>
              </w:rPr>
              <w:t>Gender</w:t>
            </w:r>
          </w:p>
        </w:tc>
        <w:tc>
          <w:tcPr>
            <w:tcW w:w="1150" w:type="dxa"/>
            <w:tcBorders>
              <w:top w:val="nil"/>
              <w:left w:val="nil"/>
              <w:bottom w:val="nil"/>
              <w:right w:val="single" w:sz="4" w:space="0" w:color="auto"/>
            </w:tcBorders>
            <w:shd w:val="clear" w:color="auto" w:fill="auto"/>
            <w:vAlign w:val="bottom"/>
            <w:hideMark/>
          </w:tcPr>
          <w:p w:rsidR="008A3EF1" w:rsidRPr="008A3EF1" w:rsidRDefault="008A3EF1" w:rsidP="008A3EF1">
            <w:pPr>
              <w:widowControl/>
              <w:jc w:val="center"/>
              <w:rPr>
                <w:rFonts w:ascii="Arial" w:hAnsi="Arial" w:cs="Arial"/>
                <w:b/>
                <w:bCs/>
                <w:snapToGrid/>
                <w:sz w:val="20"/>
              </w:rPr>
            </w:pPr>
            <w:r w:rsidRPr="008A3EF1">
              <w:rPr>
                <w:rFonts w:ascii="Arial" w:hAnsi="Arial" w:cs="Arial"/>
                <w:b/>
                <w:bCs/>
                <w:snapToGrid/>
                <w:sz w:val="20"/>
              </w:rPr>
              <w:t> </w:t>
            </w:r>
          </w:p>
        </w:tc>
        <w:tc>
          <w:tcPr>
            <w:tcW w:w="1755" w:type="dxa"/>
            <w:tcBorders>
              <w:top w:val="nil"/>
              <w:left w:val="nil"/>
              <w:bottom w:val="nil"/>
              <w:right w:val="nil"/>
            </w:tcBorders>
            <w:shd w:val="clear" w:color="auto" w:fill="auto"/>
            <w:vAlign w:val="bottom"/>
            <w:hideMark/>
          </w:tcPr>
          <w:p w:rsidR="008A3EF1" w:rsidRPr="008A3EF1" w:rsidRDefault="008A3EF1" w:rsidP="008A3EF1">
            <w:pPr>
              <w:widowControl/>
              <w:jc w:val="center"/>
              <w:rPr>
                <w:rFonts w:ascii="Arial" w:hAnsi="Arial" w:cs="Arial"/>
                <w:b/>
                <w:bCs/>
                <w:snapToGrid/>
                <w:sz w:val="20"/>
              </w:rPr>
            </w:pPr>
          </w:p>
        </w:tc>
        <w:tc>
          <w:tcPr>
            <w:tcW w:w="1748" w:type="dxa"/>
            <w:tcBorders>
              <w:top w:val="nil"/>
              <w:left w:val="nil"/>
              <w:bottom w:val="nil"/>
              <w:right w:val="single" w:sz="4" w:space="0" w:color="auto"/>
            </w:tcBorders>
            <w:shd w:val="clear" w:color="auto" w:fill="auto"/>
            <w:vAlign w:val="bottom"/>
            <w:hideMark/>
          </w:tcPr>
          <w:p w:rsidR="008A3EF1" w:rsidRPr="008A3EF1" w:rsidRDefault="008A3EF1" w:rsidP="008A3EF1">
            <w:pPr>
              <w:widowControl/>
              <w:jc w:val="right"/>
              <w:rPr>
                <w:rFonts w:ascii="Arial" w:hAnsi="Arial" w:cs="Arial"/>
                <w:b/>
                <w:bCs/>
                <w:snapToGrid/>
                <w:sz w:val="20"/>
              </w:rPr>
            </w:pPr>
            <w:r w:rsidRPr="008A3EF1">
              <w:rPr>
                <w:rFonts w:ascii="Arial" w:hAnsi="Arial" w:cs="Arial"/>
                <w:b/>
                <w:bCs/>
                <w:snapToGrid/>
                <w:sz w:val="20"/>
              </w:rPr>
              <w:t> </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Male</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48.5%</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46.4%</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48.5%</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Female</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51.5%</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53.6%</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51.5%</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u w:val="single"/>
              </w:rPr>
            </w:pPr>
            <w:r w:rsidRPr="008A3EF1">
              <w:rPr>
                <w:rFonts w:ascii="Arial" w:hAnsi="Arial" w:cs="Arial"/>
                <w:snapToGrid/>
                <w:sz w:val="20"/>
                <w:u w:val="single"/>
              </w:rPr>
              <w:t>Age</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18-24</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12.6%</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10.1%</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12.6%</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25-34</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17.8%</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10.0%</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16.9%</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35-44</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18.2%</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13.8%</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17.6%</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45-54</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19.6%</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20.3%</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19.4%</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55-64</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15.1%</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20.8%</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15.2%</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65+</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16.6%</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23.5%</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17.0%</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u w:val="single"/>
              </w:rPr>
            </w:pPr>
            <w:r w:rsidRPr="008A3EF1">
              <w:rPr>
                <w:rFonts w:ascii="Arial" w:hAnsi="Arial" w:cs="Arial"/>
                <w:snapToGrid/>
                <w:sz w:val="20"/>
                <w:u w:val="single"/>
              </w:rPr>
              <w:t>Education</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Less than HS Graduate</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14.1%</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6.8%</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12.6%</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HS Graduate</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34.7%</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29.4%</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34.4%</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Some College</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24.1%</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25.8%</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24.2%</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College Graduate</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27.1%</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37.5%</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28.4%</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u w:val="single"/>
              </w:rPr>
            </w:pPr>
            <w:r w:rsidRPr="008A3EF1">
              <w:rPr>
                <w:rFonts w:ascii="Arial" w:hAnsi="Arial" w:cs="Arial"/>
                <w:snapToGrid/>
                <w:sz w:val="20"/>
                <w:u w:val="single"/>
              </w:rPr>
              <w:t>Race/Ethnicity</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White/not Hispanic</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68.8%</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75.9%</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68.6%</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Black/not Hispanic</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11.5%</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9.2%</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11.4%</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Hispanic</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13.7%</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6.1%</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11.9%</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Other/not Hispanic</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6.0%</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6.8%</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6.1%</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u w:val="single"/>
              </w:rPr>
            </w:pPr>
            <w:r w:rsidRPr="008A3EF1">
              <w:rPr>
                <w:rFonts w:ascii="Arial" w:hAnsi="Arial" w:cs="Arial"/>
                <w:snapToGrid/>
                <w:sz w:val="20"/>
                <w:u w:val="single"/>
              </w:rPr>
              <w:t>Region</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Northeast</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18.5%</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19.1%</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18.4%</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Midwest</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22.0%</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24.1%</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22.1%</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South</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36.8%</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34.4%</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36.7%</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West</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22.7%</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22.3%</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22.8%</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u w:val="single"/>
              </w:rPr>
            </w:pPr>
            <w:r w:rsidRPr="008A3EF1">
              <w:rPr>
                <w:rFonts w:ascii="Arial" w:hAnsi="Arial" w:cs="Arial"/>
                <w:snapToGrid/>
                <w:sz w:val="20"/>
                <w:u w:val="single"/>
              </w:rPr>
              <w:t>County Pop. Density</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1 - Lowest</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20.1%</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23.3%</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20.5%</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2</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20.0%</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22.0%</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20.6%</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3</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20.1%</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22.1%</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20.5%</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4</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20.2%</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18.7%</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19.8%</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5 - Highest</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19.6%</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13.8%</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18.7%</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u w:val="single"/>
              </w:rPr>
            </w:pPr>
            <w:r w:rsidRPr="008A3EF1">
              <w:rPr>
                <w:rFonts w:ascii="Arial" w:hAnsi="Arial" w:cs="Arial"/>
                <w:snapToGrid/>
                <w:sz w:val="20"/>
                <w:u w:val="single"/>
              </w:rPr>
              <w:t>Phone Use</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b/>
                <w:bCs/>
                <w:snapToGrid/>
                <w:sz w:val="20"/>
              </w:rPr>
            </w:pPr>
            <w:r w:rsidRPr="008A3EF1">
              <w:rPr>
                <w:rFonts w:ascii="Arial" w:hAnsi="Arial" w:cs="Arial"/>
                <w:b/>
                <w:bCs/>
                <w:snapToGrid/>
                <w:sz w:val="20"/>
              </w:rPr>
              <w:t> </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 </w:t>
            </w:r>
          </w:p>
        </w:tc>
      </w:tr>
      <w:tr w:rsidR="008A3EF1" w:rsidRPr="008A3EF1" w:rsidTr="008A3EF1">
        <w:trPr>
          <w:trHeight w:val="255"/>
          <w:jc w:val="center"/>
        </w:trPr>
        <w:tc>
          <w:tcPr>
            <w:tcW w:w="2121"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LLO</w:t>
            </w:r>
          </w:p>
        </w:tc>
        <w:tc>
          <w:tcPr>
            <w:tcW w:w="1150"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11.7%</w:t>
            </w:r>
          </w:p>
        </w:tc>
        <w:tc>
          <w:tcPr>
            <w:tcW w:w="1755" w:type="dxa"/>
            <w:tcBorders>
              <w:top w:val="nil"/>
              <w:left w:val="nil"/>
              <w:bottom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10.4%</w:t>
            </w:r>
          </w:p>
        </w:tc>
        <w:tc>
          <w:tcPr>
            <w:tcW w:w="1748" w:type="dxa"/>
            <w:tcBorders>
              <w:top w:val="nil"/>
              <w:left w:val="nil"/>
              <w:bottom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11.6%</w:t>
            </w:r>
          </w:p>
        </w:tc>
      </w:tr>
      <w:tr w:rsidR="008A3EF1" w:rsidRPr="008A3EF1" w:rsidTr="008A3EF1">
        <w:trPr>
          <w:trHeight w:val="255"/>
          <w:jc w:val="center"/>
        </w:trPr>
        <w:tc>
          <w:tcPr>
            <w:tcW w:w="2121" w:type="dxa"/>
            <w:tcBorders>
              <w:top w:val="nil"/>
              <w:left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 xml:space="preserve">Dual </w:t>
            </w:r>
          </w:p>
        </w:tc>
        <w:tc>
          <w:tcPr>
            <w:tcW w:w="1150" w:type="dxa"/>
            <w:tcBorders>
              <w:top w:val="nil"/>
              <w:left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64.7%</w:t>
            </w:r>
          </w:p>
        </w:tc>
        <w:tc>
          <w:tcPr>
            <w:tcW w:w="1755" w:type="dxa"/>
            <w:tcBorders>
              <w:top w:val="nil"/>
              <w:left w:val="nil"/>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77.3%</w:t>
            </w:r>
          </w:p>
        </w:tc>
        <w:tc>
          <w:tcPr>
            <w:tcW w:w="1748" w:type="dxa"/>
            <w:tcBorders>
              <w:top w:val="nil"/>
              <w:left w:val="nil"/>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65.3%</w:t>
            </w:r>
          </w:p>
        </w:tc>
      </w:tr>
      <w:tr w:rsidR="008A3EF1" w:rsidRPr="008A3EF1" w:rsidTr="008A3EF1">
        <w:trPr>
          <w:trHeight w:val="255"/>
          <w:jc w:val="center"/>
        </w:trPr>
        <w:tc>
          <w:tcPr>
            <w:tcW w:w="2121" w:type="dxa"/>
            <w:tcBorders>
              <w:top w:val="nil"/>
              <w:left w:val="nil"/>
              <w:bottom w:val="single" w:sz="4" w:space="0" w:color="auto"/>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CPO</w:t>
            </w:r>
          </w:p>
        </w:tc>
        <w:tc>
          <w:tcPr>
            <w:tcW w:w="1150" w:type="dxa"/>
            <w:tcBorders>
              <w:top w:val="nil"/>
              <w:left w:val="nil"/>
              <w:bottom w:val="single" w:sz="4" w:space="0" w:color="auto"/>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23.6%</w:t>
            </w:r>
          </w:p>
        </w:tc>
        <w:tc>
          <w:tcPr>
            <w:tcW w:w="1755" w:type="dxa"/>
            <w:tcBorders>
              <w:top w:val="nil"/>
              <w:left w:val="nil"/>
              <w:bottom w:val="single" w:sz="4" w:space="0" w:color="auto"/>
              <w:right w:val="nil"/>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12.4%</w:t>
            </w:r>
          </w:p>
        </w:tc>
        <w:tc>
          <w:tcPr>
            <w:tcW w:w="1748" w:type="dxa"/>
            <w:tcBorders>
              <w:top w:val="nil"/>
              <w:left w:val="nil"/>
              <w:bottom w:val="single" w:sz="4" w:space="0" w:color="auto"/>
              <w:right w:val="single" w:sz="4" w:space="0" w:color="auto"/>
            </w:tcBorders>
            <w:shd w:val="clear" w:color="auto" w:fill="auto"/>
            <w:noWrap/>
            <w:vAlign w:val="bottom"/>
            <w:hideMark/>
          </w:tcPr>
          <w:p w:rsidR="008A3EF1" w:rsidRPr="008A3EF1" w:rsidRDefault="008A3EF1" w:rsidP="008A3EF1">
            <w:pPr>
              <w:widowControl/>
              <w:jc w:val="center"/>
              <w:rPr>
                <w:rFonts w:ascii="Arial" w:hAnsi="Arial" w:cs="Arial"/>
                <w:snapToGrid/>
                <w:sz w:val="20"/>
              </w:rPr>
            </w:pPr>
            <w:r w:rsidRPr="008A3EF1">
              <w:rPr>
                <w:rFonts w:ascii="Arial" w:hAnsi="Arial" w:cs="Arial"/>
                <w:snapToGrid/>
                <w:sz w:val="20"/>
              </w:rPr>
              <w:t>23.1%</w:t>
            </w:r>
          </w:p>
        </w:tc>
      </w:tr>
    </w:tbl>
    <w:p w:rsidR="008A3EF1" w:rsidRDefault="008A3EF1">
      <w:pPr>
        <w:rPr>
          <w:highlight w:val="yellow"/>
        </w:rPr>
      </w:pPr>
    </w:p>
    <w:p w:rsidR="00E51DFD" w:rsidRPr="00856705" w:rsidRDefault="00A26F57">
      <w:pPr>
        <w:pStyle w:val="Heading1"/>
        <w:spacing w:line="480" w:lineRule="auto"/>
        <w:rPr>
          <w:rFonts w:ascii="Times New Roman" w:hAnsi="Times New Roman"/>
          <w:sz w:val="24"/>
        </w:rPr>
      </w:pPr>
      <w:r w:rsidRPr="00856705">
        <w:rPr>
          <w:rFonts w:ascii="Times New Roman" w:hAnsi="Times New Roman"/>
          <w:sz w:val="24"/>
        </w:rPr>
        <w:lastRenderedPageBreak/>
        <w:t>E</w:t>
      </w:r>
      <w:r w:rsidR="00E51DFD" w:rsidRPr="00856705">
        <w:rPr>
          <w:rFonts w:ascii="Times New Roman" w:hAnsi="Times New Roman"/>
          <w:sz w:val="24"/>
        </w:rPr>
        <w:t>ffects of Sample Design on Statistical Inference</w:t>
      </w:r>
    </w:p>
    <w:p w:rsidR="00E51DFD" w:rsidRPr="00856705" w:rsidRDefault="00E51DFD">
      <w:pPr>
        <w:pStyle w:val="BodyofReport"/>
      </w:pPr>
      <w:r w:rsidRPr="00856705">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856705">
        <w:rPr>
          <w:i/>
        </w:rPr>
        <w:t>deff</w:t>
      </w:r>
      <w:r w:rsidRPr="00856705">
        <w:t xml:space="preserve"> represents the loss in statistical efficiency that results from a disproportionate sample design and systematic non-response. The total sample design effect for this survey is </w:t>
      </w:r>
      <w:r w:rsidR="00A4484C" w:rsidRPr="00856705">
        <w:t>1.3</w:t>
      </w:r>
      <w:r w:rsidR="008A3EF1">
        <w:t>8</w:t>
      </w:r>
      <w:r w:rsidRPr="00856705">
        <w:t>.</w:t>
      </w:r>
    </w:p>
    <w:p w:rsidR="00E51DFD" w:rsidRPr="00856705" w:rsidRDefault="00E51DFD">
      <w:pPr>
        <w:pStyle w:val="BodyofReport"/>
      </w:pPr>
      <w:r w:rsidRPr="00856705">
        <w:t xml:space="preserve">PSRAI calculates the composite design effect for a sample of size </w:t>
      </w:r>
      <w:r w:rsidRPr="00856705">
        <w:rPr>
          <w:i/>
        </w:rPr>
        <w:t>n</w:t>
      </w:r>
      <w:r w:rsidRPr="00856705">
        <w:t xml:space="preserve">, with each case having a weight, </w:t>
      </w:r>
      <w:r w:rsidRPr="00856705">
        <w:rPr>
          <w:i/>
        </w:rPr>
        <w:t>w</w:t>
      </w:r>
      <w:r w:rsidRPr="00856705">
        <w:rPr>
          <w:i/>
          <w:vertAlign w:val="subscript"/>
        </w:rPr>
        <w:t>i</w:t>
      </w:r>
      <w:r w:rsidRPr="00856705">
        <w:t xml:space="preserve"> as:</w:t>
      </w:r>
    </w:p>
    <w:p w:rsidR="00E51DFD" w:rsidRPr="00856705" w:rsidRDefault="00556B8F">
      <w:pPr>
        <w:jc w:val="center"/>
      </w:pPr>
      <w:r w:rsidRPr="00856705">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187.9pt;margin-top:.1pt;width:91.8pt;height:70.7pt;z-index:251656192" fillcolor="window">
            <v:imagedata r:id="rId8" o:title=""/>
            <w10:wrap type="square"/>
          </v:shape>
          <o:OLEObject Type="Embed" ProgID="Equation.3" ShapeID="_x0000_s1030" DrawAspect="Content" ObjectID="_1348057386" r:id="rId9"/>
        </w:pict>
      </w:r>
    </w:p>
    <w:p w:rsidR="00E51DFD" w:rsidRPr="00856705" w:rsidRDefault="00556B8F">
      <w:pPr>
        <w:pStyle w:val="BodyofReport"/>
      </w:pPr>
      <w:r w:rsidRPr="00856705">
        <w:rPr>
          <w:noProof/>
          <w:sz w:val="20"/>
        </w:rPr>
        <w:pict>
          <v:shapetype id="_x0000_t202" coordsize="21600,21600" o:spt="202" path="m,l,21600r21600,l21600,xe">
            <v:stroke joinstyle="miter"/>
            <v:path gradientshapeok="t" o:connecttype="rect"/>
          </v:shapetype>
          <v:shape id="_x0000_s1031" type="#_x0000_t202" style="position:absolute;left:0;text-align:left;margin-left:361.3pt;margin-top:8.95pt;width:75.95pt;height:26.4pt;z-index:251657216" stroked="f">
            <v:textbox>
              <w:txbxContent>
                <w:p w:rsidR="00856705" w:rsidRDefault="00856705">
                  <w:pPr>
                    <w:rPr>
                      <w:i/>
                      <w:iCs/>
                    </w:rPr>
                  </w:pPr>
                  <w:r>
                    <w:rPr>
                      <w:i/>
                      <w:iCs/>
                    </w:rPr>
                    <w:t>formula 1</w:t>
                  </w:r>
                </w:p>
              </w:txbxContent>
            </v:textbox>
            <w10:wrap type="topAndBottom"/>
          </v:shape>
        </w:pict>
      </w:r>
    </w:p>
    <w:p w:rsidR="00E51DFD" w:rsidRPr="00856705" w:rsidRDefault="00E51DFD">
      <w:pPr>
        <w:pStyle w:val="BodyofReport"/>
      </w:pPr>
    </w:p>
    <w:p w:rsidR="00E51DFD" w:rsidRPr="00856705" w:rsidRDefault="00E51DFD">
      <w:pPr>
        <w:pStyle w:val="BodyofReport"/>
      </w:pPr>
    </w:p>
    <w:p w:rsidR="00E51DFD" w:rsidRPr="00856705" w:rsidRDefault="00E51DFD">
      <w:pPr>
        <w:pStyle w:val="BodyofReport"/>
      </w:pPr>
    </w:p>
    <w:p w:rsidR="00E51DFD" w:rsidRPr="00856705" w:rsidRDefault="00E51DFD">
      <w:pPr>
        <w:pStyle w:val="BodyofReport"/>
        <w:keepNext/>
        <w:widowControl w:val="0"/>
      </w:pPr>
      <w:r w:rsidRPr="00856705">
        <w:t xml:space="preserve">In a wide range of situations, the adjusted </w:t>
      </w:r>
      <w:r w:rsidRPr="00856705">
        <w:rPr>
          <w:i/>
          <w:iCs/>
        </w:rPr>
        <w:t>standard error</w:t>
      </w:r>
      <w:r w:rsidRPr="00856705">
        <w:t xml:space="preserve"> of a statistic should be calculated by multiplying the usual formula by the square root of the design effect (√</w:t>
      </w:r>
      <w:r w:rsidRPr="00856705">
        <w:rPr>
          <w:i/>
          <w:iCs/>
        </w:rPr>
        <w:t xml:space="preserve">deff </w:t>
      </w:r>
      <w:r w:rsidRPr="00856705">
        <w:t>). Thus, the formula for computing the 95% confidence interval around a percentage is:</w:t>
      </w:r>
    </w:p>
    <w:p w:rsidR="00E51DFD" w:rsidRPr="00856705" w:rsidRDefault="00556B8F">
      <w:pPr>
        <w:keepNext/>
      </w:pPr>
      <w:r w:rsidRPr="00856705">
        <w:rPr>
          <w:noProof/>
          <w:sz w:val="20"/>
        </w:rPr>
        <w:pict>
          <v:shape id="_x0000_s1032" type="#_x0000_t75" style="position:absolute;margin-left:156.7pt;margin-top:13.85pt;width:149.3pt;height:40.3pt;z-index:251658240" fillcolor="window">
            <v:imagedata r:id="rId10" o:title=""/>
            <w10:wrap type="square"/>
          </v:shape>
          <o:OLEObject Type="Embed" ProgID="Equation.3" ShapeID="_x0000_s1032" DrawAspect="Content" ObjectID="_1348057387" r:id="rId11"/>
        </w:pict>
      </w:r>
    </w:p>
    <w:p w:rsidR="00E51DFD" w:rsidRPr="00856705" w:rsidRDefault="00556B8F">
      <w:pPr>
        <w:keepNext/>
        <w:ind w:firstLine="720"/>
        <w:jc w:val="center"/>
      </w:pPr>
      <w:r w:rsidRPr="00856705">
        <w:rPr>
          <w:noProof/>
          <w:sz w:val="20"/>
        </w:rPr>
        <w:pict>
          <v:shape id="_x0000_s1033" type="#_x0000_t202" style="position:absolute;left:0;text-align:left;margin-left:361.45pt;margin-top:4.3pt;width:76pt;height:26.4pt;z-index:251659264" stroked="f">
            <v:textbox>
              <w:txbxContent>
                <w:p w:rsidR="00856705" w:rsidRDefault="00856705">
                  <w:pPr>
                    <w:rPr>
                      <w:i/>
                      <w:iCs/>
                    </w:rPr>
                  </w:pPr>
                  <w:r>
                    <w:rPr>
                      <w:i/>
                      <w:iCs/>
                    </w:rPr>
                    <w:t>formula 2</w:t>
                  </w:r>
                </w:p>
              </w:txbxContent>
            </v:textbox>
            <w10:wrap type="topAndBottom"/>
          </v:shape>
        </w:pict>
      </w:r>
    </w:p>
    <w:p w:rsidR="00E51DFD" w:rsidRPr="00856705" w:rsidRDefault="00E51DFD">
      <w:pPr>
        <w:pStyle w:val="BodyofReport"/>
        <w:ind w:firstLine="0"/>
      </w:pPr>
    </w:p>
    <w:p w:rsidR="00E51DFD" w:rsidRPr="00856705" w:rsidRDefault="00E51DFD">
      <w:pPr>
        <w:pStyle w:val="BodyofReport"/>
        <w:ind w:firstLine="0"/>
      </w:pPr>
    </w:p>
    <w:p w:rsidR="00E51DFD" w:rsidRPr="00856705" w:rsidRDefault="00E51DFD">
      <w:pPr>
        <w:pStyle w:val="BodyofReport"/>
        <w:ind w:firstLine="0"/>
      </w:pPr>
      <w:r w:rsidRPr="00856705">
        <w:t xml:space="preserve">where </w:t>
      </w:r>
      <w:r w:rsidRPr="00856705">
        <w:rPr>
          <w:position w:val="-10"/>
        </w:rPr>
        <w:object w:dxaOrig="240" w:dyaOrig="320">
          <v:shape id="_x0000_i1028" type="#_x0000_t75" style="width:12pt;height:15.75pt" o:ole="" fillcolor="window">
            <v:imagedata r:id="rId12" o:title=""/>
          </v:shape>
          <o:OLEObject Type="Embed" ProgID="Equation.3" ShapeID="_x0000_i1028" DrawAspect="Content" ObjectID="_1348057385" r:id="rId13"/>
        </w:object>
      </w:r>
      <w:r w:rsidRPr="00856705">
        <w:t xml:space="preserve"> is the sample estimate and </w:t>
      </w:r>
      <w:r w:rsidRPr="00856705">
        <w:rPr>
          <w:i/>
        </w:rPr>
        <w:t>n</w:t>
      </w:r>
      <w:r w:rsidRPr="00856705">
        <w:t xml:space="preserve"> is the unweighted number of sample cases in the group being considered.</w:t>
      </w:r>
    </w:p>
    <w:p w:rsidR="00DA521E" w:rsidRPr="00856705" w:rsidRDefault="00E51DFD">
      <w:pPr>
        <w:pStyle w:val="BodyofReport"/>
        <w:ind w:firstLine="0"/>
      </w:pPr>
      <w:r w:rsidRPr="00856705">
        <w:tab/>
        <w:t xml:space="preserve">The survey’s </w:t>
      </w:r>
      <w:r w:rsidRPr="00856705">
        <w:rPr>
          <w:i/>
          <w:iCs/>
        </w:rPr>
        <w:t>margin of error</w:t>
      </w:r>
      <w:r w:rsidRPr="00856705">
        <w:t xml:space="preserve"> is the largest 95% confidence interval for any estimated proportion based on the total sample— the one around 50%. For example, the margin of error for the entire sample is ±</w:t>
      </w:r>
      <w:r w:rsidR="00F311BE" w:rsidRPr="00856705">
        <w:t>3.</w:t>
      </w:r>
      <w:r w:rsidR="00C21BDA" w:rsidRPr="00856705">
        <w:t>6</w:t>
      </w:r>
      <w:r w:rsidR="00BE1176" w:rsidRPr="00856705">
        <w:t xml:space="preserve"> percentage points</w:t>
      </w:r>
      <w:r w:rsidRPr="00856705">
        <w:t xml:space="preserve">. This means that in 95 out every 100 samples drawn using the same methodology, estimated proportions based on the entire sample will be no more than </w:t>
      </w:r>
      <w:r w:rsidR="00F311BE" w:rsidRPr="00856705">
        <w:t>3.</w:t>
      </w:r>
      <w:r w:rsidR="00C21BDA" w:rsidRPr="00856705">
        <w:t>6</w:t>
      </w:r>
      <w:r w:rsidRPr="00856705">
        <w:t xml:space="preserve"> percentage points away from their true values in the population.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910210" w:rsidRPr="00856705" w:rsidRDefault="00910210">
      <w:pPr>
        <w:pStyle w:val="BodyofReport"/>
        <w:ind w:firstLine="0"/>
        <w:rPr>
          <w:highlight w:val="yellow"/>
        </w:rPr>
      </w:pPr>
    </w:p>
    <w:p w:rsidR="00E51DFD" w:rsidRPr="00066DA1" w:rsidRDefault="00F311BE">
      <w:pPr>
        <w:pStyle w:val="Heading1"/>
        <w:rPr>
          <w:rFonts w:ascii="Times New Roman" w:hAnsi="Times New Roman"/>
          <w:caps/>
          <w:sz w:val="24"/>
        </w:rPr>
      </w:pPr>
      <w:r w:rsidRPr="00856705">
        <w:rPr>
          <w:rFonts w:ascii="Times New Roman" w:hAnsi="Times New Roman"/>
          <w:caps/>
          <w:sz w:val="24"/>
          <w:highlight w:val="yellow"/>
        </w:rPr>
        <w:br w:type="page"/>
      </w:r>
      <w:r w:rsidR="00E51DFD" w:rsidRPr="00066DA1">
        <w:rPr>
          <w:rFonts w:ascii="Times New Roman" w:hAnsi="Times New Roman"/>
          <w:caps/>
          <w:sz w:val="24"/>
        </w:rPr>
        <w:lastRenderedPageBreak/>
        <w:t>Response Rate</w:t>
      </w:r>
    </w:p>
    <w:p w:rsidR="00E51DFD" w:rsidRPr="00066DA1" w:rsidRDefault="00E51DFD"/>
    <w:p w:rsidR="00E51DFD" w:rsidRPr="00066DA1" w:rsidRDefault="00EF4E13">
      <w:pPr>
        <w:pStyle w:val="BodyofReport"/>
      </w:pPr>
      <w:r w:rsidRPr="00066DA1">
        <w:t xml:space="preserve">Table </w:t>
      </w:r>
      <w:r w:rsidR="00BE1176" w:rsidRPr="00066DA1">
        <w:t>2</w:t>
      </w:r>
      <w:r w:rsidR="001F3A26" w:rsidRPr="00066DA1">
        <w:t xml:space="preserve"> report</w:t>
      </w:r>
      <w:r w:rsidR="00E51DFD" w:rsidRPr="00066DA1">
        <w:t xml:space="preserve"> the disposition of all sampled telephone numbers ever dialed from the original telephone number sample</w:t>
      </w:r>
      <w:r w:rsidR="001F3A26" w:rsidRPr="00066DA1">
        <w:t>s</w:t>
      </w:r>
      <w:r w:rsidR="00E51DFD" w:rsidRPr="00066DA1">
        <w:t xml:space="preserve">. The response rate estimates the fraction of all eligible </w:t>
      </w:r>
      <w:r w:rsidR="00C95C3A" w:rsidRPr="00066DA1">
        <w:t>sample that was</w:t>
      </w:r>
      <w:r w:rsidR="00E51DFD" w:rsidRPr="00066DA1">
        <w:t xml:space="preserve"> ultimately interviewed. At PSRAI it is calculated by taking the product of three component rates:</w:t>
      </w:r>
      <w:r w:rsidR="00E51DFD" w:rsidRPr="00066DA1">
        <w:rPr>
          <w:rStyle w:val="FootnoteReference"/>
        </w:rPr>
        <w:footnoteReference w:id="2"/>
      </w:r>
    </w:p>
    <w:p w:rsidR="00E51DFD" w:rsidRPr="00066DA1" w:rsidRDefault="00E51DFD">
      <w:pPr>
        <w:pStyle w:val="BodyofReport"/>
        <w:numPr>
          <w:ilvl w:val="0"/>
          <w:numId w:val="1"/>
        </w:numPr>
        <w:spacing w:line="360" w:lineRule="auto"/>
      </w:pPr>
      <w:r w:rsidRPr="00066DA1">
        <w:t>Contact rate – the proportion of working numbers where a request for interview was made</w:t>
      </w:r>
      <w:r w:rsidRPr="00066DA1">
        <w:rPr>
          <w:rStyle w:val="FootnoteReference"/>
        </w:rPr>
        <w:footnoteReference w:id="3"/>
      </w:r>
    </w:p>
    <w:p w:rsidR="00E51DFD" w:rsidRPr="00066DA1" w:rsidRDefault="00E51DFD">
      <w:pPr>
        <w:pStyle w:val="BodyofReport"/>
        <w:numPr>
          <w:ilvl w:val="0"/>
          <w:numId w:val="1"/>
        </w:numPr>
        <w:spacing w:line="360" w:lineRule="auto"/>
      </w:pPr>
      <w:r w:rsidRPr="00066DA1">
        <w:t>Cooperation rate – the proportion of contacted numbers where a consent for interview was at least initially</w:t>
      </w:r>
      <w:r w:rsidR="001F3A26" w:rsidRPr="00066DA1">
        <w:t xml:space="preserve"> obtained, versus those refused</w:t>
      </w:r>
    </w:p>
    <w:p w:rsidR="00E51DFD" w:rsidRPr="00066DA1" w:rsidRDefault="00E51DFD">
      <w:pPr>
        <w:pStyle w:val="BodyofReport"/>
        <w:numPr>
          <w:ilvl w:val="0"/>
          <w:numId w:val="1"/>
        </w:numPr>
        <w:spacing w:line="360" w:lineRule="auto"/>
      </w:pPr>
      <w:r w:rsidRPr="00066DA1">
        <w:t>Completion rate – the proportion of initially cooperating and eligible inte</w:t>
      </w:r>
      <w:r w:rsidR="001F3A26" w:rsidRPr="00066DA1">
        <w:t>rviews that were completed</w:t>
      </w:r>
    </w:p>
    <w:p w:rsidR="00BE1176" w:rsidRPr="00066DA1" w:rsidRDefault="00BE1176" w:rsidP="00BE1176">
      <w:pPr>
        <w:pStyle w:val="BodyofReport"/>
        <w:spacing w:line="360" w:lineRule="auto"/>
      </w:pPr>
      <w:r w:rsidRPr="00066DA1">
        <w:t>Thus the response rate for the land line samples was 1</w:t>
      </w:r>
      <w:r w:rsidR="008A3EF1">
        <w:t>4</w:t>
      </w:r>
      <w:r w:rsidRPr="00066DA1">
        <w:t xml:space="preserve"> percent. The response rate f</w:t>
      </w:r>
      <w:r w:rsidR="008E1768" w:rsidRPr="00066DA1">
        <w:t xml:space="preserve">or the cellular samples was </w:t>
      </w:r>
      <w:r w:rsidR="00066DA1" w:rsidRPr="00066DA1">
        <w:t>20</w:t>
      </w:r>
      <w:r w:rsidRPr="00066DA1">
        <w:t xml:space="preserve"> percent.</w:t>
      </w:r>
    </w:p>
    <w:p w:rsidR="00BE1176" w:rsidRPr="00856705" w:rsidRDefault="00BE1176" w:rsidP="00BE1176">
      <w:pPr>
        <w:pStyle w:val="BodyofReport"/>
        <w:spacing w:line="360" w:lineRule="auto"/>
        <w:rPr>
          <w:highlight w:val="yellow"/>
        </w:rPr>
      </w:pPr>
    </w:p>
    <w:p w:rsidR="00856705" w:rsidRDefault="00E51DFD">
      <w:pPr>
        <w:pStyle w:val="BodyofReport"/>
        <w:spacing w:line="360" w:lineRule="auto"/>
        <w:ind w:firstLine="0"/>
        <w:rPr>
          <w:highlight w:val="yellow"/>
        </w:rPr>
      </w:pPr>
      <w:r w:rsidRPr="00856705">
        <w:rPr>
          <w:highlight w:val="yellow"/>
        </w:rPr>
        <w:br w:type="page"/>
      </w:r>
    </w:p>
    <w:tbl>
      <w:tblPr>
        <w:tblW w:w="6100" w:type="dxa"/>
        <w:tblInd w:w="93" w:type="dxa"/>
        <w:tblLook w:val="04A0"/>
      </w:tblPr>
      <w:tblGrid>
        <w:gridCol w:w="1546"/>
        <w:gridCol w:w="1174"/>
        <w:gridCol w:w="3380"/>
      </w:tblGrid>
      <w:tr w:rsidR="008A3EF1" w:rsidRPr="008A3EF1" w:rsidTr="00163FEB">
        <w:trPr>
          <w:trHeight w:val="255"/>
        </w:trPr>
        <w:tc>
          <w:tcPr>
            <w:tcW w:w="6100" w:type="dxa"/>
            <w:gridSpan w:val="3"/>
            <w:tcBorders>
              <w:top w:val="nil"/>
              <w:left w:val="nil"/>
              <w:bottom w:val="single" w:sz="4" w:space="0" w:color="auto"/>
              <w:right w:val="nil"/>
            </w:tcBorders>
            <w:shd w:val="clear" w:color="auto" w:fill="auto"/>
            <w:noWrap/>
            <w:vAlign w:val="bottom"/>
            <w:hideMark/>
          </w:tcPr>
          <w:p w:rsidR="008A3EF1" w:rsidRPr="008A3EF1" w:rsidRDefault="008A3EF1" w:rsidP="008A3EF1">
            <w:pPr>
              <w:widowControl/>
              <w:rPr>
                <w:rFonts w:ascii="Arial" w:hAnsi="Arial" w:cs="Arial"/>
                <w:b/>
                <w:bCs/>
                <w:snapToGrid/>
                <w:sz w:val="20"/>
              </w:rPr>
            </w:pPr>
            <w:r w:rsidRPr="008A3EF1">
              <w:rPr>
                <w:rFonts w:ascii="Arial" w:hAnsi="Arial" w:cs="Arial"/>
                <w:b/>
                <w:bCs/>
                <w:snapToGrid/>
                <w:sz w:val="20"/>
              </w:rPr>
              <w:t>Table 2:Sample Disposition</w:t>
            </w:r>
          </w:p>
        </w:tc>
      </w:tr>
      <w:tr w:rsidR="008A3EF1" w:rsidRPr="008A3EF1" w:rsidTr="008A3EF1">
        <w:trPr>
          <w:trHeight w:val="300"/>
        </w:trPr>
        <w:tc>
          <w:tcPr>
            <w:tcW w:w="1546" w:type="dxa"/>
            <w:tcBorders>
              <w:top w:val="nil"/>
              <w:left w:val="nil"/>
              <w:bottom w:val="single" w:sz="4" w:space="0" w:color="auto"/>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Landline</w:t>
            </w:r>
          </w:p>
        </w:tc>
        <w:tc>
          <w:tcPr>
            <w:tcW w:w="1174" w:type="dxa"/>
            <w:tcBorders>
              <w:top w:val="nil"/>
              <w:left w:val="nil"/>
              <w:bottom w:val="single" w:sz="4" w:space="0" w:color="auto"/>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Cell</w:t>
            </w:r>
          </w:p>
        </w:tc>
        <w:tc>
          <w:tcPr>
            <w:tcW w:w="3380" w:type="dxa"/>
            <w:tcBorders>
              <w:top w:val="nil"/>
              <w:left w:val="nil"/>
              <w:bottom w:val="single" w:sz="4" w:space="0" w:color="auto"/>
              <w:right w:val="nil"/>
            </w:tcBorders>
            <w:shd w:val="clear" w:color="auto" w:fill="auto"/>
            <w:noWrap/>
            <w:vAlign w:val="bottom"/>
            <w:hideMark/>
          </w:tcPr>
          <w:p w:rsidR="008A3EF1" w:rsidRPr="008A3EF1" w:rsidRDefault="008A3EF1" w:rsidP="008A3EF1">
            <w:pPr>
              <w:widowControl/>
              <w:rPr>
                <w:rFonts w:ascii="Arial" w:hAnsi="Arial" w:cs="Arial"/>
                <w:b/>
                <w:bCs/>
                <w:snapToGrid/>
                <w:sz w:val="20"/>
              </w:rPr>
            </w:pPr>
            <w:r w:rsidRPr="008A3EF1">
              <w:rPr>
                <w:rFonts w:ascii="Arial" w:hAnsi="Arial" w:cs="Arial"/>
                <w:b/>
                <w:bCs/>
                <w:snapToGrid/>
                <w:sz w:val="20"/>
              </w:rPr>
              <w:t> </w:t>
            </w:r>
          </w:p>
        </w:tc>
      </w:tr>
      <w:tr w:rsidR="008A3EF1" w:rsidRPr="008A3EF1" w:rsidTr="008A3EF1">
        <w:trPr>
          <w:trHeight w:val="255"/>
        </w:trPr>
        <w:tc>
          <w:tcPr>
            <w:tcW w:w="1546"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13</w:t>
            </w:r>
            <w:r>
              <w:rPr>
                <w:rFonts w:ascii="Arial" w:hAnsi="Arial" w:cs="Arial"/>
                <w:snapToGrid/>
                <w:sz w:val="20"/>
              </w:rPr>
              <w:t>,</w:t>
            </w:r>
            <w:r w:rsidRPr="008A3EF1">
              <w:rPr>
                <w:rFonts w:ascii="Arial" w:hAnsi="Arial" w:cs="Arial"/>
                <w:snapToGrid/>
                <w:sz w:val="20"/>
              </w:rPr>
              <w:t>215</w:t>
            </w:r>
          </w:p>
        </w:tc>
        <w:tc>
          <w:tcPr>
            <w:tcW w:w="1174"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5</w:t>
            </w:r>
            <w:r>
              <w:rPr>
                <w:rFonts w:ascii="Arial" w:hAnsi="Arial" w:cs="Arial"/>
                <w:snapToGrid/>
                <w:sz w:val="20"/>
              </w:rPr>
              <w:t>,</w:t>
            </w:r>
            <w:r w:rsidRPr="008A3EF1">
              <w:rPr>
                <w:rFonts w:ascii="Arial" w:hAnsi="Arial" w:cs="Arial"/>
                <w:snapToGrid/>
                <w:sz w:val="20"/>
              </w:rPr>
              <w:t>653</w:t>
            </w:r>
          </w:p>
        </w:tc>
        <w:tc>
          <w:tcPr>
            <w:tcW w:w="3380" w:type="dxa"/>
            <w:tcBorders>
              <w:top w:val="nil"/>
              <w:left w:val="nil"/>
              <w:bottom w:val="nil"/>
              <w:right w:val="nil"/>
            </w:tcBorders>
            <w:shd w:val="clear" w:color="auto" w:fill="auto"/>
            <w:noWrap/>
            <w:vAlign w:val="bottom"/>
            <w:hideMark/>
          </w:tcPr>
          <w:p w:rsidR="008A3EF1" w:rsidRPr="008A3EF1" w:rsidRDefault="008A3EF1" w:rsidP="008A3EF1">
            <w:pPr>
              <w:widowControl/>
              <w:rPr>
                <w:rFonts w:ascii="Arial" w:hAnsi="Arial" w:cs="Arial"/>
                <w:b/>
                <w:bCs/>
                <w:snapToGrid/>
                <w:sz w:val="20"/>
              </w:rPr>
            </w:pPr>
            <w:r w:rsidRPr="008A3EF1">
              <w:rPr>
                <w:rFonts w:ascii="Arial" w:hAnsi="Arial" w:cs="Arial"/>
                <w:snapToGrid/>
                <w:sz w:val="20"/>
              </w:rPr>
              <w:t>Total Numbers Dialed</w:t>
            </w:r>
          </w:p>
        </w:tc>
      </w:tr>
      <w:tr w:rsidR="008A3EF1" w:rsidRPr="008A3EF1" w:rsidTr="008A3EF1">
        <w:trPr>
          <w:trHeight w:val="255"/>
        </w:trPr>
        <w:tc>
          <w:tcPr>
            <w:tcW w:w="1546"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p>
        </w:tc>
        <w:tc>
          <w:tcPr>
            <w:tcW w:w="1174"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p>
        </w:tc>
        <w:tc>
          <w:tcPr>
            <w:tcW w:w="3380" w:type="dxa"/>
            <w:tcBorders>
              <w:top w:val="nil"/>
              <w:left w:val="nil"/>
              <w:bottom w:val="nil"/>
              <w:right w:val="nil"/>
            </w:tcBorders>
            <w:shd w:val="clear" w:color="auto" w:fill="auto"/>
            <w:noWrap/>
            <w:vAlign w:val="bottom"/>
            <w:hideMark/>
          </w:tcPr>
          <w:p w:rsidR="008A3EF1" w:rsidRPr="008A3EF1" w:rsidRDefault="008A3EF1" w:rsidP="008A3EF1">
            <w:pPr>
              <w:widowControl/>
              <w:rPr>
                <w:rFonts w:ascii="Arial" w:hAnsi="Arial" w:cs="Arial"/>
                <w:snapToGrid/>
                <w:sz w:val="20"/>
              </w:rPr>
            </w:pPr>
          </w:p>
        </w:tc>
      </w:tr>
      <w:tr w:rsidR="008A3EF1" w:rsidRPr="008A3EF1" w:rsidTr="008A3EF1">
        <w:trPr>
          <w:trHeight w:val="255"/>
        </w:trPr>
        <w:tc>
          <w:tcPr>
            <w:tcW w:w="1546"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712</w:t>
            </w:r>
          </w:p>
        </w:tc>
        <w:tc>
          <w:tcPr>
            <w:tcW w:w="1174"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115</w:t>
            </w:r>
          </w:p>
        </w:tc>
        <w:tc>
          <w:tcPr>
            <w:tcW w:w="3380" w:type="dxa"/>
            <w:tcBorders>
              <w:top w:val="nil"/>
              <w:left w:val="nil"/>
              <w:bottom w:val="nil"/>
              <w:right w:val="nil"/>
            </w:tcBorders>
            <w:shd w:val="clear" w:color="auto" w:fill="auto"/>
            <w:noWrap/>
            <w:vAlign w:val="bottom"/>
            <w:hideMark/>
          </w:tcPr>
          <w:p w:rsidR="008A3EF1" w:rsidRPr="008A3EF1" w:rsidRDefault="008A3EF1" w:rsidP="008A3EF1">
            <w:pPr>
              <w:widowControl/>
              <w:rPr>
                <w:rFonts w:ascii="Arial" w:hAnsi="Arial" w:cs="Arial"/>
                <w:b/>
                <w:bCs/>
                <w:snapToGrid/>
                <w:sz w:val="20"/>
              </w:rPr>
            </w:pPr>
            <w:r w:rsidRPr="008A3EF1">
              <w:rPr>
                <w:rFonts w:ascii="Arial" w:hAnsi="Arial" w:cs="Arial"/>
                <w:snapToGrid/>
                <w:sz w:val="20"/>
              </w:rPr>
              <w:t>Non-residential</w:t>
            </w:r>
          </w:p>
        </w:tc>
      </w:tr>
      <w:tr w:rsidR="008A3EF1" w:rsidRPr="008A3EF1" w:rsidTr="008A3EF1">
        <w:trPr>
          <w:trHeight w:val="255"/>
        </w:trPr>
        <w:tc>
          <w:tcPr>
            <w:tcW w:w="1546"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664</w:t>
            </w:r>
          </w:p>
        </w:tc>
        <w:tc>
          <w:tcPr>
            <w:tcW w:w="1174"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5</w:t>
            </w:r>
          </w:p>
        </w:tc>
        <w:tc>
          <w:tcPr>
            <w:tcW w:w="3380" w:type="dxa"/>
            <w:tcBorders>
              <w:top w:val="nil"/>
              <w:left w:val="nil"/>
              <w:bottom w:val="nil"/>
              <w:right w:val="nil"/>
            </w:tcBorders>
            <w:shd w:val="clear" w:color="auto" w:fill="auto"/>
            <w:noWrap/>
            <w:vAlign w:val="bottom"/>
            <w:hideMark/>
          </w:tcPr>
          <w:p w:rsidR="008A3EF1" w:rsidRPr="008A3EF1" w:rsidRDefault="008A3EF1" w:rsidP="008A3EF1">
            <w:pPr>
              <w:widowControl/>
              <w:rPr>
                <w:rFonts w:ascii="Arial" w:hAnsi="Arial" w:cs="Arial"/>
                <w:b/>
                <w:bCs/>
                <w:snapToGrid/>
                <w:sz w:val="20"/>
              </w:rPr>
            </w:pPr>
            <w:r w:rsidRPr="008A3EF1">
              <w:rPr>
                <w:rFonts w:ascii="Arial" w:hAnsi="Arial" w:cs="Arial"/>
                <w:snapToGrid/>
                <w:sz w:val="20"/>
              </w:rPr>
              <w:t>Computer/Fax</w:t>
            </w:r>
          </w:p>
        </w:tc>
      </w:tr>
      <w:tr w:rsidR="008A3EF1" w:rsidRPr="008A3EF1" w:rsidTr="008A3EF1">
        <w:trPr>
          <w:trHeight w:val="255"/>
        </w:trPr>
        <w:tc>
          <w:tcPr>
            <w:tcW w:w="1546"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4</w:t>
            </w:r>
          </w:p>
        </w:tc>
        <w:tc>
          <w:tcPr>
            <w:tcW w:w="1174"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Pr>
                <w:rFonts w:ascii="Arial" w:hAnsi="Arial" w:cs="Arial"/>
                <w:snapToGrid/>
                <w:sz w:val="20"/>
              </w:rPr>
              <w:t>---</w:t>
            </w:r>
          </w:p>
        </w:tc>
        <w:tc>
          <w:tcPr>
            <w:tcW w:w="3380" w:type="dxa"/>
            <w:tcBorders>
              <w:top w:val="nil"/>
              <w:left w:val="nil"/>
              <w:bottom w:val="nil"/>
              <w:right w:val="nil"/>
            </w:tcBorders>
            <w:shd w:val="clear" w:color="auto" w:fill="auto"/>
            <w:noWrap/>
            <w:vAlign w:val="bottom"/>
            <w:hideMark/>
          </w:tcPr>
          <w:p w:rsidR="008A3EF1" w:rsidRPr="008A3EF1" w:rsidRDefault="008A3EF1" w:rsidP="008A3EF1">
            <w:pPr>
              <w:widowControl/>
              <w:rPr>
                <w:rFonts w:ascii="Arial" w:hAnsi="Arial" w:cs="Arial"/>
                <w:b/>
                <w:bCs/>
                <w:snapToGrid/>
                <w:sz w:val="20"/>
              </w:rPr>
            </w:pPr>
            <w:r w:rsidRPr="008A3EF1">
              <w:rPr>
                <w:rFonts w:ascii="Arial" w:hAnsi="Arial" w:cs="Arial"/>
                <w:snapToGrid/>
                <w:sz w:val="20"/>
              </w:rPr>
              <w:t>Cell phone</w:t>
            </w:r>
          </w:p>
        </w:tc>
      </w:tr>
      <w:tr w:rsidR="008A3EF1" w:rsidRPr="008A3EF1" w:rsidTr="008A3EF1">
        <w:trPr>
          <w:trHeight w:val="255"/>
        </w:trPr>
        <w:tc>
          <w:tcPr>
            <w:tcW w:w="1546"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5</w:t>
            </w:r>
            <w:r>
              <w:rPr>
                <w:rFonts w:ascii="Arial" w:hAnsi="Arial" w:cs="Arial"/>
                <w:snapToGrid/>
                <w:sz w:val="20"/>
              </w:rPr>
              <w:t>,</w:t>
            </w:r>
            <w:r w:rsidRPr="008A3EF1">
              <w:rPr>
                <w:rFonts w:ascii="Arial" w:hAnsi="Arial" w:cs="Arial"/>
                <w:snapToGrid/>
                <w:sz w:val="20"/>
              </w:rPr>
              <w:t>446</w:t>
            </w:r>
          </w:p>
        </w:tc>
        <w:tc>
          <w:tcPr>
            <w:tcW w:w="1174"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2</w:t>
            </w:r>
            <w:r>
              <w:rPr>
                <w:rFonts w:ascii="Arial" w:hAnsi="Arial" w:cs="Arial"/>
                <w:snapToGrid/>
                <w:sz w:val="20"/>
              </w:rPr>
              <w:t>,</w:t>
            </w:r>
            <w:r w:rsidRPr="008A3EF1">
              <w:rPr>
                <w:rFonts w:ascii="Arial" w:hAnsi="Arial" w:cs="Arial"/>
                <w:snapToGrid/>
                <w:sz w:val="20"/>
              </w:rPr>
              <w:t>090</w:t>
            </w:r>
          </w:p>
        </w:tc>
        <w:tc>
          <w:tcPr>
            <w:tcW w:w="3380" w:type="dxa"/>
            <w:tcBorders>
              <w:top w:val="nil"/>
              <w:left w:val="nil"/>
              <w:bottom w:val="nil"/>
              <w:right w:val="nil"/>
            </w:tcBorders>
            <w:shd w:val="clear" w:color="auto" w:fill="auto"/>
            <w:noWrap/>
            <w:vAlign w:val="bottom"/>
            <w:hideMark/>
          </w:tcPr>
          <w:p w:rsidR="008A3EF1" w:rsidRPr="008A3EF1" w:rsidRDefault="008A3EF1" w:rsidP="008A3EF1">
            <w:pPr>
              <w:widowControl/>
              <w:rPr>
                <w:rFonts w:ascii="Arial" w:hAnsi="Arial" w:cs="Arial"/>
                <w:b/>
                <w:bCs/>
                <w:snapToGrid/>
                <w:sz w:val="20"/>
              </w:rPr>
            </w:pPr>
            <w:r w:rsidRPr="008A3EF1">
              <w:rPr>
                <w:rFonts w:ascii="Arial" w:hAnsi="Arial" w:cs="Arial"/>
                <w:snapToGrid/>
                <w:sz w:val="20"/>
              </w:rPr>
              <w:t>Other not working</w:t>
            </w:r>
          </w:p>
        </w:tc>
      </w:tr>
      <w:tr w:rsidR="008A3EF1" w:rsidRPr="008A3EF1" w:rsidTr="008A3EF1">
        <w:trPr>
          <w:trHeight w:val="255"/>
        </w:trPr>
        <w:tc>
          <w:tcPr>
            <w:tcW w:w="1546" w:type="dxa"/>
            <w:tcBorders>
              <w:top w:val="nil"/>
              <w:left w:val="nil"/>
              <w:bottom w:val="single" w:sz="4" w:space="0" w:color="auto"/>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1</w:t>
            </w:r>
            <w:r>
              <w:rPr>
                <w:rFonts w:ascii="Arial" w:hAnsi="Arial" w:cs="Arial"/>
                <w:snapToGrid/>
                <w:sz w:val="20"/>
              </w:rPr>
              <w:t>,</w:t>
            </w:r>
            <w:r w:rsidRPr="008A3EF1">
              <w:rPr>
                <w:rFonts w:ascii="Arial" w:hAnsi="Arial" w:cs="Arial"/>
                <w:snapToGrid/>
                <w:sz w:val="20"/>
              </w:rPr>
              <w:t>009</w:t>
            </w:r>
          </w:p>
        </w:tc>
        <w:tc>
          <w:tcPr>
            <w:tcW w:w="1174" w:type="dxa"/>
            <w:tcBorders>
              <w:top w:val="nil"/>
              <w:left w:val="nil"/>
              <w:bottom w:val="single" w:sz="4" w:space="0" w:color="auto"/>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121</w:t>
            </w:r>
          </w:p>
        </w:tc>
        <w:tc>
          <w:tcPr>
            <w:tcW w:w="3380" w:type="dxa"/>
            <w:tcBorders>
              <w:top w:val="nil"/>
              <w:left w:val="nil"/>
              <w:bottom w:val="single" w:sz="4" w:space="0" w:color="auto"/>
              <w:right w:val="nil"/>
            </w:tcBorders>
            <w:shd w:val="clear" w:color="auto" w:fill="auto"/>
            <w:noWrap/>
            <w:vAlign w:val="bottom"/>
            <w:hideMark/>
          </w:tcPr>
          <w:p w:rsidR="008A3EF1" w:rsidRPr="008A3EF1" w:rsidRDefault="008A3EF1" w:rsidP="008A3EF1">
            <w:pPr>
              <w:widowControl/>
              <w:rPr>
                <w:rFonts w:ascii="Arial" w:hAnsi="Arial" w:cs="Arial"/>
                <w:b/>
                <w:bCs/>
                <w:snapToGrid/>
                <w:sz w:val="20"/>
              </w:rPr>
            </w:pPr>
            <w:r w:rsidRPr="008A3EF1">
              <w:rPr>
                <w:rFonts w:ascii="Arial" w:hAnsi="Arial" w:cs="Arial"/>
                <w:snapToGrid/>
                <w:sz w:val="20"/>
              </w:rPr>
              <w:t>Additional projected not working</w:t>
            </w:r>
          </w:p>
        </w:tc>
      </w:tr>
      <w:tr w:rsidR="008A3EF1" w:rsidRPr="008A3EF1" w:rsidTr="008A3EF1">
        <w:trPr>
          <w:trHeight w:val="255"/>
        </w:trPr>
        <w:tc>
          <w:tcPr>
            <w:tcW w:w="1546"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5</w:t>
            </w:r>
            <w:r>
              <w:rPr>
                <w:rFonts w:ascii="Arial" w:hAnsi="Arial" w:cs="Arial"/>
                <w:snapToGrid/>
                <w:sz w:val="20"/>
              </w:rPr>
              <w:t>,</w:t>
            </w:r>
            <w:r w:rsidRPr="008A3EF1">
              <w:rPr>
                <w:rFonts w:ascii="Arial" w:hAnsi="Arial" w:cs="Arial"/>
                <w:snapToGrid/>
                <w:sz w:val="20"/>
              </w:rPr>
              <w:t>380</w:t>
            </w:r>
          </w:p>
        </w:tc>
        <w:tc>
          <w:tcPr>
            <w:tcW w:w="1174"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3</w:t>
            </w:r>
            <w:r>
              <w:rPr>
                <w:rFonts w:ascii="Arial" w:hAnsi="Arial" w:cs="Arial"/>
                <w:snapToGrid/>
                <w:sz w:val="20"/>
              </w:rPr>
              <w:t>,</w:t>
            </w:r>
            <w:r w:rsidRPr="008A3EF1">
              <w:rPr>
                <w:rFonts w:ascii="Arial" w:hAnsi="Arial" w:cs="Arial"/>
                <w:snapToGrid/>
                <w:sz w:val="20"/>
              </w:rPr>
              <w:t>322</w:t>
            </w:r>
          </w:p>
        </w:tc>
        <w:tc>
          <w:tcPr>
            <w:tcW w:w="3380" w:type="dxa"/>
            <w:tcBorders>
              <w:top w:val="nil"/>
              <w:left w:val="nil"/>
              <w:bottom w:val="nil"/>
              <w:right w:val="nil"/>
            </w:tcBorders>
            <w:shd w:val="clear" w:color="auto" w:fill="auto"/>
            <w:noWrap/>
            <w:vAlign w:val="bottom"/>
            <w:hideMark/>
          </w:tcPr>
          <w:p w:rsidR="008A3EF1" w:rsidRPr="008A3EF1" w:rsidRDefault="008A3EF1" w:rsidP="008A3EF1">
            <w:pPr>
              <w:widowControl/>
              <w:rPr>
                <w:rFonts w:ascii="Arial" w:hAnsi="Arial" w:cs="Arial"/>
                <w:snapToGrid/>
                <w:sz w:val="20"/>
              </w:rPr>
            </w:pPr>
            <w:r w:rsidRPr="008A3EF1">
              <w:rPr>
                <w:rFonts w:ascii="Arial" w:hAnsi="Arial" w:cs="Arial"/>
                <w:snapToGrid/>
                <w:sz w:val="20"/>
              </w:rPr>
              <w:t>Working numbers</w:t>
            </w:r>
          </w:p>
        </w:tc>
      </w:tr>
      <w:tr w:rsidR="008A3EF1" w:rsidRPr="008A3EF1" w:rsidTr="008A3EF1">
        <w:trPr>
          <w:trHeight w:val="255"/>
        </w:trPr>
        <w:tc>
          <w:tcPr>
            <w:tcW w:w="1546" w:type="dxa"/>
            <w:tcBorders>
              <w:top w:val="nil"/>
              <w:left w:val="nil"/>
              <w:bottom w:val="nil"/>
              <w:right w:val="nil"/>
            </w:tcBorders>
            <w:shd w:val="clear" w:color="000000" w:fill="C0C0C0"/>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40.7%</w:t>
            </w:r>
          </w:p>
        </w:tc>
        <w:tc>
          <w:tcPr>
            <w:tcW w:w="1174" w:type="dxa"/>
            <w:tcBorders>
              <w:top w:val="nil"/>
              <w:left w:val="nil"/>
              <w:bottom w:val="nil"/>
              <w:right w:val="nil"/>
            </w:tcBorders>
            <w:shd w:val="clear" w:color="000000" w:fill="C0C0C0"/>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58.8%</w:t>
            </w:r>
          </w:p>
        </w:tc>
        <w:tc>
          <w:tcPr>
            <w:tcW w:w="3380" w:type="dxa"/>
            <w:tcBorders>
              <w:top w:val="nil"/>
              <w:left w:val="nil"/>
              <w:bottom w:val="nil"/>
              <w:right w:val="nil"/>
            </w:tcBorders>
            <w:shd w:val="clear" w:color="000000" w:fill="C0C0C0"/>
            <w:noWrap/>
            <w:vAlign w:val="bottom"/>
            <w:hideMark/>
          </w:tcPr>
          <w:p w:rsidR="008A3EF1" w:rsidRPr="008A3EF1" w:rsidRDefault="008A3EF1" w:rsidP="008A3EF1">
            <w:pPr>
              <w:widowControl/>
              <w:rPr>
                <w:rFonts w:ascii="Arial" w:hAnsi="Arial" w:cs="Arial"/>
                <w:snapToGrid/>
                <w:sz w:val="20"/>
              </w:rPr>
            </w:pPr>
            <w:r w:rsidRPr="008A3EF1">
              <w:rPr>
                <w:rFonts w:ascii="Arial" w:hAnsi="Arial" w:cs="Arial"/>
                <w:snapToGrid/>
                <w:sz w:val="20"/>
              </w:rPr>
              <w:t>Working Rate</w:t>
            </w:r>
          </w:p>
        </w:tc>
      </w:tr>
      <w:tr w:rsidR="008A3EF1" w:rsidRPr="008A3EF1" w:rsidTr="008A3EF1">
        <w:trPr>
          <w:trHeight w:val="255"/>
        </w:trPr>
        <w:tc>
          <w:tcPr>
            <w:tcW w:w="1546"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p>
        </w:tc>
        <w:tc>
          <w:tcPr>
            <w:tcW w:w="1174"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p>
        </w:tc>
        <w:tc>
          <w:tcPr>
            <w:tcW w:w="3380" w:type="dxa"/>
            <w:tcBorders>
              <w:top w:val="nil"/>
              <w:left w:val="nil"/>
              <w:bottom w:val="nil"/>
              <w:right w:val="nil"/>
            </w:tcBorders>
            <w:shd w:val="clear" w:color="auto" w:fill="auto"/>
            <w:noWrap/>
            <w:vAlign w:val="bottom"/>
            <w:hideMark/>
          </w:tcPr>
          <w:p w:rsidR="008A3EF1" w:rsidRPr="008A3EF1" w:rsidRDefault="008A3EF1" w:rsidP="008A3EF1">
            <w:pPr>
              <w:widowControl/>
              <w:rPr>
                <w:rFonts w:ascii="Arial" w:hAnsi="Arial" w:cs="Arial"/>
                <w:snapToGrid/>
                <w:sz w:val="20"/>
              </w:rPr>
            </w:pPr>
          </w:p>
        </w:tc>
      </w:tr>
      <w:tr w:rsidR="008A3EF1" w:rsidRPr="008A3EF1" w:rsidTr="008A3EF1">
        <w:trPr>
          <w:trHeight w:val="255"/>
        </w:trPr>
        <w:tc>
          <w:tcPr>
            <w:tcW w:w="1546"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336</w:t>
            </w:r>
          </w:p>
        </w:tc>
        <w:tc>
          <w:tcPr>
            <w:tcW w:w="1174"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40</w:t>
            </w:r>
          </w:p>
        </w:tc>
        <w:tc>
          <w:tcPr>
            <w:tcW w:w="3380" w:type="dxa"/>
            <w:tcBorders>
              <w:top w:val="nil"/>
              <w:left w:val="nil"/>
              <w:bottom w:val="nil"/>
              <w:right w:val="nil"/>
            </w:tcBorders>
            <w:shd w:val="clear" w:color="auto" w:fill="auto"/>
            <w:noWrap/>
            <w:vAlign w:val="bottom"/>
            <w:hideMark/>
          </w:tcPr>
          <w:p w:rsidR="008A3EF1" w:rsidRPr="008A3EF1" w:rsidRDefault="008A3EF1" w:rsidP="008A3EF1">
            <w:pPr>
              <w:widowControl/>
              <w:rPr>
                <w:rFonts w:ascii="Arial" w:hAnsi="Arial" w:cs="Arial"/>
                <w:b/>
                <w:bCs/>
                <w:snapToGrid/>
                <w:sz w:val="20"/>
              </w:rPr>
            </w:pPr>
            <w:r w:rsidRPr="008A3EF1">
              <w:rPr>
                <w:rFonts w:ascii="Arial" w:hAnsi="Arial" w:cs="Arial"/>
                <w:snapToGrid/>
                <w:sz w:val="20"/>
              </w:rPr>
              <w:t>No Answer / Busy</w:t>
            </w:r>
          </w:p>
        </w:tc>
      </w:tr>
      <w:tr w:rsidR="008A3EF1" w:rsidRPr="008A3EF1" w:rsidTr="008A3EF1">
        <w:trPr>
          <w:trHeight w:val="285"/>
        </w:trPr>
        <w:tc>
          <w:tcPr>
            <w:tcW w:w="1546"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1</w:t>
            </w:r>
            <w:r>
              <w:rPr>
                <w:rFonts w:ascii="Arial" w:hAnsi="Arial" w:cs="Arial"/>
                <w:snapToGrid/>
                <w:sz w:val="20"/>
              </w:rPr>
              <w:t>,</w:t>
            </w:r>
            <w:r w:rsidRPr="008A3EF1">
              <w:rPr>
                <w:rFonts w:ascii="Arial" w:hAnsi="Arial" w:cs="Arial"/>
                <w:snapToGrid/>
                <w:sz w:val="20"/>
              </w:rPr>
              <w:t>595</w:t>
            </w:r>
          </w:p>
        </w:tc>
        <w:tc>
          <w:tcPr>
            <w:tcW w:w="1174"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1</w:t>
            </w:r>
            <w:r>
              <w:rPr>
                <w:rFonts w:ascii="Arial" w:hAnsi="Arial" w:cs="Arial"/>
                <w:snapToGrid/>
                <w:sz w:val="20"/>
              </w:rPr>
              <w:t>,</w:t>
            </w:r>
            <w:r w:rsidRPr="008A3EF1">
              <w:rPr>
                <w:rFonts w:ascii="Arial" w:hAnsi="Arial" w:cs="Arial"/>
                <w:snapToGrid/>
                <w:sz w:val="20"/>
              </w:rPr>
              <w:t>084</w:t>
            </w:r>
          </w:p>
        </w:tc>
        <w:tc>
          <w:tcPr>
            <w:tcW w:w="3380" w:type="dxa"/>
            <w:tcBorders>
              <w:top w:val="nil"/>
              <w:left w:val="nil"/>
              <w:bottom w:val="nil"/>
              <w:right w:val="nil"/>
            </w:tcBorders>
            <w:shd w:val="clear" w:color="auto" w:fill="auto"/>
            <w:noWrap/>
            <w:vAlign w:val="bottom"/>
            <w:hideMark/>
          </w:tcPr>
          <w:p w:rsidR="008A3EF1" w:rsidRPr="008A3EF1" w:rsidRDefault="008A3EF1" w:rsidP="008A3EF1">
            <w:pPr>
              <w:widowControl/>
              <w:rPr>
                <w:rFonts w:ascii="Arial" w:hAnsi="Arial" w:cs="Arial"/>
                <w:b/>
                <w:bCs/>
                <w:snapToGrid/>
                <w:sz w:val="20"/>
              </w:rPr>
            </w:pPr>
            <w:r w:rsidRPr="008A3EF1">
              <w:rPr>
                <w:rFonts w:ascii="Arial" w:hAnsi="Arial" w:cs="Arial"/>
                <w:snapToGrid/>
                <w:sz w:val="20"/>
              </w:rPr>
              <w:t>Voice Mail</w:t>
            </w:r>
          </w:p>
        </w:tc>
      </w:tr>
      <w:tr w:rsidR="008A3EF1" w:rsidRPr="008A3EF1" w:rsidTr="008A3EF1">
        <w:trPr>
          <w:trHeight w:val="285"/>
        </w:trPr>
        <w:tc>
          <w:tcPr>
            <w:tcW w:w="1546" w:type="dxa"/>
            <w:tcBorders>
              <w:top w:val="nil"/>
              <w:left w:val="nil"/>
              <w:bottom w:val="single" w:sz="4" w:space="0" w:color="auto"/>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29</w:t>
            </w:r>
          </w:p>
        </w:tc>
        <w:tc>
          <w:tcPr>
            <w:tcW w:w="1174" w:type="dxa"/>
            <w:tcBorders>
              <w:top w:val="nil"/>
              <w:left w:val="nil"/>
              <w:bottom w:val="single" w:sz="4" w:space="0" w:color="auto"/>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2</w:t>
            </w:r>
          </w:p>
        </w:tc>
        <w:tc>
          <w:tcPr>
            <w:tcW w:w="3380" w:type="dxa"/>
            <w:tcBorders>
              <w:top w:val="nil"/>
              <w:left w:val="nil"/>
              <w:bottom w:val="single" w:sz="4" w:space="0" w:color="auto"/>
              <w:right w:val="nil"/>
            </w:tcBorders>
            <w:shd w:val="clear" w:color="auto" w:fill="auto"/>
            <w:noWrap/>
            <w:vAlign w:val="bottom"/>
            <w:hideMark/>
          </w:tcPr>
          <w:p w:rsidR="008A3EF1" w:rsidRPr="008A3EF1" w:rsidRDefault="008A3EF1" w:rsidP="008A3EF1">
            <w:pPr>
              <w:widowControl/>
              <w:rPr>
                <w:rFonts w:ascii="Arial" w:hAnsi="Arial" w:cs="Arial"/>
                <w:b/>
                <w:bCs/>
                <w:snapToGrid/>
                <w:sz w:val="20"/>
              </w:rPr>
            </w:pPr>
            <w:r w:rsidRPr="008A3EF1">
              <w:rPr>
                <w:rFonts w:ascii="Arial" w:hAnsi="Arial" w:cs="Arial"/>
                <w:snapToGrid/>
                <w:sz w:val="20"/>
              </w:rPr>
              <w:t>Other Non-Contact</w:t>
            </w:r>
          </w:p>
        </w:tc>
      </w:tr>
      <w:tr w:rsidR="008A3EF1" w:rsidRPr="008A3EF1" w:rsidTr="008A3EF1">
        <w:trPr>
          <w:trHeight w:val="255"/>
        </w:trPr>
        <w:tc>
          <w:tcPr>
            <w:tcW w:w="1546"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3</w:t>
            </w:r>
            <w:r>
              <w:rPr>
                <w:rFonts w:ascii="Arial" w:hAnsi="Arial" w:cs="Arial"/>
                <w:snapToGrid/>
                <w:sz w:val="20"/>
              </w:rPr>
              <w:t>,</w:t>
            </w:r>
            <w:r w:rsidRPr="008A3EF1">
              <w:rPr>
                <w:rFonts w:ascii="Arial" w:hAnsi="Arial" w:cs="Arial"/>
                <w:snapToGrid/>
                <w:sz w:val="20"/>
              </w:rPr>
              <w:t>420</w:t>
            </w:r>
          </w:p>
        </w:tc>
        <w:tc>
          <w:tcPr>
            <w:tcW w:w="1174"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2</w:t>
            </w:r>
            <w:r>
              <w:rPr>
                <w:rFonts w:ascii="Arial" w:hAnsi="Arial" w:cs="Arial"/>
                <w:snapToGrid/>
                <w:sz w:val="20"/>
              </w:rPr>
              <w:t>,</w:t>
            </w:r>
            <w:r w:rsidRPr="008A3EF1">
              <w:rPr>
                <w:rFonts w:ascii="Arial" w:hAnsi="Arial" w:cs="Arial"/>
                <w:snapToGrid/>
                <w:sz w:val="20"/>
              </w:rPr>
              <w:t>196</w:t>
            </w:r>
          </w:p>
        </w:tc>
        <w:tc>
          <w:tcPr>
            <w:tcW w:w="3380" w:type="dxa"/>
            <w:tcBorders>
              <w:top w:val="nil"/>
              <w:left w:val="nil"/>
              <w:bottom w:val="nil"/>
              <w:right w:val="nil"/>
            </w:tcBorders>
            <w:shd w:val="clear" w:color="auto" w:fill="auto"/>
            <w:noWrap/>
            <w:vAlign w:val="bottom"/>
            <w:hideMark/>
          </w:tcPr>
          <w:p w:rsidR="008A3EF1" w:rsidRPr="008A3EF1" w:rsidRDefault="008A3EF1" w:rsidP="008A3EF1">
            <w:pPr>
              <w:widowControl/>
              <w:rPr>
                <w:rFonts w:ascii="Arial" w:hAnsi="Arial" w:cs="Arial"/>
                <w:snapToGrid/>
                <w:sz w:val="20"/>
              </w:rPr>
            </w:pPr>
            <w:r w:rsidRPr="008A3EF1">
              <w:rPr>
                <w:rFonts w:ascii="Arial" w:hAnsi="Arial" w:cs="Arial"/>
                <w:snapToGrid/>
                <w:sz w:val="20"/>
              </w:rPr>
              <w:t>Contacted numbers</w:t>
            </w:r>
          </w:p>
        </w:tc>
      </w:tr>
      <w:tr w:rsidR="008A3EF1" w:rsidRPr="008A3EF1" w:rsidTr="008A3EF1">
        <w:trPr>
          <w:trHeight w:val="255"/>
        </w:trPr>
        <w:tc>
          <w:tcPr>
            <w:tcW w:w="1546" w:type="dxa"/>
            <w:tcBorders>
              <w:top w:val="nil"/>
              <w:left w:val="nil"/>
              <w:bottom w:val="nil"/>
              <w:right w:val="nil"/>
            </w:tcBorders>
            <w:shd w:val="clear" w:color="000000" w:fill="C0C0C0"/>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63.6%</w:t>
            </w:r>
          </w:p>
        </w:tc>
        <w:tc>
          <w:tcPr>
            <w:tcW w:w="1174" w:type="dxa"/>
            <w:tcBorders>
              <w:top w:val="nil"/>
              <w:left w:val="nil"/>
              <w:bottom w:val="nil"/>
              <w:right w:val="nil"/>
            </w:tcBorders>
            <w:shd w:val="clear" w:color="000000" w:fill="C0C0C0"/>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66.1%</w:t>
            </w:r>
          </w:p>
        </w:tc>
        <w:tc>
          <w:tcPr>
            <w:tcW w:w="3380" w:type="dxa"/>
            <w:tcBorders>
              <w:top w:val="nil"/>
              <w:left w:val="nil"/>
              <w:bottom w:val="nil"/>
              <w:right w:val="nil"/>
            </w:tcBorders>
            <w:shd w:val="clear" w:color="000000" w:fill="C0C0C0"/>
            <w:noWrap/>
            <w:vAlign w:val="bottom"/>
            <w:hideMark/>
          </w:tcPr>
          <w:p w:rsidR="008A3EF1" w:rsidRPr="008A3EF1" w:rsidRDefault="008A3EF1" w:rsidP="008A3EF1">
            <w:pPr>
              <w:widowControl/>
              <w:rPr>
                <w:rFonts w:ascii="Arial" w:hAnsi="Arial" w:cs="Arial"/>
                <w:snapToGrid/>
                <w:sz w:val="20"/>
              </w:rPr>
            </w:pPr>
            <w:r w:rsidRPr="008A3EF1">
              <w:rPr>
                <w:rFonts w:ascii="Arial" w:hAnsi="Arial" w:cs="Arial"/>
                <w:snapToGrid/>
                <w:sz w:val="20"/>
              </w:rPr>
              <w:t>Contact Rate</w:t>
            </w:r>
          </w:p>
        </w:tc>
      </w:tr>
      <w:tr w:rsidR="008A3EF1" w:rsidRPr="008A3EF1" w:rsidTr="008A3EF1">
        <w:trPr>
          <w:trHeight w:val="255"/>
        </w:trPr>
        <w:tc>
          <w:tcPr>
            <w:tcW w:w="1546"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p>
        </w:tc>
        <w:tc>
          <w:tcPr>
            <w:tcW w:w="1174"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p>
        </w:tc>
        <w:tc>
          <w:tcPr>
            <w:tcW w:w="3380" w:type="dxa"/>
            <w:tcBorders>
              <w:top w:val="nil"/>
              <w:left w:val="nil"/>
              <w:bottom w:val="nil"/>
              <w:right w:val="nil"/>
            </w:tcBorders>
            <w:shd w:val="clear" w:color="auto" w:fill="auto"/>
            <w:noWrap/>
            <w:vAlign w:val="bottom"/>
            <w:hideMark/>
          </w:tcPr>
          <w:p w:rsidR="008A3EF1" w:rsidRPr="008A3EF1" w:rsidRDefault="008A3EF1" w:rsidP="008A3EF1">
            <w:pPr>
              <w:widowControl/>
              <w:rPr>
                <w:rFonts w:ascii="Arial" w:hAnsi="Arial" w:cs="Arial"/>
                <w:snapToGrid/>
                <w:sz w:val="20"/>
              </w:rPr>
            </w:pPr>
          </w:p>
        </w:tc>
      </w:tr>
      <w:tr w:rsidR="008A3EF1" w:rsidRPr="008A3EF1" w:rsidTr="008A3EF1">
        <w:trPr>
          <w:trHeight w:val="285"/>
        </w:trPr>
        <w:tc>
          <w:tcPr>
            <w:tcW w:w="1546"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339</w:t>
            </w:r>
          </w:p>
        </w:tc>
        <w:tc>
          <w:tcPr>
            <w:tcW w:w="1174"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345</w:t>
            </w:r>
          </w:p>
        </w:tc>
        <w:tc>
          <w:tcPr>
            <w:tcW w:w="3380" w:type="dxa"/>
            <w:tcBorders>
              <w:top w:val="nil"/>
              <w:left w:val="nil"/>
              <w:bottom w:val="nil"/>
              <w:right w:val="nil"/>
            </w:tcBorders>
            <w:shd w:val="clear" w:color="auto" w:fill="auto"/>
            <w:noWrap/>
            <w:vAlign w:val="bottom"/>
            <w:hideMark/>
          </w:tcPr>
          <w:p w:rsidR="008A3EF1" w:rsidRPr="008A3EF1" w:rsidRDefault="008A3EF1" w:rsidP="008A3EF1">
            <w:pPr>
              <w:widowControl/>
              <w:rPr>
                <w:rFonts w:ascii="Arial" w:hAnsi="Arial" w:cs="Arial"/>
                <w:b/>
                <w:bCs/>
                <w:snapToGrid/>
                <w:sz w:val="20"/>
              </w:rPr>
            </w:pPr>
            <w:r w:rsidRPr="008A3EF1">
              <w:rPr>
                <w:rFonts w:ascii="Arial" w:hAnsi="Arial" w:cs="Arial"/>
                <w:snapToGrid/>
                <w:sz w:val="20"/>
              </w:rPr>
              <w:t>Callback</w:t>
            </w:r>
          </w:p>
        </w:tc>
      </w:tr>
      <w:tr w:rsidR="008A3EF1" w:rsidRPr="008A3EF1" w:rsidTr="008A3EF1">
        <w:trPr>
          <w:trHeight w:val="285"/>
        </w:trPr>
        <w:tc>
          <w:tcPr>
            <w:tcW w:w="1546" w:type="dxa"/>
            <w:tcBorders>
              <w:top w:val="nil"/>
              <w:left w:val="nil"/>
              <w:bottom w:val="single" w:sz="4" w:space="0" w:color="auto"/>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2</w:t>
            </w:r>
            <w:r>
              <w:rPr>
                <w:rFonts w:ascii="Arial" w:hAnsi="Arial" w:cs="Arial"/>
                <w:snapToGrid/>
                <w:sz w:val="20"/>
              </w:rPr>
              <w:t>,</w:t>
            </w:r>
            <w:r w:rsidRPr="008A3EF1">
              <w:rPr>
                <w:rFonts w:ascii="Arial" w:hAnsi="Arial" w:cs="Arial"/>
                <w:snapToGrid/>
                <w:sz w:val="20"/>
              </w:rPr>
              <w:t>284</w:t>
            </w:r>
          </w:p>
        </w:tc>
        <w:tc>
          <w:tcPr>
            <w:tcW w:w="1174" w:type="dxa"/>
            <w:tcBorders>
              <w:top w:val="nil"/>
              <w:left w:val="nil"/>
              <w:bottom w:val="single" w:sz="4" w:space="0" w:color="auto"/>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1</w:t>
            </w:r>
            <w:r>
              <w:rPr>
                <w:rFonts w:ascii="Arial" w:hAnsi="Arial" w:cs="Arial"/>
                <w:snapToGrid/>
                <w:sz w:val="20"/>
              </w:rPr>
              <w:t>,</w:t>
            </w:r>
            <w:r w:rsidRPr="008A3EF1">
              <w:rPr>
                <w:rFonts w:ascii="Arial" w:hAnsi="Arial" w:cs="Arial"/>
                <w:snapToGrid/>
                <w:sz w:val="20"/>
              </w:rPr>
              <w:t>192</w:t>
            </w:r>
          </w:p>
        </w:tc>
        <w:tc>
          <w:tcPr>
            <w:tcW w:w="3380" w:type="dxa"/>
            <w:tcBorders>
              <w:top w:val="nil"/>
              <w:left w:val="nil"/>
              <w:bottom w:val="single" w:sz="4" w:space="0" w:color="auto"/>
              <w:right w:val="nil"/>
            </w:tcBorders>
            <w:shd w:val="clear" w:color="auto" w:fill="auto"/>
            <w:noWrap/>
            <w:vAlign w:val="bottom"/>
            <w:hideMark/>
          </w:tcPr>
          <w:p w:rsidR="008A3EF1" w:rsidRPr="008A3EF1" w:rsidRDefault="008A3EF1" w:rsidP="008A3EF1">
            <w:pPr>
              <w:widowControl/>
              <w:rPr>
                <w:rFonts w:ascii="Arial" w:hAnsi="Arial" w:cs="Arial"/>
                <w:b/>
                <w:bCs/>
                <w:snapToGrid/>
                <w:sz w:val="20"/>
              </w:rPr>
            </w:pPr>
            <w:r w:rsidRPr="008A3EF1">
              <w:rPr>
                <w:rFonts w:ascii="Arial" w:hAnsi="Arial" w:cs="Arial"/>
                <w:snapToGrid/>
                <w:sz w:val="20"/>
              </w:rPr>
              <w:t>Refusal</w:t>
            </w:r>
          </w:p>
        </w:tc>
      </w:tr>
      <w:tr w:rsidR="008A3EF1" w:rsidRPr="008A3EF1" w:rsidTr="008A3EF1">
        <w:trPr>
          <w:trHeight w:val="255"/>
        </w:trPr>
        <w:tc>
          <w:tcPr>
            <w:tcW w:w="1546"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797</w:t>
            </w:r>
          </w:p>
        </w:tc>
        <w:tc>
          <w:tcPr>
            <w:tcW w:w="1174"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659</w:t>
            </w:r>
          </w:p>
        </w:tc>
        <w:tc>
          <w:tcPr>
            <w:tcW w:w="3380" w:type="dxa"/>
            <w:tcBorders>
              <w:top w:val="nil"/>
              <w:left w:val="nil"/>
              <w:bottom w:val="nil"/>
              <w:right w:val="nil"/>
            </w:tcBorders>
            <w:shd w:val="clear" w:color="auto" w:fill="auto"/>
            <w:noWrap/>
            <w:vAlign w:val="bottom"/>
            <w:hideMark/>
          </w:tcPr>
          <w:p w:rsidR="008A3EF1" w:rsidRPr="008A3EF1" w:rsidRDefault="008A3EF1" w:rsidP="008A3EF1">
            <w:pPr>
              <w:widowControl/>
              <w:rPr>
                <w:rFonts w:ascii="Arial" w:hAnsi="Arial" w:cs="Arial"/>
                <w:snapToGrid/>
                <w:sz w:val="20"/>
              </w:rPr>
            </w:pPr>
            <w:r w:rsidRPr="008A3EF1">
              <w:rPr>
                <w:rFonts w:ascii="Arial" w:hAnsi="Arial" w:cs="Arial"/>
                <w:snapToGrid/>
                <w:sz w:val="20"/>
              </w:rPr>
              <w:t>Cooperating numbers</w:t>
            </w:r>
          </w:p>
        </w:tc>
      </w:tr>
      <w:tr w:rsidR="008A3EF1" w:rsidRPr="008A3EF1" w:rsidTr="008A3EF1">
        <w:trPr>
          <w:trHeight w:val="255"/>
        </w:trPr>
        <w:tc>
          <w:tcPr>
            <w:tcW w:w="1546" w:type="dxa"/>
            <w:tcBorders>
              <w:top w:val="nil"/>
              <w:left w:val="nil"/>
              <w:bottom w:val="nil"/>
              <w:right w:val="nil"/>
            </w:tcBorders>
            <w:shd w:val="clear" w:color="000000" w:fill="C0C0C0"/>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23.3%</w:t>
            </w:r>
          </w:p>
        </w:tc>
        <w:tc>
          <w:tcPr>
            <w:tcW w:w="1174" w:type="dxa"/>
            <w:tcBorders>
              <w:top w:val="nil"/>
              <w:left w:val="nil"/>
              <w:bottom w:val="nil"/>
              <w:right w:val="nil"/>
            </w:tcBorders>
            <w:shd w:val="clear" w:color="000000" w:fill="C0C0C0"/>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30.0%</w:t>
            </w:r>
          </w:p>
        </w:tc>
        <w:tc>
          <w:tcPr>
            <w:tcW w:w="3380" w:type="dxa"/>
            <w:tcBorders>
              <w:top w:val="nil"/>
              <w:left w:val="nil"/>
              <w:bottom w:val="nil"/>
              <w:right w:val="nil"/>
            </w:tcBorders>
            <w:shd w:val="clear" w:color="000000" w:fill="C0C0C0"/>
            <w:noWrap/>
            <w:vAlign w:val="bottom"/>
            <w:hideMark/>
          </w:tcPr>
          <w:p w:rsidR="008A3EF1" w:rsidRPr="008A3EF1" w:rsidRDefault="008A3EF1" w:rsidP="008A3EF1">
            <w:pPr>
              <w:widowControl/>
              <w:rPr>
                <w:rFonts w:ascii="Arial" w:hAnsi="Arial" w:cs="Arial"/>
                <w:snapToGrid/>
                <w:sz w:val="20"/>
              </w:rPr>
            </w:pPr>
            <w:r w:rsidRPr="008A3EF1">
              <w:rPr>
                <w:rFonts w:ascii="Arial" w:hAnsi="Arial" w:cs="Arial"/>
                <w:snapToGrid/>
                <w:sz w:val="20"/>
              </w:rPr>
              <w:t>Cooperation Rate</w:t>
            </w:r>
          </w:p>
        </w:tc>
      </w:tr>
      <w:tr w:rsidR="008A3EF1" w:rsidRPr="008A3EF1" w:rsidTr="008A3EF1">
        <w:trPr>
          <w:trHeight w:val="255"/>
        </w:trPr>
        <w:tc>
          <w:tcPr>
            <w:tcW w:w="1546"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p>
        </w:tc>
        <w:tc>
          <w:tcPr>
            <w:tcW w:w="1174"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p>
        </w:tc>
        <w:tc>
          <w:tcPr>
            <w:tcW w:w="3380"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p>
        </w:tc>
      </w:tr>
      <w:tr w:rsidR="008A3EF1" w:rsidRPr="008A3EF1" w:rsidTr="008A3EF1">
        <w:trPr>
          <w:trHeight w:val="255"/>
        </w:trPr>
        <w:tc>
          <w:tcPr>
            <w:tcW w:w="1546"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116</w:t>
            </w:r>
          </w:p>
        </w:tc>
        <w:tc>
          <w:tcPr>
            <w:tcW w:w="1174"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98</w:t>
            </w:r>
          </w:p>
        </w:tc>
        <w:tc>
          <w:tcPr>
            <w:tcW w:w="3380" w:type="dxa"/>
            <w:tcBorders>
              <w:top w:val="nil"/>
              <w:left w:val="nil"/>
              <w:bottom w:val="nil"/>
              <w:right w:val="nil"/>
            </w:tcBorders>
            <w:shd w:val="clear" w:color="auto" w:fill="auto"/>
            <w:noWrap/>
            <w:vAlign w:val="bottom"/>
            <w:hideMark/>
          </w:tcPr>
          <w:p w:rsidR="008A3EF1" w:rsidRPr="008A3EF1" w:rsidRDefault="008A3EF1" w:rsidP="008A3EF1">
            <w:pPr>
              <w:widowControl/>
              <w:rPr>
                <w:rFonts w:ascii="Arial" w:hAnsi="Arial" w:cs="Arial"/>
                <w:b/>
                <w:bCs/>
                <w:snapToGrid/>
                <w:sz w:val="20"/>
              </w:rPr>
            </w:pPr>
            <w:r w:rsidRPr="008A3EF1">
              <w:rPr>
                <w:rFonts w:ascii="Arial" w:hAnsi="Arial" w:cs="Arial"/>
                <w:snapToGrid/>
                <w:sz w:val="20"/>
              </w:rPr>
              <w:t>Language Barrier</w:t>
            </w:r>
          </w:p>
        </w:tc>
      </w:tr>
      <w:tr w:rsidR="008A3EF1" w:rsidRPr="008A3EF1" w:rsidTr="008A3EF1">
        <w:trPr>
          <w:trHeight w:val="255"/>
        </w:trPr>
        <w:tc>
          <w:tcPr>
            <w:tcW w:w="1546" w:type="dxa"/>
            <w:tcBorders>
              <w:top w:val="nil"/>
              <w:left w:val="nil"/>
              <w:bottom w:val="single" w:sz="4" w:space="0" w:color="auto"/>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Pr>
                <w:rFonts w:ascii="Arial" w:hAnsi="Arial" w:cs="Arial"/>
                <w:snapToGrid/>
                <w:sz w:val="20"/>
              </w:rPr>
              <w:t>---</w:t>
            </w:r>
          </w:p>
        </w:tc>
        <w:tc>
          <w:tcPr>
            <w:tcW w:w="1174" w:type="dxa"/>
            <w:tcBorders>
              <w:top w:val="nil"/>
              <w:left w:val="nil"/>
              <w:bottom w:val="single" w:sz="4" w:space="0" w:color="auto"/>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223</w:t>
            </w:r>
          </w:p>
        </w:tc>
        <w:tc>
          <w:tcPr>
            <w:tcW w:w="3380" w:type="dxa"/>
            <w:tcBorders>
              <w:top w:val="nil"/>
              <w:left w:val="nil"/>
              <w:bottom w:val="single" w:sz="4" w:space="0" w:color="auto"/>
              <w:right w:val="nil"/>
            </w:tcBorders>
            <w:shd w:val="clear" w:color="auto" w:fill="auto"/>
            <w:noWrap/>
            <w:vAlign w:val="bottom"/>
            <w:hideMark/>
          </w:tcPr>
          <w:p w:rsidR="008A3EF1" w:rsidRPr="008A3EF1" w:rsidRDefault="008A3EF1" w:rsidP="008A3EF1">
            <w:pPr>
              <w:widowControl/>
              <w:rPr>
                <w:rFonts w:ascii="Arial" w:hAnsi="Arial" w:cs="Arial"/>
                <w:b/>
                <w:bCs/>
                <w:snapToGrid/>
                <w:sz w:val="20"/>
              </w:rPr>
            </w:pPr>
            <w:r w:rsidRPr="008A3EF1">
              <w:rPr>
                <w:rFonts w:ascii="Arial" w:hAnsi="Arial" w:cs="Arial"/>
                <w:snapToGrid/>
                <w:sz w:val="20"/>
              </w:rPr>
              <w:t>Child's cell phone</w:t>
            </w:r>
          </w:p>
        </w:tc>
      </w:tr>
      <w:tr w:rsidR="008A3EF1" w:rsidRPr="008A3EF1" w:rsidTr="008A3EF1">
        <w:trPr>
          <w:trHeight w:val="255"/>
        </w:trPr>
        <w:tc>
          <w:tcPr>
            <w:tcW w:w="1546"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681</w:t>
            </w:r>
          </w:p>
        </w:tc>
        <w:tc>
          <w:tcPr>
            <w:tcW w:w="1174"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338</w:t>
            </w:r>
          </w:p>
        </w:tc>
        <w:tc>
          <w:tcPr>
            <w:tcW w:w="3380" w:type="dxa"/>
            <w:tcBorders>
              <w:top w:val="nil"/>
              <w:left w:val="nil"/>
              <w:bottom w:val="nil"/>
              <w:right w:val="nil"/>
            </w:tcBorders>
            <w:shd w:val="clear" w:color="auto" w:fill="auto"/>
            <w:noWrap/>
            <w:vAlign w:val="bottom"/>
            <w:hideMark/>
          </w:tcPr>
          <w:p w:rsidR="008A3EF1" w:rsidRPr="008A3EF1" w:rsidRDefault="008A3EF1" w:rsidP="008A3EF1">
            <w:pPr>
              <w:widowControl/>
              <w:rPr>
                <w:rFonts w:ascii="Arial" w:hAnsi="Arial" w:cs="Arial"/>
                <w:snapToGrid/>
                <w:sz w:val="20"/>
              </w:rPr>
            </w:pPr>
            <w:r w:rsidRPr="008A3EF1">
              <w:rPr>
                <w:rFonts w:ascii="Arial" w:hAnsi="Arial" w:cs="Arial"/>
                <w:snapToGrid/>
                <w:sz w:val="20"/>
              </w:rPr>
              <w:t>Eligible numbers</w:t>
            </w:r>
          </w:p>
        </w:tc>
      </w:tr>
      <w:tr w:rsidR="008A3EF1" w:rsidRPr="008A3EF1" w:rsidTr="008A3EF1">
        <w:trPr>
          <w:trHeight w:val="255"/>
        </w:trPr>
        <w:tc>
          <w:tcPr>
            <w:tcW w:w="1546" w:type="dxa"/>
            <w:tcBorders>
              <w:top w:val="nil"/>
              <w:left w:val="nil"/>
              <w:bottom w:val="nil"/>
              <w:right w:val="nil"/>
            </w:tcBorders>
            <w:shd w:val="clear" w:color="000000" w:fill="C0C0C0"/>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85.4%</w:t>
            </w:r>
          </w:p>
        </w:tc>
        <w:tc>
          <w:tcPr>
            <w:tcW w:w="1174" w:type="dxa"/>
            <w:tcBorders>
              <w:top w:val="nil"/>
              <w:left w:val="nil"/>
              <w:bottom w:val="nil"/>
              <w:right w:val="nil"/>
            </w:tcBorders>
            <w:shd w:val="clear" w:color="000000" w:fill="C0C0C0"/>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51.3%</w:t>
            </w:r>
          </w:p>
        </w:tc>
        <w:tc>
          <w:tcPr>
            <w:tcW w:w="3380" w:type="dxa"/>
            <w:tcBorders>
              <w:top w:val="nil"/>
              <w:left w:val="nil"/>
              <w:bottom w:val="nil"/>
              <w:right w:val="nil"/>
            </w:tcBorders>
            <w:shd w:val="clear" w:color="000000" w:fill="C0C0C0"/>
            <w:noWrap/>
            <w:vAlign w:val="bottom"/>
            <w:hideMark/>
          </w:tcPr>
          <w:p w:rsidR="008A3EF1" w:rsidRPr="008A3EF1" w:rsidRDefault="008A3EF1" w:rsidP="008A3EF1">
            <w:pPr>
              <w:widowControl/>
              <w:rPr>
                <w:rFonts w:ascii="Arial" w:hAnsi="Arial" w:cs="Arial"/>
                <w:snapToGrid/>
                <w:sz w:val="20"/>
              </w:rPr>
            </w:pPr>
            <w:r w:rsidRPr="008A3EF1">
              <w:rPr>
                <w:rFonts w:ascii="Arial" w:hAnsi="Arial" w:cs="Arial"/>
                <w:snapToGrid/>
                <w:sz w:val="20"/>
              </w:rPr>
              <w:t>Eligibility Rate</w:t>
            </w:r>
          </w:p>
        </w:tc>
      </w:tr>
      <w:tr w:rsidR="008A3EF1" w:rsidRPr="008A3EF1" w:rsidTr="008A3EF1">
        <w:trPr>
          <w:trHeight w:val="255"/>
        </w:trPr>
        <w:tc>
          <w:tcPr>
            <w:tcW w:w="1546"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p>
        </w:tc>
        <w:tc>
          <w:tcPr>
            <w:tcW w:w="1174"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p>
        </w:tc>
        <w:tc>
          <w:tcPr>
            <w:tcW w:w="3380"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p>
        </w:tc>
      </w:tr>
      <w:tr w:rsidR="008A3EF1" w:rsidRPr="008A3EF1" w:rsidTr="008A3EF1">
        <w:trPr>
          <w:trHeight w:val="255"/>
        </w:trPr>
        <w:tc>
          <w:tcPr>
            <w:tcW w:w="1546" w:type="dxa"/>
            <w:tcBorders>
              <w:top w:val="nil"/>
              <w:left w:val="nil"/>
              <w:bottom w:val="single" w:sz="4" w:space="0" w:color="auto"/>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19</w:t>
            </w:r>
          </w:p>
        </w:tc>
        <w:tc>
          <w:tcPr>
            <w:tcW w:w="1174" w:type="dxa"/>
            <w:tcBorders>
              <w:top w:val="nil"/>
              <w:left w:val="nil"/>
              <w:bottom w:val="single" w:sz="4" w:space="0" w:color="auto"/>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6</w:t>
            </w:r>
          </w:p>
        </w:tc>
        <w:tc>
          <w:tcPr>
            <w:tcW w:w="3380" w:type="dxa"/>
            <w:tcBorders>
              <w:top w:val="nil"/>
              <w:left w:val="nil"/>
              <w:bottom w:val="single" w:sz="4" w:space="0" w:color="auto"/>
              <w:right w:val="nil"/>
            </w:tcBorders>
            <w:shd w:val="clear" w:color="auto" w:fill="auto"/>
            <w:noWrap/>
            <w:vAlign w:val="bottom"/>
            <w:hideMark/>
          </w:tcPr>
          <w:p w:rsidR="008A3EF1" w:rsidRPr="008A3EF1" w:rsidRDefault="008A3EF1" w:rsidP="008A3EF1">
            <w:pPr>
              <w:widowControl/>
              <w:rPr>
                <w:rFonts w:ascii="Arial" w:hAnsi="Arial" w:cs="Arial"/>
                <w:b/>
                <w:bCs/>
                <w:snapToGrid/>
                <w:sz w:val="20"/>
              </w:rPr>
            </w:pPr>
            <w:r w:rsidRPr="008A3EF1">
              <w:rPr>
                <w:rFonts w:ascii="Arial" w:hAnsi="Arial" w:cs="Arial"/>
                <w:snapToGrid/>
                <w:sz w:val="20"/>
              </w:rPr>
              <w:t>Break-off</w:t>
            </w:r>
          </w:p>
        </w:tc>
      </w:tr>
      <w:tr w:rsidR="008A3EF1" w:rsidRPr="008A3EF1" w:rsidTr="008A3EF1">
        <w:trPr>
          <w:trHeight w:val="255"/>
        </w:trPr>
        <w:tc>
          <w:tcPr>
            <w:tcW w:w="1546"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662</w:t>
            </w:r>
          </w:p>
        </w:tc>
        <w:tc>
          <w:tcPr>
            <w:tcW w:w="1174"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332</w:t>
            </w:r>
          </w:p>
        </w:tc>
        <w:tc>
          <w:tcPr>
            <w:tcW w:w="3380" w:type="dxa"/>
            <w:tcBorders>
              <w:top w:val="nil"/>
              <w:left w:val="nil"/>
              <w:bottom w:val="nil"/>
              <w:right w:val="nil"/>
            </w:tcBorders>
            <w:shd w:val="clear" w:color="auto" w:fill="auto"/>
            <w:noWrap/>
            <w:vAlign w:val="bottom"/>
            <w:hideMark/>
          </w:tcPr>
          <w:p w:rsidR="008A3EF1" w:rsidRPr="008A3EF1" w:rsidRDefault="008A3EF1" w:rsidP="008A3EF1">
            <w:pPr>
              <w:widowControl/>
              <w:rPr>
                <w:rFonts w:ascii="Arial" w:hAnsi="Arial" w:cs="Arial"/>
                <w:b/>
                <w:bCs/>
                <w:snapToGrid/>
                <w:sz w:val="20"/>
              </w:rPr>
            </w:pPr>
            <w:r w:rsidRPr="008A3EF1">
              <w:rPr>
                <w:rFonts w:ascii="Arial" w:hAnsi="Arial" w:cs="Arial"/>
                <w:snapToGrid/>
                <w:sz w:val="20"/>
              </w:rPr>
              <w:t>Completes</w:t>
            </w:r>
          </w:p>
        </w:tc>
      </w:tr>
      <w:tr w:rsidR="008A3EF1" w:rsidRPr="008A3EF1" w:rsidTr="008A3EF1">
        <w:trPr>
          <w:trHeight w:val="255"/>
        </w:trPr>
        <w:tc>
          <w:tcPr>
            <w:tcW w:w="1546" w:type="dxa"/>
            <w:tcBorders>
              <w:top w:val="nil"/>
              <w:left w:val="nil"/>
              <w:bottom w:val="nil"/>
              <w:right w:val="nil"/>
            </w:tcBorders>
            <w:shd w:val="clear" w:color="000000" w:fill="C0C0C0"/>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97.2%</w:t>
            </w:r>
          </w:p>
        </w:tc>
        <w:tc>
          <w:tcPr>
            <w:tcW w:w="1174" w:type="dxa"/>
            <w:tcBorders>
              <w:top w:val="nil"/>
              <w:left w:val="nil"/>
              <w:bottom w:val="nil"/>
              <w:right w:val="nil"/>
            </w:tcBorders>
            <w:shd w:val="clear" w:color="000000" w:fill="C0C0C0"/>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98.2%</w:t>
            </w:r>
          </w:p>
        </w:tc>
        <w:tc>
          <w:tcPr>
            <w:tcW w:w="3380" w:type="dxa"/>
            <w:tcBorders>
              <w:top w:val="nil"/>
              <w:left w:val="nil"/>
              <w:bottom w:val="nil"/>
              <w:right w:val="nil"/>
            </w:tcBorders>
            <w:shd w:val="clear" w:color="000000" w:fill="C0C0C0"/>
            <w:noWrap/>
            <w:vAlign w:val="bottom"/>
            <w:hideMark/>
          </w:tcPr>
          <w:p w:rsidR="008A3EF1" w:rsidRPr="008A3EF1" w:rsidRDefault="008A3EF1" w:rsidP="008A3EF1">
            <w:pPr>
              <w:widowControl/>
              <w:rPr>
                <w:rFonts w:ascii="Arial" w:hAnsi="Arial" w:cs="Arial"/>
                <w:snapToGrid/>
                <w:sz w:val="20"/>
              </w:rPr>
            </w:pPr>
            <w:r w:rsidRPr="008A3EF1">
              <w:rPr>
                <w:rFonts w:ascii="Arial" w:hAnsi="Arial" w:cs="Arial"/>
                <w:snapToGrid/>
                <w:sz w:val="20"/>
              </w:rPr>
              <w:t>Completion Rate</w:t>
            </w:r>
          </w:p>
        </w:tc>
      </w:tr>
      <w:tr w:rsidR="008A3EF1" w:rsidRPr="008A3EF1" w:rsidTr="008A3EF1">
        <w:trPr>
          <w:trHeight w:val="255"/>
        </w:trPr>
        <w:tc>
          <w:tcPr>
            <w:tcW w:w="1546"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p>
        </w:tc>
        <w:tc>
          <w:tcPr>
            <w:tcW w:w="1174" w:type="dxa"/>
            <w:tcBorders>
              <w:top w:val="nil"/>
              <w:left w:val="nil"/>
              <w:bottom w:val="nil"/>
              <w:right w:val="nil"/>
            </w:tcBorders>
            <w:shd w:val="clear" w:color="auto" w:fill="auto"/>
            <w:noWrap/>
            <w:vAlign w:val="bottom"/>
            <w:hideMark/>
          </w:tcPr>
          <w:p w:rsidR="008A3EF1" w:rsidRPr="008A3EF1" w:rsidRDefault="008A3EF1" w:rsidP="008A3EF1">
            <w:pPr>
              <w:widowControl/>
              <w:jc w:val="right"/>
              <w:rPr>
                <w:rFonts w:ascii="Arial" w:hAnsi="Arial" w:cs="Arial"/>
                <w:snapToGrid/>
                <w:sz w:val="20"/>
              </w:rPr>
            </w:pPr>
          </w:p>
        </w:tc>
        <w:tc>
          <w:tcPr>
            <w:tcW w:w="3380" w:type="dxa"/>
            <w:tcBorders>
              <w:top w:val="nil"/>
              <w:left w:val="nil"/>
              <w:bottom w:val="nil"/>
              <w:right w:val="nil"/>
            </w:tcBorders>
            <w:shd w:val="clear" w:color="auto" w:fill="auto"/>
            <w:noWrap/>
            <w:vAlign w:val="bottom"/>
            <w:hideMark/>
          </w:tcPr>
          <w:p w:rsidR="008A3EF1" w:rsidRPr="008A3EF1" w:rsidRDefault="008A3EF1" w:rsidP="008A3EF1">
            <w:pPr>
              <w:widowControl/>
              <w:rPr>
                <w:rFonts w:ascii="Arial" w:hAnsi="Arial" w:cs="Arial"/>
                <w:snapToGrid/>
                <w:sz w:val="20"/>
              </w:rPr>
            </w:pPr>
          </w:p>
        </w:tc>
      </w:tr>
      <w:tr w:rsidR="008A3EF1" w:rsidRPr="008A3EF1" w:rsidTr="008A3EF1">
        <w:trPr>
          <w:trHeight w:val="255"/>
        </w:trPr>
        <w:tc>
          <w:tcPr>
            <w:tcW w:w="1546" w:type="dxa"/>
            <w:tcBorders>
              <w:top w:val="nil"/>
              <w:left w:val="nil"/>
              <w:bottom w:val="single" w:sz="4" w:space="0" w:color="auto"/>
              <w:right w:val="nil"/>
            </w:tcBorders>
            <w:shd w:val="clear" w:color="000000" w:fill="C0C0C0"/>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14.4%</w:t>
            </w:r>
          </w:p>
        </w:tc>
        <w:tc>
          <w:tcPr>
            <w:tcW w:w="1174" w:type="dxa"/>
            <w:tcBorders>
              <w:top w:val="nil"/>
              <w:left w:val="nil"/>
              <w:bottom w:val="single" w:sz="4" w:space="0" w:color="auto"/>
              <w:right w:val="nil"/>
            </w:tcBorders>
            <w:shd w:val="clear" w:color="000000" w:fill="C0C0C0"/>
            <w:noWrap/>
            <w:vAlign w:val="bottom"/>
            <w:hideMark/>
          </w:tcPr>
          <w:p w:rsidR="008A3EF1" w:rsidRPr="008A3EF1" w:rsidRDefault="008A3EF1" w:rsidP="008A3EF1">
            <w:pPr>
              <w:widowControl/>
              <w:jc w:val="right"/>
              <w:rPr>
                <w:rFonts w:ascii="Arial" w:hAnsi="Arial" w:cs="Arial"/>
                <w:snapToGrid/>
                <w:sz w:val="20"/>
              </w:rPr>
            </w:pPr>
            <w:r w:rsidRPr="008A3EF1">
              <w:rPr>
                <w:rFonts w:ascii="Arial" w:hAnsi="Arial" w:cs="Arial"/>
                <w:snapToGrid/>
                <w:sz w:val="20"/>
              </w:rPr>
              <w:t>19.5%</w:t>
            </w:r>
          </w:p>
        </w:tc>
        <w:tc>
          <w:tcPr>
            <w:tcW w:w="3380" w:type="dxa"/>
            <w:tcBorders>
              <w:top w:val="nil"/>
              <w:left w:val="nil"/>
              <w:bottom w:val="single" w:sz="4" w:space="0" w:color="auto"/>
              <w:right w:val="nil"/>
            </w:tcBorders>
            <w:shd w:val="clear" w:color="000000" w:fill="C0C0C0"/>
            <w:noWrap/>
            <w:vAlign w:val="bottom"/>
            <w:hideMark/>
          </w:tcPr>
          <w:p w:rsidR="008A3EF1" w:rsidRPr="008A3EF1" w:rsidRDefault="008A3EF1" w:rsidP="008A3EF1">
            <w:pPr>
              <w:widowControl/>
              <w:rPr>
                <w:rFonts w:ascii="Arial" w:hAnsi="Arial" w:cs="Arial"/>
                <w:snapToGrid/>
                <w:sz w:val="20"/>
              </w:rPr>
            </w:pPr>
            <w:r w:rsidRPr="008A3EF1">
              <w:rPr>
                <w:rFonts w:ascii="Arial" w:hAnsi="Arial" w:cs="Arial"/>
                <w:snapToGrid/>
                <w:sz w:val="20"/>
              </w:rPr>
              <w:t>Response Rate</w:t>
            </w:r>
          </w:p>
        </w:tc>
      </w:tr>
    </w:tbl>
    <w:p w:rsidR="008A3EF1" w:rsidRDefault="008A3EF1">
      <w:pPr>
        <w:pStyle w:val="BodyofReport"/>
        <w:spacing w:line="360" w:lineRule="auto"/>
        <w:ind w:firstLine="0"/>
        <w:rPr>
          <w:highlight w:val="yellow"/>
        </w:rPr>
      </w:pPr>
    </w:p>
    <w:sectPr w:rsidR="008A3EF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81C3D" w:rsidRDefault="00E81C3D">
      <w:r>
        <w:separator/>
      </w:r>
    </w:p>
  </w:endnote>
  <w:endnote w:type="continuationSeparator" w:id="0">
    <w:p w:rsidR="00E81C3D" w:rsidRDefault="00E81C3D">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6705" w:rsidRDefault="008567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6705" w:rsidRDefault="00856705">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6705" w:rsidRDefault="008567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7640D">
      <w:rPr>
        <w:rStyle w:val="PageNumber"/>
        <w:noProof/>
      </w:rPr>
      <w:t>7</w:t>
    </w:r>
    <w:r>
      <w:rPr>
        <w:rStyle w:val="PageNumber"/>
      </w:rPr>
      <w:fldChar w:fldCharType="end"/>
    </w:r>
  </w:p>
  <w:p w:rsidR="00856705" w:rsidRDefault="00856705">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81C3D" w:rsidRDefault="00E81C3D">
      <w:r>
        <w:separator/>
      </w:r>
    </w:p>
  </w:footnote>
  <w:footnote w:type="continuationSeparator" w:id="0">
    <w:p w:rsidR="00E81C3D" w:rsidRDefault="00E81C3D">
      <w:r>
        <w:continuationSeparator/>
      </w:r>
    </w:p>
  </w:footnote>
  <w:footnote w:id="1">
    <w:p w:rsidR="00856705" w:rsidRDefault="00856705" w:rsidP="00C831B5">
      <w:pPr>
        <w:pStyle w:val="FootnoteText"/>
      </w:pPr>
      <w:r>
        <w:rPr>
          <w:rStyle w:val="FootnoteReference"/>
        </w:rPr>
        <w:footnoteRef/>
      </w:r>
      <w:r>
        <w:t xml:space="preserve"> Blumberg SJ, Luke JV. Wireless substitution: Early release of estimates from the National Health Interview Survey, January-June, 2009. National Center for Health Statistics. December 2009.</w:t>
      </w:r>
    </w:p>
    <w:p w:rsidR="00856705" w:rsidRDefault="00856705" w:rsidP="00C831B5">
      <w:pPr>
        <w:pStyle w:val="FootnoteText"/>
      </w:pPr>
    </w:p>
  </w:footnote>
  <w:footnote w:id="2">
    <w:p w:rsidR="00856705" w:rsidRDefault="00856705">
      <w:pPr>
        <w:pStyle w:val="FootnoteText"/>
      </w:pPr>
      <w:r>
        <w:rPr>
          <w:rStyle w:val="FootnoteReference"/>
        </w:rPr>
        <w:footnoteRef/>
      </w:r>
      <w:r>
        <w:t xml:space="preserve"> PSRAI’s disposition codes and reporting are consistent with the American Association for Public Opinion Research standards.</w:t>
      </w:r>
    </w:p>
  </w:footnote>
  <w:footnote w:id="3">
    <w:p w:rsidR="00856705" w:rsidRDefault="00856705">
      <w:pPr>
        <w:pStyle w:val="FootnoteText"/>
      </w:pPr>
      <w:r>
        <w:rPr>
          <w:rStyle w:val="FootnoteReference"/>
        </w:rPr>
        <w:footnoteRef/>
      </w:r>
      <w:r>
        <w:t xml:space="preserve"> PSRAI assumes that 75 percent of cases that result in a constant disposition of “No answer” or “Busy” are actually not working numbers.</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2104A"/>
    <w:rsid w:val="00023842"/>
    <w:rsid w:val="000412A2"/>
    <w:rsid w:val="00044DFC"/>
    <w:rsid w:val="0004567A"/>
    <w:rsid w:val="00065349"/>
    <w:rsid w:val="00066DA1"/>
    <w:rsid w:val="00070E07"/>
    <w:rsid w:val="0008030F"/>
    <w:rsid w:val="00090193"/>
    <w:rsid w:val="000C28AF"/>
    <w:rsid w:val="000C4E36"/>
    <w:rsid w:val="000F6120"/>
    <w:rsid w:val="00111706"/>
    <w:rsid w:val="00130280"/>
    <w:rsid w:val="001362BA"/>
    <w:rsid w:val="001463B9"/>
    <w:rsid w:val="00163FEB"/>
    <w:rsid w:val="0017640D"/>
    <w:rsid w:val="00190979"/>
    <w:rsid w:val="00192741"/>
    <w:rsid w:val="001B3E1B"/>
    <w:rsid w:val="001C31FE"/>
    <w:rsid w:val="001C71AB"/>
    <w:rsid w:val="001D2280"/>
    <w:rsid w:val="001F3A26"/>
    <w:rsid w:val="002432BA"/>
    <w:rsid w:val="00257E51"/>
    <w:rsid w:val="002A29A7"/>
    <w:rsid w:val="002A40ED"/>
    <w:rsid w:val="002A65D6"/>
    <w:rsid w:val="002E0692"/>
    <w:rsid w:val="002E502D"/>
    <w:rsid w:val="002F4622"/>
    <w:rsid w:val="00310C09"/>
    <w:rsid w:val="003505FC"/>
    <w:rsid w:val="003722A1"/>
    <w:rsid w:val="00373AE8"/>
    <w:rsid w:val="003858B4"/>
    <w:rsid w:val="003A2FD8"/>
    <w:rsid w:val="003A5D4F"/>
    <w:rsid w:val="003A68C0"/>
    <w:rsid w:val="003D549E"/>
    <w:rsid w:val="00403581"/>
    <w:rsid w:val="00411CA2"/>
    <w:rsid w:val="00456E5B"/>
    <w:rsid w:val="0046253A"/>
    <w:rsid w:val="00472367"/>
    <w:rsid w:val="004735AD"/>
    <w:rsid w:val="004C55F7"/>
    <w:rsid w:val="004D0ADC"/>
    <w:rsid w:val="004D1E08"/>
    <w:rsid w:val="004D59F8"/>
    <w:rsid w:val="004E2AA4"/>
    <w:rsid w:val="004E49E3"/>
    <w:rsid w:val="004F29EB"/>
    <w:rsid w:val="005022A4"/>
    <w:rsid w:val="00510501"/>
    <w:rsid w:val="005219D3"/>
    <w:rsid w:val="00551108"/>
    <w:rsid w:val="00556B8F"/>
    <w:rsid w:val="005B5160"/>
    <w:rsid w:val="0060289D"/>
    <w:rsid w:val="00606D26"/>
    <w:rsid w:val="00610F8D"/>
    <w:rsid w:val="00621ACB"/>
    <w:rsid w:val="0062404E"/>
    <w:rsid w:val="00631383"/>
    <w:rsid w:val="00635942"/>
    <w:rsid w:val="00663462"/>
    <w:rsid w:val="00675DD6"/>
    <w:rsid w:val="006806AB"/>
    <w:rsid w:val="00696461"/>
    <w:rsid w:val="006A0F4C"/>
    <w:rsid w:val="006A2BB5"/>
    <w:rsid w:val="006C2CB5"/>
    <w:rsid w:val="006E6193"/>
    <w:rsid w:val="006F3C2C"/>
    <w:rsid w:val="00702B74"/>
    <w:rsid w:val="00711397"/>
    <w:rsid w:val="007600C8"/>
    <w:rsid w:val="007B0299"/>
    <w:rsid w:val="007B41CD"/>
    <w:rsid w:val="007B750B"/>
    <w:rsid w:val="007D4577"/>
    <w:rsid w:val="007F3387"/>
    <w:rsid w:val="00802416"/>
    <w:rsid w:val="00813481"/>
    <w:rsid w:val="008163B0"/>
    <w:rsid w:val="00827269"/>
    <w:rsid w:val="00835534"/>
    <w:rsid w:val="00837168"/>
    <w:rsid w:val="0085524B"/>
    <w:rsid w:val="00856705"/>
    <w:rsid w:val="008A3EF1"/>
    <w:rsid w:val="008D415B"/>
    <w:rsid w:val="008E1768"/>
    <w:rsid w:val="0090177D"/>
    <w:rsid w:val="00910210"/>
    <w:rsid w:val="009554A0"/>
    <w:rsid w:val="00955B62"/>
    <w:rsid w:val="0097199A"/>
    <w:rsid w:val="00987FD0"/>
    <w:rsid w:val="009C614A"/>
    <w:rsid w:val="009D3B08"/>
    <w:rsid w:val="00A23A70"/>
    <w:rsid w:val="00A26F57"/>
    <w:rsid w:val="00A27C5C"/>
    <w:rsid w:val="00A4484C"/>
    <w:rsid w:val="00A63C10"/>
    <w:rsid w:val="00A65166"/>
    <w:rsid w:val="00A84300"/>
    <w:rsid w:val="00AB2ADD"/>
    <w:rsid w:val="00AE1B41"/>
    <w:rsid w:val="00AE246D"/>
    <w:rsid w:val="00AF6F6F"/>
    <w:rsid w:val="00B454EE"/>
    <w:rsid w:val="00B611DB"/>
    <w:rsid w:val="00B76E3B"/>
    <w:rsid w:val="00BA1147"/>
    <w:rsid w:val="00BA31E1"/>
    <w:rsid w:val="00BB7DA7"/>
    <w:rsid w:val="00BC275F"/>
    <w:rsid w:val="00BE1176"/>
    <w:rsid w:val="00BE3833"/>
    <w:rsid w:val="00BF6DE2"/>
    <w:rsid w:val="00C21BDA"/>
    <w:rsid w:val="00C455CB"/>
    <w:rsid w:val="00C549C6"/>
    <w:rsid w:val="00C65DB8"/>
    <w:rsid w:val="00C72766"/>
    <w:rsid w:val="00C82CD1"/>
    <w:rsid w:val="00C831B5"/>
    <w:rsid w:val="00C95C3A"/>
    <w:rsid w:val="00CA07D3"/>
    <w:rsid w:val="00CB1363"/>
    <w:rsid w:val="00CC5024"/>
    <w:rsid w:val="00CC765F"/>
    <w:rsid w:val="00CF35AB"/>
    <w:rsid w:val="00D22D54"/>
    <w:rsid w:val="00D2369B"/>
    <w:rsid w:val="00D30896"/>
    <w:rsid w:val="00D3221E"/>
    <w:rsid w:val="00D44672"/>
    <w:rsid w:val="00D87557"/>
    <w:rsid w:val="00DA521E"/>
    <w:rsid w:val="00DC18FA"/>
    <w:rsid w:val="00DC38C3"/>
    <w:rsid w:val="00DD197F"/>
    <w:rsid w:val="00DF5840"/>
    <w:rsid w:val="00E0341A"/>
    <w:rsid w:val="00E2253A"/>
    <w:rsid w:val="00E51DFD"/>
    <w:rsid w:val="00E67CA9"/>
    <w:rsid w:val="00E7389C"/>
    <w:rsid w:val="00E81C3D"/>
    <w:rsid w:val="00E9014B"/>
    <w:rsid w:val="00ED03CB"/>
    <w:rsid w:val="00EE1BB7"/>
    <w:rsid w:val="00EF4B6B"/>
    <w:rsid w:val="00EF4E13"/>
    <w:rsid w:val="00F11BB4"/>
    <w:rsid w:val="00F11F75"/>
    <w:rsid w:val="00F16150"/>
    <w:rsid w:val="00F24B36"/>
    <w:rsid w:val="00F26D49"/>
    <w:rsid w:val="00F311BE"/>
    <w:rsid w:val="00FA5833"/>
    <w:rsid w:val="00FB6864"/>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C2C408-7376-4E7B-92AF-52D8BAF57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1457</Words>
  <Characters>8310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9748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2010-04-14T18:41:00Z</cp:lastPrinted>
  <dcterms:created xsi:type="dcterms:W3CDTF">2010-10-08T19:36:00Z</dcterms:created>
  <dcterms:modified xsi:type="dcterms:W3CDTF">2010-10-08T19:36:00Z</dcterms:modified>
</cp:coreProperties>
</file>