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FF9" w:rsidRPr="00A20E44" w:rsidRDefault="003E1FF9" w:rsidP="003E1FF9">
      <w:pPr>
        <w:pStyle w:val="DocumentProject"/>
        <w:framePr w:hSpace="0" w:wrap="auto" w:vAnchor="margin" w:yAlign="inline"/>
        <w:ind w:left="0"/>
        <w:rPr>
          <w:b w:val="0"/>
        </w:rPr>
      </w:pPr>
      <w:r w:rsidRPr="00A20E44">
        <w:rPr>
          <w:b w:val="0"/>
        </w:rPr>
        <w:t>Met</w:t>
      </w:r>
      <w:bookmarkStart w:id="0" w:name="_GoBack"/>
      <w:bookmarkEnd w:id="0"/>
      <w:r w:rsidRPr="00A20E44">
        <w:rPr>
          <w:b w:val="0"/>
        </w:rPr>
        <w:t>hodology</w:t>
      </w:r>
    </w:p>
    <w:p w:rsidR="003E1FF9" w:rsidRPr="00A20E44" w:rsidRDefault="003E1FF9" w:rsidP="003E1FF9">
      <w:pPr>
        <w:pStyle w:val="DocumentProject"/>
        <w:framePr w:hSpace="0" w:wrap="auto" w:vAnchor="margin" w:yAlign="inline"/>
        <w:ind w:left="0"/>
      </w:pPr>
      <w:r w:rsidRPr="00A20E44">
        <w:t>January 2012 Omnibus Week 1</w:t>
      </w:r>
    </w:p>
    <w:p w:rsidR="003E1FF9" w:rsidRPr="00A20E44" w:rsidRDefault="003E1FF9" w:rsidP="003E1FF9">
      <w:pPr>
        <w:pStyle w:val="DocumentClient"/>
        <w:framePr w:hSpace="0" w:wrap="auto" w:vAnchor="margin" w:yAlign="inline"/>
        <w:ind w:left="0"/>
      </w:pPr>
      <w:r w:rsidRPr="00A20E44">
        <w:t>Prepared by Princeton Survey Research Associates International</w:t>
      </w:r>
    </w:p>
    <w:p w:rsidR="003E1FF9" w:rsidRPr="00A20E44" w:rsidRDefault="003E1FF9" w:rsidP="003E1FF9">
      <w:pPr>
        <w:pStyle w:val="DocumentDate"/>
        <w:framePr w:hSpace="0" w:wrap="auto" w:vAnchor="margin" w:yAlign="inline"/>
        <w:spacing w:after="480"/>
        <w:ind w:left="0"/>
      </w:pPr>
      <w:r w:rsidRPr="00A20E44">
        <w:t>January 2012</w:t>
      </w:r>
    </w:p>
    <w:p w:rsidR="003E1FF9" w:rsidRPr="00A20E44" w:rsidRDefault="003E1FF9" w:rsidP="003E1FF9">
      <w:pPr>
        <w:pStyle w:val="BodyofReport"/>
        <w:ind w:firstLine="0"/>
      </w:pPr>
    </w:p>
    <w:p w:rsidR="003E1FF9" w:rsidRPr="00A41B71" w:rsidRDefault="003E1FF9" w:rsidP="003E1FF9">
      <w:pPr>
        <w:pStyle w:val="BodyofReport"/>
      </w:pPr>
      <w:r w:rsidRPr="00A20E44">
        <w:t>The PSRAI January 2012 Omnibus Week 1 obtained telephone interviews with a nationally representative sample of 1,000 adults living in the continental United States. Telephone interviews were conducted by landline (600) and cell phone (400, including 184 without a landline phone). The survey was conducted by Princeton Survey Research Associates International (PSRAI). Interviews were done in English by Princeton Data Source from</w:t>
      </w:r>
      <w:r w:rsidRPr="00A20E44">
        <w:br/>
        <w:t>January 5-8, 2012. Statistical results are weighted to correct known demographic discrepancies. The margin of sampling error for the complete set of weighted data is ± 3.9 percentage points.</w:t>
      </w:r>
    </w:p>
    <w:p w:rsidR="00E51DFD" w:rsidRPr="00A41B71" w:rsidRDefault="00E51DFD" w:rsidP="00323409">
      <w:pPr>
        <w:pStyle w:val="BodyofReport"/>
      </w:pPr>
      <w:r w:rsidRPr="00A41B71">
        <w:t>Details on the design, execution and analysis of the survey are discussed below.</w:t>
      </w:r>
    </w:p>
    <w:p w:rsidR="00E51DFD" w:rsidRPr="00A41B71" w:rsidRDefault="00E51DFD">
      <w:pPr>
        <w:pStyle w:val="BodyofReport"/>
        <w:ind w:firstLine="0"/>
        <w:rPr>
          <w:highlight w:val="yellow"/>
        </w:rPr>
      </w:pPr>
    </w:p>
    <w:p w:rsidR="00E51DFD" w:rsidRPr="00A41B71" w:rsidRDefault="00E51DFD">
      <w:pPr>
        <w:pStyle w:val="Heading1"/>
        <w:rPr>
          <w:rFonts w:ascii="Times New Roman" w:hAnsi="Times New Roman"/>
          <w:caps/>
          <w:sz w:val="24"/>
        </w:rPr>
      </w:pPr>
      <w:r w:rsidRPr="00A41B71">
        <w:rPr>
          <w:rFonts w:ascii="Times New Roman" w:hAnsi="Times New Roman"/>
          <w:caps/>
          <w:sz w:val="24"/>
        </w:rPr>
        <w:t>Design AND Data Collection Procedures</w:t>
      </w:r>
    </w:p>
    <w:p w:rsidR="00E51DFD" w:rsidRPr="00A41B71" w:rsidRDefault="00E51DFD"/>
    <w:p w:rsidR="00E51DFD" w:rsidRPr="00A41B71" w:rsidRDefault="00E51DFD">
      <w:pPr>
        <w:pStyle w:val="Heading4"/>
      </w:pPr>
      <w:r w:rsidRPr="00A41B71">
        <w:t>Sample Design</w:t>
      </w:r>
    </w:p>
    <w:p w:rsidR="00E51DFD" w:rsidRPr="00A41B71" w:rsidRDefault="00E51DFD">
      <w:pPr>
        <w:rPr>
          <w:b/>
          <w:bCs/>
        </w:rPr>
      </w:pPr>
    </w:p>
    <w:p w:rsidR="006806AB" w:rsidRPr="00A41B71" w:rsidRDefault="006806AB" w:rsidP="006806AB">
      <w:pPr>
        <w:pStyle w:val="BodyofReport"/>
      </w:pPr>
      <w:r w:rsidRPr="00A41B71">
        <w:t xml:space="preserve">A combination of landline and cellular random digit dial (RDD) samples was used to represent all adults in </w:t>
      </w:r>
      <w:r w:rsidR="00490CF4" w:rsidRPr="00A41B71">
        <w:t>the continental United States</w:t>
      </w:r>
      <w:r w:rsidRPr="00A41B71">
        <w:t xml:space="preserve"> who have access to either a landline or cellular telephone. Both samples were provided by Survey Sampling International, LLC (SSI) according to PSRAI specifications.</w:t>
      </w:r>
    </w:p>
    <w:p w:rsidR="006806AB" w:rsidRPr="00A41B71" w:rsidRDefault="006806AB" w:rsidP="00157883">
      <w:pPr>
        <w:pStyle w:val="BodyofReport"/>
      </w:pPr>
      <w:r w:rsidRPr="00A41B71">
        <w:t xml:space="preserve">Numbers for the landline sample were drawn </w:t>
      </w:r>
      <w:r w:rsidR="00157883" w:rsidRPr="00A41B71">
        <w:t>with probabilities in proportion to their share of listed telephone households from active blocks</w:t>
      </w:r>
      <w:r w:rsidRPr="00A41B71">
        <w:t xml:space="preserve"> (area code + exchange + two-digit bl</w:t>
      </w:r>
      <w:r w:rsidR="00A41B71" w:rsidRPr="00A41B71">
        <w:t>ock number) that contained three</w:t>
      </w:r>
      <w:r w:rsidRPr="00A41B71">
        <w:t xml:space="preserve"> or more residential directory listings. The cellular sample was not list-assisted, but was drawn through a systematic sampling from dedicated wireless 100-blocks and shared service 100-blocks with no directory-listed landline numbers.</w:t>
      </w:r>
    </w:p>
    <w:p w:rsidR="00C3682C" w:rsidRPr="00A41B71" w:rsidRDefault="00C3682C">
      <w:pPr>
        <w:widowControl/>
        <w:rPr>
          <w:b/>
          <w:bCs/>
        </w:rPr>
      </w:pPr>
      <w:r w:rsidRPr="00A41B71">
        <w:br w:type="page"/>
      </w:r>
    </w:p>
    <w:p w:rsidR="00E51DFD" w:rsidRPr="00A41B71" w:rsidRDefault="00E51DFD" w:rsidP="005219D3">
      <w:pPr>
        <w:pStyle w:val="Heading4"/>
        <w:spacing w:line="480" w:lineRule="auto"/>
      </w:pPr>
      <w:r w:rsidRPr="00A41B71">
        <w:lastRenderedPageBreak/>
        <w:t>Contact Procedures</w:t>
      </w:r>
    </w:p>
    <w:p w:rsidR="0002104A" w:rsidRPr="00A41B71" w:rsidRDefault="00E51DFD" w:rsidP="00433DD0">
      <w:pPr>
        <w:pStyle w:val="BodyofReport"/>
      </w:pPr>
      <w:r w:rsidRPr="00A41B71">
        <w:t xml:space="preserve">Interviews were conducted from </w:t>
      </w:r>
      <w:r w:rsidR="003E1FF9" w:rsidRPr="00A20E44">
        <w:t>January 5-8, 2012</w:t>
      </w:r>
      <w:r w:rsidR="00C549C6" w:rsidRPr="00A41B71">
        <w:t xml:space="preserve">. As many as </w:t>
      </w:r>
      <w:r w:rsidR="00433DD0" w:rsidRPr="00A41B71">
        <w:t>three</w:t>
      </w:r>
      <w:r w:rsidR="00157883" w:rsidRPr="00A41B71">
        <w:t xml:space="preserve"> </w:t>
      </w:r>
      <w:r w:rsidRPr="00A41B71">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A41B71">
        <w:t>phone number</w:t>
      </w:r>
      <w:r w:rsidRPr="00A41B71">
        <w:t xml:space="preserve"> received at least one daytime call</w:t>
      </w:r>
      <w:r w:rsidR="00410ED0" w:rsidRPr="00A41B71">
        <w:t xml:space="preserve"> when necessary</w:t>
      </w:r>
      <w:r w:rsidRPr="00A41B71">
        <w:t xml:space="preserve">. </w:t>
      </w:r>
    </w:p>
    <w:p w:rsidR="00157883" w:rsidRPr="00A41B71" w:rsidRDefault="00157883" w:rsidP="00157883">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454EE" w:rsidRPr="00A41B71" w:rsidRDefault="00157883" w:rsidP="008B367A">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51DFD" w:rsidRPr="00A41B71" w:rsidRDefault="00E51DFD">
      <w:pPr>
        <w:pStyle w:val="Heading1"/>
        <w:rPr>
          <w:rFonts w:ascii="Times New Roman" w:hAnsi="Times New Roman"/>
          <w:caps/>
          <w:sz w:val="24"/>
        </w:rPr>
      </w:pPr>
      <w:r w:rsidRPr="00A41B71">
        <w:rPr>
          <w:rFonts w:ascii="Times New Roman" w:hAnsi="Times New Roman"/>
          <w:caps/>
          <w:sz w:val="24"/>
        </w:rPr>
        <w:t>Weighting and analysis</w:t>
      </w:r>
    </w:p>
    <w:p w:rsidR="00E51DFD" w:rsidRPr="00A41B71" w:rsidRDefault="00E51DFD"/>
    <w:p w:rsidR="00257E51" w:rsidRPr="00A41B71" w:rsidRDefault="00257E51" w:rsidP="00675DD6">
      <w:pPr>
        <w:pStyle w:val="BodyofReport"/>
      </w:pPr>
      <w:r w:rsidRPr="00A41B71">
        <w:t xml:space="preserve">Weighting is generally used in survey analysis to compensate for sample designs and patterns of non-response that might bias results. </w:t>
      </w:r>
      <w:r w:rsidR="0057363B" w:rsidRPr="00A41B71">
        <w:t>The sample</w:t>
      </w:r>
      <w:r w:rsidR="00490CF4" w:rsidRPr="00A41B71">
        <w:t xml:space="preserve"> was weighted to match national adult</w:t>
      </w:r>
      <w:r w:rsidR="00410ED0" w:rsidRPr="00A41B71">
        <w:t xml:space="preserve"> </w:t>
      </w:r>
      <w:r w:rsidR="0057363B" w:rsidRPr="00A41B71">
        <w:t xml:space="preserve">general population parameters. </w:t>
      </w:r>
      <w:r w:rsidR="004B2CBA" w:rsidRPr="00A41B71">
        <w:t>A t</w:t>
      </w:r>
      <w:r w:rsidR="00490CF4" w:rsidRPr="00A41B71">
        <w:t>wo</w:t>
      </w:r>
      <w:r w:rsidRPr="00A41B71">
        <w:t>-stage weighting procedure was used to weight this dual-frame sample.</w:t>
      </w:r>
    </w:p>
    <w:p w:rsidR="00257E51" w:rsidRPr="00A41B71" w:rsidRDefault="004B2CBA" w:rsidP="00157883">
      <w:pPr>
        <w:pStyle w:val="BodyofReport"/>
      </w:pPr>
      <w:r w:rsidRPr="00A41B71">
        <w:t>The f</w:t>
      </w:r>
      <w:r w:rsidR="00410ED0" w:rsidRPr="00A41B71">
        <w:t xml:space="preserve">irst stage of weighting </w:t>
      </w:r>
      <w:r w:rsidR="00490CF4" w:rsidRPr="00A41B71">
        <w:t>corrected</w:t>
      </w:r>
      <w:r w:rsidR="008D231D" w:rsidRPr="00A41B71">
        <w:t xml:space="preserve"> for different probabilities of selection associated with</w:t>
      </w:r>
      <w:r w:rsidR="00FB3744" w:rsidRPr="00A41B71">
        <w:t xml:space="preserve"> the number of adults in each household</w:t>
      </w:r>
      <w:r w:rsidR="00410ED0" w:rsidRPr="00A41B71">
        <w:t xml:space="preserve"> and</w:t>
      </w:r>
      <w:r w:rsidR="00FB3744" w:rsidRPr="00A41B71">
        <w:t xml:space="preserve"> each respondent’s telephone usage patterns.</w:t>
      </w:r>
      <w:r w:rsidR="00FB3744" w:rsidRPr="00A41B71">
        <w:rPr>
          <w:rStyle w:val="FootnoteReference"/>
        </w:rPr>
        <w:footnoteReference w:id="1"/>
      </w:r>
      <w:r w:rsidR="008D231D" w:rsidRPr="00A41B71">
        <w:t xml:space="preserve"> </w:t>
      </w:r>
      <w:r w:rsidR="00FB3744" w:rsidRPr="00A41B71">
        <w:t xml:space="preserve">This </w:t>
      </w:r>
      <w:r w:rsidR="00157883" w:rsidRPr="00A41B71">
        <w:t xml:space="preserve">weighting </w:t>
      </w:r>
      <w:r w:rsidR="00FB3744" w:rsidRPr="00A41B71">
        <w:t xml:space="preserve">also adjusts for the overlapping landline and cell sample frames and the relative sizes of </w:t>
      </w:r>
      <w:r w:rsidR="00AC049A" w:rsidRPr="00A41B71">
        <w:t>each frame and each sample</w:t>
      </w:r>
      <w:r w:rsidR="00FB3744" w:rsidRPr="00A41B71">
        <w:t>.</w:t>
      </w:r>
    </w:p>
    <w:p w:rsidR="00670382" w:rsidRPr="00A41B71" w:rsidRDefault="00670382">
      <w:pPr>
        <w:widowControl/>
        <w:rPr>
          <w:highlight w:val="yellow"/>
        </w:rPr>
      </w:pPr>
      <w:r w:rsidRPr="00A41B71">
        <w:rPr>
          <w:highlight w:val="yellow"/>
        </w:rPr>
        <w:br w:type="page"/>
      </w:r>
    </w:p>
    <w:p w:rsidR="00FB3744" w:rsidRPr="00A41B71" w:rsidRDefault="00490CF4" w:rsidP="00675DD6">
      <w:pPr>
        <w:pStyle w:val="BodyofReport"/>
      </w:pPr>
      <w:r w:rsidRPr="00A41B71">
        <w:lastRenderedPageBreak/>
        <w:t>This first</w:t>
      </w:r>
      <w:r w:rsidR="0073658A" w:rsidRPr="00A41B71">
        <w:t xml:space="preserve">-stage weight </w:t>
      </w:r>
      <w:r w:rsidR="00C05870" w:rsidRPr="00A41B71">
        <w:t>for the i</w:t>
      </w:r>
      <w:r w:rsidR="00C05870" w:rsidRPr="00A41B71">
        <w:rPr>
          <w:vertAlign w:val="superscript"/>
        </w:rPr>
        <w:t>th</w:t>
      </w:r>
      <w:r w:rsidR="00C05870" w:rsidRPr="00A41B71">
        <w:t xml:space="preserve"> case </w:t>
      </w:r>
      <w:r w:rsidR="0073658A" w:rsidRPr="00A41B71">
        <w:t>can be expressed as:</w:t>
      </w:r>
    </w:p>
    <w:p w:rsidR="009F1C5C" w:rsidRPr="00A41B71" w:rsidRDefault="003E1FF9"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73658A" w:rsidRPr="00A41B71" w:rsidRDefault="003E1FF9"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9F1C5C" w:rsidRPr="00A41B71" w:rsidRDefault="003E1FF9"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0C34F7" w:rsidRPr="00A41B71" w:rsidRDefault="000C34F7" w:rsidP="0085407B">
      <w:pPr>
        <w:pStyle w:val="BodyofReport"/>
      </w:pPr>
    </w:p>
    <w:p w:rsidR="0085407B" w:rsidRPr="00A41B71" w:rsidRDefault="00B0021E" w:rsidP="0085407B">
      <w:pPr>
        <w:pStyle w:val="BodyofReport"/>
      </w:pPr>
      <w:r w:rsidRPr="00A41B71">
        <w:t xml:space="preserve">Where </w:t>
      </w:r>
      <w:r w:rsidRPr="00A41B71">
        <w:tab/>
        <w:t>S</w:t>
      </w:r>
      <w:r w:rsidRPr="00A41B71">
        <w:rPr>
          <w:vertAlign w:val="subscript"/>
        </w:rPr>
        <w:t>LL</w:t>
      </w:r>
      <w:r w:rsidRPr="00A41B71">
        <w:t xml:space="preserve"> = size of the landline sample</w:t>
      </w:r>
    </w:p>
    <w:p w:rsidR="0085407B" w:rsidRPr="00A41B71" w:rsidRDefault="00B0021E" w:rsidP="0085407B">
      <w:pPr>
        <w:pStyle w:val="BodyofReport"/>
        <w:ind w:firstLine="1440"/>
      </w:pPr>
      <w:r w:rsidRPr="00A41B71">
        <w:t>S</w:t>
      </w:r>
      <w:r w:rsidRPr="00A41B71">
        <w:rPr>
          <w:vertAlign w:val="subscript"/>
        </w:rPr>
        <w:t>CP</w:t>
      </w:r>
      <w:r w:rsidRPr="00A41B71">
        <w:t xml:space="preserve"> = size of the cell phone sample</w:t>
      </w:r>
    </w:p>
    <w:p w:rsidR="0085407B" w:rsidRPr="00A41B71" w:rsidRDefault="00B0021E" w:rsidP="0085407B">
      <w:pPr>
        <w:pStyle w:val="BodyofReport"/>
        <w:ind w:firstLine="1440"/>
      </w:pPr>
      <w:r w:rsidRPr="00A41B71">
        <w:t>AD</w:t>
      </w:r>
      <w:r w:rsidR="00AC049A" w:rsidRPr="00A41B71">
        <w:rPr>
          <w:vertAlign w:val="subscript"/>
        </w:rPr>
        <w:t>i</w:t>
      </w:r>
      <w:r w:rsidRPr="00A41B71">
        <w:t xml:space="preserve"> = Number of adults in the household</w:t>
      </w:r>
    </w:p>
    <w:p w:rsidR="0081385B" w:rsidRPr="00A41B71" w:rsidRDefault="0081385B" w:rsidP="0085407B">
      <w:pPr>
        <w:pStyle w:val="BodyofReport"/>
        <w:ind w:firstLine="1440"/>
      </w:pPr>
      <w:r w:rsidRPr="00A41B71">
        <w:t>R = Estimated ratio of the land line sample frame to the cell phone sample frame</w:t>
      </w:r>
    </w:p>
    <w:p w:rsidR="009C1DDD" w:rsidRPr="00A41B71" w:rsidRDefault="009C1DDD" w:rsidP="0085407B">
      <w:pPr>
        <w:pStyle w:val="BodyofReport"/>
        <w:ind w:firstLine="1440"/>
      </w:pPr>
    </w:p>
    <w:p w:rsidR="0073658A" w:rsidRPr="00A41B71" w:rsidRDefault="009C1DDD" w:rsidP="00A435C6">
      <w:pPr>
        <w:pStyle w:val="BodyofReport"/>
      </w:pPr>
      <w:r w:rsidRPr="00A41B71">
        <w:t>The equation</w:t>
      </w:r>
      <w:r w:rsidR="00410ED0" w:rsidRPr="00A41B71">
        <w:t>s</w:t>
      </w:r>
      <w:r w:rsidRPr="00A41B71">
        <w:t xml:space="preserve"> can be simplified by plugging in the values for S</w:t>
      </w:r>
      <w:r w:rsidRPr="00A41B71">
        <w:rPr>
          <w:vertAlign w:val="subscript"/>
        </w:rPr>
        <w:t>LL</w:t>
      </w:r>
      <w:r w:rsidR="0081385B" w:rsidRPr="00A41B71">
        <w:t xml:space="preserve"> = </w:t>
      </w:r>
      <w:r w:rsidR="00320151">
        <w:t>6</w:t>
      </w:r>
      <w:r w:rsidR="00323409">
        <w:t>0</w:t>
      </w:r>
      <w:r w:rsidR="003E1FF9">
        <w:t>0</w:t>
      </w:r>
      <w:r w:rsidRPr="00A41B71">
        <w:t xml:space="preserve"> and S</w:t>
      </w:r>
      <w:r w:rsidRPr="00A41B71">
        <w:rPr>
          <w:vertAlign w:val="subscript"/>
        </w:rPr>
        <w:t>CP</w:t>
      </w:r>
      <w:r w:rsidR="0081385B" w:rsidRPr="00A41B71">
        <w:t xml:space="preserve"> = </w:t>
      </w:r>
      <w:r w:rsidR="00323409">
        <w:t>40</w:t>
      </w:r>
      <w:r w:rsidR="003E1FF9">
        <w:t>0</w:t>
      </w:r>
      <w:r w:rsidRPr="00A41B71">
        <w:t>. Additionally, we will e</w:t>
      </w:r>
      <w:r w:rsidR="0085407B" w:rsidRPr="00A41B71">
        <w:t>stimate of the ratio of the size of landline sample frame to the cell phone sample frame</w:t>
      </w:r>
      <w:r w:rsidR="0081385B" w:rsidRPr="00A41B71">
        <w:t xml:space="preserve"> R = </w:t>
      </w:r>
      <w:r w:rsidR="00D312C5" w:rsidRPr="00A41B71">
        <w:t>0.</w:t>
      </w:r>
      <w:r w:rsidR="003E1FF9">
        <w:t>6</w:t>
      </w:r>
      <w:r w:rsidR="005966DB">
        <w:t>6</w:t>
      </w:r>
      <w:r w:rsidRPr="00A41B71">
        <w:t>.</w:t>
      </w:r>
    </w:p>
    <w:p w:rsidR="00C05870" w:rsidRPr="00A41B71" w:rsidRDefault="0081385B" w:rsidP="008B367A">
      <w:pPr>
        <w:pStyle w:val="BodyofReport"/>
      </w:pPr>
      <w:r w:rsidRPr="00A41B71">
        <w:t>The second</w:t>
      </w:r>
      <w:r w:rsidR="004B2CBA" w:rsidRPr="00A41B71">
        <w:t xml:space="preserve"> </w:t>
      </w:r>
      <w:r w:rsidR="00C05870" w:rsidRPr="00A41B71">
        <w:t>s</w:t>
      </w:r>
      <w:r w:rsidRPr="00A41B71">
        <w:t xml:space="preserve">tage of weighting balanced </w:t>
      </w:r>
      <w:r w:rsidR="00BE1176" w:rsidRPr="00A41B71">
        <w:t>sample demographics to popu</w:t>
      </w:r>
      <w:r w:rsidR="00C05870" w:rsidRPr="00A41B71">
        <w:t xml:space="preserve">lation parameters. </w:t>
      </w:r>
      <w:r w:rsidRPr="00A41B71">
        <w:t xml:space="preserve">The sample is balanced to match national population parameters for sex, age, education, race, Hispanic origin, region (U.S. Census definitions), population density, </w:t>
      </w:r>
      <w:r w:rsidR="00CD0DCB">
        <w:t xml:space="preserve">number of adults in household, </w:t>
      </w:r>
      <w:r w:rsidRPr="00A41B71">
        <w:t>and telephone usage. The basic weighting parameters came from a special analysis of the Census Bureau’s 20</w:t>
      </w:r>
      <w:r w:rsidR="00D312C5" w:rsidRPr="00A41B71">
        <w:t>1</w:t>
      </w:r>
      <w:r w:rsidR="003E1FF9">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rsidR="00CD0DCB">
        <w:t>J</w:t>
      </w:r>
      <w:r w:rsidR="003E1FF9">
        <w:t>anuary</w:t>
      </w:r>
      <w:r w:rsidR="00D312C5" w:rsidRPr="00A41B71">
        <w:t>-</w:t>
      </w:r>
      <w:r w:rsidR="003E1FF9">
        <w:t>June</w:t>
      </w:r>
      <w:r w:rsidRPr="00A41B71">
        <w:t xml:space="preserve"> 20</w:t>
      </w:r>
      <w:r w:rsidR="00D312C5" w:rsidRPr="00A41B71">
        <w:t>1</w:t>
      </w:r>
      <w:r w:rsidR="003E1FF9">
        <w:t>1</w:t>
      </w:r>
      <w:r w:rsidRPr="00A41B71">
        <w:t xml:space="preserve"> National Health Interview Survey.</w:t>
      </w:r>
      <w:r w:rsidRPr="00A41B71">
        <w:rPr>
          <w:rStyle w:val="FootnoteReference"/>
        </w:rPr>
        <w:footnoteReference w:id="2"/>
      </w:r>
    </w:p>
    <w:p w:rsidR="00BE1176" w:rsidRPr="00A41B71" w:rsidRDefault="00BE1176" w:rsidP="0081385B">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A41B71" w:rsidRDefault="00A41B71">
      <w:pPr>
        <w:widowControl/>
        <w:rPr>
          <w:snapToGrid/>
          <w:highlight w:val="yellow"/>
        </w:rPr>
      </w:pPr>
      <w:r>
        <w:rPr>
          <w:snapToGrid/>
          <w:highlight w:val="yellow"/>
        </w:rPr>
        <w:br w:type="page"/>
      </w:r>
    </w:p>
    <w:p w:rsidR="00D41AA6" w:rsidRDefault="00D41AA6">
      <w:pPr>
        <w:widowControl/>
        <w:rPr>
          <w:snapToGrid/>
          <w:highlight w:val="yellow"/>
        </w:rPr>
      </w:pPr>
    </w:p>
    <w:tbl>
      <w:tblPr>
        <w:tblW w:w="6571" w:type="dxa"/>
        <w:jc w:val="center"/>
        <w:tblInd w:w="-162" w:type="dxa"/>
        <w:tblLook w:val="04A0" w:firstRow="1" w:lastRow="0" w:firstColumn="1" w:lastColumn="0" w:noHBand="0" w:noVBand="1"/>
      </w:tblPr>
      <w:tblGrid>
        <w:gridCol w:w="2438"/>
        <w:gridCol w:w="1465"/>
        <w:gridCol w:w="1273"/>
        <w:gridCol w:w="1395"/>
      </w:tblGrid>
      <w:tr w:rsidR="003E1FF9" w:rsidRPr="003E1FF9" w:rsidTr="003E1FF9">
        <w:trPr>
          <w:trHeight w:val="255"/>
          <w:jc w:val="center"/>
        </w:trPr>
        <w:tc>
          <w:tcPr>
            <w:tcW w:w="3903" w:type="dxa"/>
            <w:gridSpan w:val="2"/>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3E1FF9" w:rsidRPr="003E1FF9" w:rsidRDefault="003E1FF9" w:rsidP="003E1FF9">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3E1FF9" w:rsidRPr="003E1FF9" w:rsidRDefault="003E1FF9" w:rsidP="003E1FF9">
            <w:pPr>
              <w:widowControl/>
              <w:jc w:val="right"/>
              <w:rPr>
                <w:rFonts w:ascii="Arial" w:hAnsi="Arial" w:cs="Arial"/>
                <w:b/>
                <w:bCs/>
                <w:snapToGrid/>
                <w:sz w:val="20"/>
              </w:rPr>
            </w:pPr>
          </w:p>
        </w:tc>
      </w:tr>
      <w:tr w:rsidR="003E1FF9" w:rsidRPr="003E1FF9" w:rsidTr="003E1FF9">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Unweighted</w:t>
            </w:r>
          </w:p>
        </w:tc>
        <w:tc>
          <w:tcPr>
            <w:tcW w:w="1395" w:type="dxa"/>
            <w:tcBorders>
              <w:top w:val="single" w:sz="4" w:space="0" w:color="auto"/>
              <w:left w:val="nil"/>
              <w:bottom w:val="single" w:sz="4" w:space="0" w:color="auto"/>
              <w:right w:val="nil"/>
            </w:tcBorders>
            <w:shd w:val="clear" w:color="auto" w:fill="auto"/>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Weighted</w:t>
            </w:r>
          </w:p>
        </w:tc>
      </w:tr>
      <w:tr w:rsidR="003E1FF9" w:rsidRPr="003E1FF9" w:rsidTr="003E1FF9">
        <w:trPr>
          <w:trHeight w:val="255"/>
          <w:jc w:val="center"/>
        </w:trPr>
        <w:tc>
          <w:tcPr>
            <w:tcW w:w="2438" w:type="dxa"/>
            <w:tcBorders>
              <w:top w:val="nil"/>
              <w:left w:val="nil"/>
              <w:bottom w:val="nil"/>
              <w:right w:val="nil"/>
            </w:tcBorders>
            <w:shd w:val="clear" w:color="auto" w:fill="auto"/>
            <w:vAlign w:val="bottom"/>
            <w:hideMark/>
          </w:tcPr>
          <w:p w:rsidR="003E1FF9" w:rsidRPr="003E1FF9" w:rsidRDefault="003E1FF9" w:rsidP="003E1FF9">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3E1FF9" w:rsidRPr="003E1FF9" w:rsidRDefault="003E1FF9" w:rsidP="003E1FF9">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3E1FF9" w:rsidRPr="003E1FF9" w:rsidRDefault="003E1FF9" w:rsidP="003E1FF9">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3E1FF9" w:rsidRPr="003E1FF9" w:rsidRDefault="003E1FF9" w:rsidP="003E1FF9">
            <w:pPr>
              <w:widowControl/>
              <w:jc w:val="right"/>
              <w:rPr>
                <w:rFonts w:ascii="Arial" w:hAnsi="Arial" w:cs="Arial"/>
                <w:b/>
                <w:bCs/>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47.8</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48.9</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52.2</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51.1</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8.4</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11.1</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9.8</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16.8</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13.2</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17.1</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16.7</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20.0</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19.0</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16.9</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32.9</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18.1</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7.0</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10.8</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32.7</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35.8</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21.6</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24.3</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38.7</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29.1</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79.3</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69.3</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9.1</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11.5</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7.5</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12.8</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4.1</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6.5</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14.6</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18.9</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25.6</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22.2</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38.9</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36.4</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20.9</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22.5</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25.2</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19.6</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23.5</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20.5</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21.2</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20.4</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16.0</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20.0</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14.1</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19.5</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7.0</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7.6</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74.6</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60.5</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18.4</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31.9</w:t>
            </w: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p>
        </w:tc>
      </w:tr>
      <w:tr w:rsidR="003E1FF9" w:rsidRPr="003E1FF9" w:rsidTr="003E1FF9">
        <w:trPr>
          <w:trHeight w:val="255"/>
          <w:jc w:val="center"/>
        </w:trPr>
        <w:tc>
          <w:tcPr>
            <w:tcW w:w="243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30.3</w:t>
            </w:r>
          </w:p>
        </w:tc>
        <w:tc>
          <w:tcPr>
            <w:tcW w:w="1395" w:type="dxa"/>
            <w:tcBorders>
              <w:top w:val="nil"/>
              <w:left w:val="nil"/>
              <w:bottom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17.8</w:t>
            </w:r>
          </w:p>
        </w:tc>
      </w:tr>
      <w:tr w:rsidR="003E1FF9" w:rsidRPr="003E1FF9" w:rsidTr="003E1FF9">
        <w:trPr>
          <w:trHeight w:val="255"/>
          <w:jc w:val="center"/>
        </w:trPr>
        <w:tc>
          <w:tcPr>
            <w:tcW w:w="2438" w:type="dxa"/>
            <w:tcBorders>
              <w:top w:val="nil"/>
              <w:left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48.7</w:t>
            </w:r>
          </w:p>
        </w:tc>
        <w:tc>
          <w:tcPr>
            <w:tcW w:w="1395" w:type="dxa"/>
            <w:tcBorders>
              <w:top w:val="nil"/>
              <w:left w:val="nil"/>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54.4</w:t>
            </w:r>
          </w:p>
        </w:tc>
      </w:tr>
      <w:tr w:rsidR="003E1FF9" w:rsidRPr="003E1FF9" w:rsidTr="003E1FF9">
        <w:trPr>
          <w:trHeight w:val="255"/>
          <w:jc w:val="center"/>
        </w:trPr>
        <w:tc>
          <w:tcPr>
            <w:tcW w:w="2438"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21.0</w:t>
            </w:r>
          </w:p>
        </w:tc>
        <w:tc>
          <w:tcPr>
            <w:tcW w:w="1395"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center"/>
              <w:rPr>
                <w:rFonts w:ascii="Arial" w:hAnsi="Arial" w:cs="Arial"/>
                <w:snapToGrid/>
                <w:sz w:val="20"/>
              </w:rPr>
            </w:pPr>
            <w:r w:rsidRPr="003E1FF9">
              <w:rPr>
                <w:rFonts w:ascii="Arial" w:hAnsi="Arial" w:cs="Arial"/>
                <w:snapToGrid/>
                <w:sz w:val="20"/>
              </w:rPr>
              <w:t>27.8</w:t>
            </w:r>
          </w:p>
        </w:tc>
      </w:tr>
    </w:tbl>
    <w:p w:rsidR="00E51DFD" w:rsidRPr="00A41B71" w:rsidRDefault="00E51DFD">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51DFD" w:rsidRPr="00A41B71" w:rsidRDefault="00E51DFD" w:rsidP="0086790A">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The total sample design effect for this survey is </w:t>
      </w:r>
      <w:r w:rsidR="00A4484C" w:rsidRPr="00A41B71">
        <w:t>1.</w:t>
      </w:r>
      <w:r w:rsidR="003E1FF9">
        <w:t>55</w:t>
      </w:r>
      <w:r w:rsidRPr="00A41B71">
        <w:t>.</w:t>
      </w:r>
    </w:p>
    <w:p w:rsidR="00E51DFD" w:rsidRPr="00A41B71" w:rsidRDefault="00E51DFD">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E51DFD" w:rsidRPr="00A41B71" w:rsidRDefault="003E1FF9">
      <w:pPr>
        <w:jc w:val="cente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9" o:title=""/>
            <w10:wrap type="square"/>
          </v:shape>
          <o:OLEObject Type="Embed" ProgID="Equation.3" ShapeID="_x0000_s1030" DrawAspect="Content" ObjectID="_1387612454" r:id="rId10"/>
        </w:pict>
      </w:r>
    </w:p>
    <w:p w:rsidR="00E51DFD" w:rsidRPr="00A41B71" w:rsidRDefault="003E1FF9">
      <w:pPr>
        <w:pStyle w:val="BodyofReport"/>
        <w:rPr>
          <w:highlight w:val="yellow"/>
        </w:rPr>
      </w:pPr>
      <w:r>
        <w:rPr>
          <w:noProof/>
          <w:sz w:val="20"/>
          <w:highlight w:val="yellow"/>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9B0E43" w:rsidRDefault="009B0E43">
                  <w:pPr>
                    <w:rPr>
                      <w:i/>
                      <w:iCs/>
                    </w:rPr>
                  </w:pPr>
                  <w:r>
                    <w:rPr>
                      <w:i/>
                      <w:iCs/>
                    </w:rPr>
                    <w:t>formula 1</w:t>
                  </w:r>
                </w:p>
              </w:txbxContent>
            </v:textbox>
            <w10:wrap type="topAndBottom"/>
          </v:shape>
        </w:pict>
      </w: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E51DFD" w:rsidRPr="00A41B71" w:rsidRDefault="003E1FF9">
      <w:pPr>
        <w:keepNext/>
        <w:rPr>
          <w:highlight w:val="yellow"/>
        </w:rPr>
      </w:pPr>
      <w:r>
        <w:rPr>
          <w:noProof/>
          <w:sz w:val="20"/>
          <w:highlight w:val="yellow"/>
        </w:rPr>
        <w:pict>
          <v:shape id="_x0000_s1032" type="#_x0000_t75" style="position:absolute;margin-left:156.7pt;margin-top:13.85pt;width:149.3pt;height:40.3pt;z-index:251658240" fillcolor="window">
            <v:imagedata r:id="rId11" o:title=""/>
            <w10:wrap type="square"/>
          </v:shape>
          <o:OLEObject Type="Embed" ProgID="Equation.3" ShapeID="_x0000_s1032" DrawAspect="Content" ObjectID="_1387612455" r:id="rId12"/>
        </w:pict>
      </w:r>
    </w:p>
    <w:p w:rsidR="00E51DFD" w:rsidRPr="00A41B71" w:rsidRDefault="003E1FF9">
      <w:pPr>
        <w:keepNext/>
        <w:ind w:firstLine="720"/>
        <w:jc w:val="center"/>
        <w:rPr>
          <w:highlight w:val="yellow"/>
        </w:rPr>
      </w:pPr>
      <w:r>
        <w:rPr>
          <w:noProof/>
          <w:sz w:val="20"/>
          <w:highlight w:val="yellow"/>
        </w:rPr>
        <w:pict>
          <v:shape id="_x0000_s1033" type="#_x0000_t202" style="position:absolute;left:0;text-align:left;margin-left:361.45pt;margin-top:4.3pt;width:76pt;height:26.4pt;z-index:251659264" stroked="f">
            <v:textbox>
              <w:txbxContent>
                <w:p w:rsidR="009B0E43" w:rsidRDefault="009B0E43">
                  <w:pPr>
                    <w:rPr>
                      <w:i/>
                      <w:iCs/>
                    </w:rPr>
                  </w:pPr>
                  <w:r>
                    <w:rPr>
                      <w:i/>
                      <w:iCs/>
                    </w:rPr>
                    <w:t>formula 2</w:t>
                  </w:r>
                </w:p>
              </w:txbxContent>
            </v:textbox>
            <w10:wrap type="topAndBottom"/>
          </v:shape>
        </w:pict>
      </w:r>
    </w:p>
    <w:p w:rsidR="00E51DFD" w:rsidRPr="00A41B71" w:rsidRDefault="00E51DFD">
      <w:pPr>
        <w:pStyle w:val="BodyofReport"/>
        <w:ind w:firstLine="0"/>
        <w:rPr>
          <w:highlight w:val="yellow"/>
        </w:rPr>
      </w:pPr>
    </w:p>
    <w:p w:rsidR="00E51DFD" w:rsidRPr="00A41B71" w:rsidRDefault="00E51DFD">
      <w:pPr>
        <w:pStyle w:val="BodyofReport"/>
        <w:ind w:firstLine="0"/>
        <w:rPr>
          <w:highlight w:val="yellow"/>
        </w:rPr>
      </w:pPr>
    </w:p>
    <w:p w:rsidR="00E51DFD" w:rsidRPr="00A41B71" w:rsidRDefault="00E51DFD">
      <w:pPr>
        <w:pStyle w:val="BodyofReport"/>
        <w:ind w:firstLine="0"/>
      </w:pPr>
      <w:proofErr w:type="gramStart"/>
      <w:r w:rsidRPr="00A41B71">
        <w:t>where</w:t>
      </w:r>
      <w:proofErr w:type="gramEnd"/>
      <w:r w:rsidRPr="00A41B71">
        <w:t xml:space="preserve"> </w:t>
      </w:r>
      <w:r w:rsidRPr="00A41B71">
        <w:rPr>
          <w:position w:val="-10"/>
        </w:rPr>
        <w:object w:dxaOrig="240" w:dyaOrig="320">
          <v:shape id="_x0000_i1027" type="#_x0000_t75" style="width:12.25pt;height:15.6pt" o:ole="" fillcolor="window">
            <v:imagedata r:id="rId13" o:title=""/>
          </v:shape>
          <o:OLEObject Type="Embed" ProgID="Equation.3" ShapeID="_x0000_i1027" DrawAspect="Content" ObjectID="_1387612453" r:id="rId14"/>
        </w:object>
      </w:r>
      <w:r w:rsidRPr="00A41B71">
        <w:t xml:space="preserve"> is the sample estimate and </w:t>
      </w:r>
      <w:r w:rsidRPr="00A41B71">
        <w:rPr>
          <w:i/>
        </w:rPr>
        <w:t>n</w:t>
      </w:r>
      <w:r w:rsidRPr="00A41B71">
        <w:t xml:space="preserve"> is the unweighted number of sample cases in the group being considered.</w:t>
      </w:r>
    </w:p>
    <w:p w:rsidR="00DA521E" w:rsidRPr="00A41B71" w:rsidRDefault="00E51DFD" w:rsidP="0086790A">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For example, the margin of error for the entire sample is ±</w:t>
      </w:r>
      <w:r w:rsidR="006B3C94">
        <w:t>3.</w:t>
      </w:r>
      <w:r w:rsidR="003E1FF9">
        <w:t>9</w:t>
      </w:r>
      <w:r w:rsidR="00BE1176" w:rsidRPr="00A41B71">
        <w:t xml:space="preserve"> percentage points</w:t>
      </w:r>
      <w:r w:rsidRPr="00A41B71">
        <w:t xml:space="preserve">. This means that in 95 out every 100 samples drawn using the same methodology, estimated proportions based on the entire sample will be no more than </w:t>
      </w:r>
      <w:r w:rsidR="006B3C94">
        <w:t>3.</w:t>
      </w:r>
      <w:r w:rsidR="003E1FF9">
        <w:t>9</w:t>
      </w:r>
      <w:r w:rsidR="00573C62">
        <w:t xml:space="preserve"> </w:t>
      </w:r>
      <w:r w:rsidRPr="00A41B71">
        <w:t>percentage points away from their true values in the population.</w:t>
      </w:r>
      <w:r w:rsidR="00A4484C" w:rsidRPr="00A41B71">
        <w:t xml:space="preserve"> </w:t>
      </w:r>
      <w:r w:rsidRPr="00A41B71">
        <w:t>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D67A8E" w:rsidRPr="00A41B71" w:rsidRDefault="00D67A8E">
      <w:pPr>
        <w:pStyle w:val="BodyofReport"/>
        <w:ind w:firstLine="0"/>
        <w:rPr>
          <w:highlight w:val="yellow"/>
        </w:rPr>
      </w:pPr>
    </w:p>
    <w:p w:rsidR="000C34F7" w:rsidRPr="00A41B71" w:rsidRDefault="000C34F7">
      <w:pPr>
        <w:widowControl/>
        <w:rPr>
          <w:b/>
          <w:caps/>
          <w:kern w:val="28"/>
          <w:highlight w:val="yellow"/>
        </w:rPr>
      </w:pPr>
      <w:r w:rsidRPr="00A41B71">
        <w:rPr>
          <w:caps/>
          <w:highlight w:val="yellow"/>
        </w:rPr>
        <w:br w:type="page"/>
      </w:r>
    </w:p>
    <w:p w:rsidR="00E51DFD" w:rsidRPr="00A41B71" w:rsidRDefault="00E51DFD">
      <w:pPr>
        <w:pStyle w:val="Heading1"/>
        <w:rPr>
          <w:rFonts w:ascii="Times New Roman" w:hAnsi="Times New Roman"/>
          <w:caps/>
          <w:sz w:val="24"/>
        </w:rPr>
      </w:pPr>
      <w:r w:rsidRPr="00A41B71">
        <w:rPr>
          <w:rFonts w:ascii="Times New Roman" w:hAnsi="Times New Roman"/>
          <w:caps/>
          <w:sz w:val="24"/>
        </w:rPr>
        <w:lastRenderedPageBreak/>
        <w:t>Response Rate</w:t>
      </w:r>
    </w:p>
    <w:p w:rsidR="00E51DFD" w:rsidRPr="00A41B71" w:rsidRDefault="00E51DFD"/>
    <w:p w:rsidR="00E51DFD" w:rsidRPr="00A41B71" w:rsidRDefault="00EF4E13">
      <w:pPr>
        <w:pStyle w:val="BodyofReport"/>
      </w:pPr>
      <w:r w:rsidRPr="00A41B71">
        <w:t xml:space="preserve">Table </w:t>
      </w:r>
      <w:r w:rsidR="00B000B1" w:rsidRPr="00A41B71">
        <w:t>2</w:t>
      </w:r>
      <w:r w:rsidR="001F3A26" w:rsidRPr="00A41B71">
        <w:t xml:space="preserve"> report</w:t>
      </w:r>
      <w:r w:rsidR="00E51DFD" w:rsidRPr="00A41B71">
        <w:t xml:space="preserve"> the disposition of all sampled telephone numbers ever dialed from the original telephone number sample</w:t>
      </w:r>
      <w:r w:rsidR="001F3A26" w:rsidRPr="00A41B71">
        <w:t>s</w:t>
      </w:r>
      <w:r w:rsidR="00E51DFD" w:rsidRPr="00A41B71">
        <w:t xml:space="preserve">. The response rate estimates the fraction of all eligible </w:t>
      </w:r>
      <w:r w:rsidR="000C4CFF" w:rsidRPr="00A41B71">
        <w:t>sample</w:t>
      </w:r>
      <w:r w:rsidR="00C95C3A" w:rsidRPr="00A41B71">
        <w:t xml:space="preserve"> that was</w:t>
      </w:r>
      <w:r w:rsidR="00E51DFD" w:rsidRPr="00A41B71">
        <w:t xml:space="preserve"> ultimately interviewed. At PSRAI it is calculated by taking the product of three component rates:</w:t>
      </w:r>
      <w:r w:rsidR="00E51DFD" w:rsidRPr="00A41B71">
        <w:rPr>
          <w:rStyle w:val="FootnoteReference"/>
        </w:rPr>
        <w:footnoteReference w:id="3"/>
      </w:r>
    </w:p>
    <w:p w:rsidR="00E51DFD" w:rsidRPr="00A41B71" w:rsidRDefault="00E51DFD">
      <w:pPr>
        <w:pStyle w:val="BodyofReport"/>
        <w:numPr>
          <w:ilvl w:val="0"/>
          <w:numId w:val="1"/>
        </w:numPr>
        <w:spacing w:line="360" w:lineRule="auto"/>
      </w:pPr>
      <w:r w:rsidRPr="00A41B71">
        <w:t>Contact rate – the proportion of working numbers where a request for interview was made</w:t>
      </w:r>
      <w:r w:rsidRPr="00A41B71">
        <w:rPr>
          <w:rStyle w:val="FootnoteReference"/>
        </w:rPr>
        <w:footnoteReference w:id="4"/>
      </w:r>
    </w:p>
    <w:p w:rsidR="00E51DFD" w:rsidRPr="00A41B71" w:rsidRDefault="00E51DFD">
      <w:pPr>
        <w:pStyle w:val="BodyofReport"/>
        <w:numPr>
          <w:ilvl w:val="0"/>
          <w:numId w:val="1"/>
        </w:numPr>
        <w:spacing w:line="360" w:lineRule="auto"/>
      </w:pPr>
      <w:r w:rsidRPr="00A41B71">
        <w:t>Cooperation rate – the proportion of contacted numbers where a consent for interview was at least initially</w:t>
      </w:r>
      <w:r w:rsidR="001F3A26" w:rsidRPr="00A41B71">
        <w:t xml:space="preserve"> obtained, versus those refused</w:t>
      </w:r>
    </w:p>
    <w:p w:rsidR="00E51DFD" w:rsidRPr="00A41B71" w:rsidRDefault="00E51DFD">
      <w:pPr>
        <w:pStyle w:val="BodyofReport"/>
        <w:numPr>
          <w:ilvl w:val="0"/>
          <w:numId w:val="1"/>
        </w:numPr>
        <w:spacing w:line="360" w:lineRule="auto"/>
      </w:pPr>
      <w:r w:rsidRPr="00A41B71">
        <w:t>Completion rate – the proportion of initially cooperating and eligible inte</w:t>
      </w:r>
      <w:r w:rsidR="001F3A26" w:rsidRPr="00A41B71">
        <w:t>rviews that were completed</w:t>
      </w:r>
    </w:p>
    <w:p w:rsidR="00BE1176" w:rsidRPr="00B646B1" w:rsidRDefault="00BE1176" w:rsidP="0086790A">
      <w:pPr>
        <w:pStyle w:val="BodyofReport"/>
        <w:spacing w:line="360" w:lineRule="auto"/>
      </w:pPr>
      <w:r w:rsidRPr="00B646B1">
        <w:t xml:space="preserve">Thus the response rate for the land line samples was </w:t>
      </w:r>
      <w:r w:rsidR="003E1FF9">
        <w:t>10</w:t>
      </w:r>
      <w:r w:rsidR="001527D9" w:rsidRPr="00B646B1">
        <w:t xml:space="preserve"> </w:t>
      </w:r>
      <w:r w:rsidRPr="00B646B1">
        <w:t>percent. The response rate f</w:t>
      </w:r>
      <w:r w:rsidR="008E1768" w:rsidRPr="00B646B1">
        <w:t xml:space="preserve">or the cellular samples was </w:t>
      </w:r>
      <w:r w:rsidR="003E1FF9">
        <w:t>7</w:t>
      </w:r>
      <w:r w:rsidRPr="00B646B1">
        <w:t xml:space="preserve"> percent.</w:t>
      </w:r>
    </w:p>
    <w:p w:rsidR="00BE1176" w:rsidRPr="00A41B71" w:rsidRDefault="00BE1176" w:rsidP="00BE1176">
      <w:pPr>
        <w:pStyle w:val="BodyofReport"/>
        <w:spacing w:line="360" w:lineRule="auto"/>
        <w:rPr>
          <w:highlight w:val="yellow"/>
        </w:rPr>
      </w:pPr>
    </w:p>
    <w:p w:rsidR="00C72339" w:rsidRPr="00A41B71" w:rsidRDefault="00E51DFD">
      <w:pPr>
        <w:pStyle w:val="BodyofReport"/>
        <w:spacing w:line="360" w:lineRule="auto"/>
        <w:ind w:firstLine="0"/>
        <w:rPr>
          <w:highlight w:val="yellow"/>
        </w:rPr>
      </w:pPr>
      <w:r w:rsidRPr="00A41B71">
        <w:rPr>
          <w:highlight w:val="yellow"/>
        </w:rPr>
        <w:br w:type="page"/>
      </w:r>
    </w:p>
    <w:p w:rsidR="00C84950" w:rsidRDefault="00C84950">
      <w:pPr>
        <w:pStyle w:val="BodyofReport"/>
        <w:spacing w:line="360" w:lineRule="auto"/>
        <w:ind w:firstLine="0"/>
        <w:rPr>
          <w:highlight w:val="yellow"/>
        </w:rPr>
      </w:pPr>
    </w:p>
    <w:tbl>
      <w:tblPr>
        <w:tblW w:w="5415" w:type="dxa"/>
        <w:jc w:val="center"/>
        <w:tblInd w:w="93" w:type="dxa"/>
        <w:tblLook w:val="04A0" w:firstRow="1" w:lastRow="0" w:firstColumn="1" w:lastColumn="0" w:noHBand="0" w:noVBand="1"/>
      </w:tblPr>
      <w:tblGrid>
        <w:gridCol w:w="1042"/>
        <w:gridCol w:w="828"/>
        <w:gridCol w:w="3545"/>
      </w:tblGrid>
      <w:tr w:rsidR="003E1FF9" w:rsidRPr="003E1FF9" w:rsidTr="003E1FF9">
        <w:trPr>
          <w:trHeight w:val="255"/>
          <w:jc w:val="center"/>
        </w:trPr>
        <w:tc>
          <w:tcPr>
            <w:tcW w:w="5415" w:type="dxa"/>
            <w:gridSpan w:val="3"/>
            <w:tcBorders>
              <w:top w:val="nil"/>
              <w:left w:val="nil"/>
              <w:bottom w:val="single" w:sz="4" w:space="0" w:color="auto"/>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b/>
                <w:bCs/>
                <w:snapToGrid/>
                <w:sz w:val="20"/>
              </w:rPr>
              <w:t>Table 2:Sample Disposition</w:t>
            </w:r>
          </w:p>
        </w:tc>
      </w:tr>
      <w:tr w:rsidR="003E1FF9" w:rsidRPr="003E1FF9" w:rsidTr="003E1FF9">
        <w:trPr>
          <w:trHeight w:val="255"/>
          <w:jc w:val="center"/>
        </w:trPr>
        <w:tc>
          <w:tcPr>
            <w:tcW w:w="1042"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Landline</w:t>
            </w:r>
          </w:p>
        </w:tc>
        <w:tc>
          <w:tcPr>
            <w:tcW w:w="828"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Cell</w:t>
            </w:r>
          </w:p>
        </w:tc>
        <w:tc>
          <w:tcPr>
            <w:tcW w:w="3545"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b/>
                <w:bCs/>
                <w:snapToGrid/>
                <w:sz w:val="20"/>
              </w:rPr>
              <w:t> </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29</w:t>
            </w:r>
            <w:r>
              <w:rPr>
                <w:rFonts w:ascii="Arial" w:hAnsi="Arial" w:cs="Arial"/>
                <w:snapToGrid/>
                <w:sz w:val="20"/>
              </w:rPr>
              <w:t>,</w:t>
            </w:r>
            <w:r w:rsidRPr="003E1FF9">
              <w:rPr>
                <w:rFonts w:ascii="Arial" w:hAnsi="Arial" w:cs="Arial"/>
                <w:snapToGrid/>
                <w:sz w:val="20"/>
              </w:rPr>
              <w:t>716</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24</w:t>
            </w:r>
            <w:r>
              <w:rPr>
                <w:rFonts w:ascii="Arial" w:hAnsi="Arial" w:cs="Arial"/>
                <w:snapToGrid/>
                <w:sz w:val="20"/>
              </w:rPr>
              <w:t>,</w:t>
            </w:r>
            <w:r w:rsidRPr="003E1FF9">
              <w:rPr>
                <w:rFonts w:ascii="Arial" w:hAnsi="Arial" w:cs="Arial"/>
                <w:snapToGrid/>
                <w:sz w:val="20"/>
              </w:rPr>
              <w:t>876</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Total Numbers Dialed</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700</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91</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Non-residential</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927</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120</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Computer/Fax</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7</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Pr>
                <w:rFonts w:ascii="Arial" w:hAnsi="Arial" w:cs="Arial"/>
                <w:snapToGrid/>
                <w:sz w:val="20"/>
              </w:rPr>
              <w:t>----</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Cell phone</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12</w:t>
            </w:r>
            <w:r>
              <w:rPr>
                <w:rFonts w:ascii="Arial" w:hAnsi="Arial" w:cs="Arial"/>
                <w:snapToGrid/>
                <w:sz w:val="20"/>
              </w:rPr>
              <w:t>,</w:t>
            </w:r>
            <w:r w:rsidRPr="003E1FF9">
              <w:rPr>
                <w:rFonts w:ascii="Arial" w:hAnsi="Arial" w:cs="Arial"/>
                <w:snapToGrid/>
                <w:sz w:val="20"/>
              </w:rPr>
              <w:t>967</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5</w:t>
            </w:r>
            <w:r>
              <w:rPr>
                <w:rFonts w:ascii="Arial" w:hAnsi="Arial" w:cs="Arial"/>
                <w:snapToGrid/>
                <w:sz w:val="20"/>
              </w:rPr>
              <w:t>,</w:t>
            </w:r>
            <w:r w:rsidRPr="003E1FF9">
              <w:rPr>
                <w:rFonts w:ascii="Arial" w:hAnsi="Arial" w:cs="Arial"/>
                <w:snapToGrid/>
                <w:sz w:val="20"/>
              </w:rPr>
              <w:t>685</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Other not working</w:t>
            </w:r>
          </w:p>
        </w:tc>
      </w:tr>
      <w:tr w:rsidR="003E1FF9" w:rsidRPr="003E1FF9" w:rsidTr="003E1FF9">
        <w:trPr>
          <w:trHeight w:val="255"/>
          <w:jc w:val="center"/>
        </w:trPr>
        <w:tc>
          <w:tcPr>
            <w:tcW w:w="1042"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7</w:t>
            </w:r>
            <w:r>
              <w:rPr>
                <w:rFonts w:ascii="Arial" w:hAnsi="Arial" w:cs="Arial"/>
                <w:snapToGrid/>
                <w:sz w:val="20"/>
              </w:rPr>
              <w:t>,</w:t>
            </w:r>
            <w:r w:rsidRPr="003E1FF9">
              <w:rPr>
                <w:rFonts w:ascii="Arial" w:hAnsi="Arial" w:cs="Arial"/>
                <w:snapToGrid/>
                <w:sz w:val="20"/>
              </w:rPr>
              <w:t>311</w:t>
            </w:r>
          </w:p>
        </w:tc>
        <w:tc>
          <w:tcPr>
            <w:tcW w:w="828"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7</w:t>
            </w:r>
            <w:r>
              <w:rPr>
                <w:rFonts w:ascii="Arial" w:hAnsi="Arial" w:cs="Arial"/>
                <w:snapToGrid/>
                <w:sz w:val="20"/>
              </w:rPr>
              <w:t>,</w:t>
            </w:r>
            <w:r w:rsidRPr="003E1FF9">
              <w:rPr>
                <w:rFonts w:ascii="Arial" w:hAnsi="Arial" w:cs="Arial"/>
                <w:snapToGrid/>
                <w:sz w:val="20"/>
              </w:rPr>
              <w:t>264</w:t>
            </w:r>
          </w:p>
        </w:tc>
        <w:tc>
          <w:tcPr>
            <w:tcW w:w="3545"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Additional projected not working</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7</w:t>
            </w:r>
            <w:r>
              <w:rPr>
                <w:rFonts w:ascii="Arial" w:hAnsi="Arial" w:cs="Arial"/>
                <w:snapToGrid/>
                <w:sz w:val="20"/>
              </w:rPr>
              <w:t>,</w:t>
            </w:r>
            <w:r w:rsidRPr="003E1FF9">
              <w:rPr>
                <w:rFonts w:ascii="Arial" w:hAnsi="Arial" w:cs="Arial"/>
                <w:snapToGrid/>
                <w:sz w:val="20"/>
              </w:rPr>
              <w:t>804</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11</w:t>
            </w:r>
            <w:r>
              <w:rPr>
                <w:rFonts w:ascii="Arial" w:hAnsi="Arial" w:cs="Arial"/>
                <w:snapToGrid/>
                <w:sz w:val="20"/>
              </w:rPr>
              <w:t>,</w:t>
            </w:r>
            <w:r w:rsidRPr="003E1FF9">
              <w:rPr>
                <w:rFonts w:ascii="Arial" w:hAnsi="Arial" w:cs="Arial"/>
                <w:snapToGrid/>
                <w:sz w:val="20"/>
              </w:rPr>
              <w:t>716</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Working numbers</w:t>
            </w:r>
          </w:p>
        </w:tc>
      </w:tr>
      <w:tr w:rsidR="003E1FF9" w:rsidRPr="003E1FF9" w:rsidTr="003E1FF9">
        <w:trPr>
          <w:trHeight w:val="255"/>
          <w:jc w:val="center"/>
        </w:trPr>
        <w:tc>
          <w:tcPr>
            <w:tcW w:w="1042"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26.3%</w:t>
            </w:r>
          </w:p>
        </w:tc>
        <w:tc>
          <w:tcPr>
            <w:tcW w:w="828"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47.1%</w:t>
            </w:r>
          </w:p>
        </w:tc>
        <w:tc>
          <w:tcPr>
            <w:tcW w:w="3545" w:type="dxa"/>
            <w:tcBorders>
              <w:top w:val="nil"/>
              <w:left w:val="nil"/>
              <w:bottom w:val="nil"/>
              <w:right w:val="nil"/>
            </w:tcBorders>
            <w:shd w:val="clear" w:color="000000" w:fill="C0C0C0"/>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Working Rate</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w:t>
            </w:r>
            <w:r>
              <w:rPr>
                <w:rFonts w:ascii="Arial" w:hAnsi="Arial" w:cs="Arial"/>
                <w:snapToGrid/>
                <w:sz w:val="20"/>
              </w:rPr>
              <w:t>,</w:t>
            </w:r>
            <w:r w:rsidRPr="003E1FF9">
              <w:rPr>
                <w:rFonts w:ascii="Arial" w:hAnsi="Arial" w:cs="Arial"/>
                <w:snapToGrid/>
                <w:sz w:val="20"/>
              </w:rPr>
              <w:t>437</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w:t>
            </w:r>
            <w:r>
              <w:rPr>
                <w:rFonts w:ascii="Arial" w:hAnsi="Arial" w:cs="Arial"/>
                <w:snapToGrid/>
                <w:sz w:val="20"/>
              </w:rPr>
              <w:t>,</w:t>
            </w:r>
            <w:r w:rsidRPr="003E1FF9">
              <w:rPr>
                <w:rFonts w:ascii="Arial" w:hAnsi="Arial" w:cs="Arial"/>
                <w:snapToGrid/>
                <w:sz w:val="20"/>
              </w:rPr>
              <w:t>421</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No Answer / Busy</w:t>
            </w:r>
          </w:p>
        </w:tc>
      </w:tr>
      <w:tr w:rsidR="003E1FF9" w:rsidRPr="003E1FF9" w:rsidTr="003E1FF9">
        <w:trPr>
          <w:trHeight w:val="28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w:t>
            </w:r>
            <w:r>
              <w:rPr>
                <w:rFonts w:ascii="Arial" w:hAnsi="Arial" w:cs="Arial"/>
                <w:snapToGrid/>
                <w:sz w:val="20"/>
              </w:rPr>
              <w:t>,</w:t>
            </w:r>
            <w:r w:rsidRPr="003E1FF9">
              <w:rPr>
                <w:rFonts w:ascii="Arial" w:hAnsi="Arial" w:cs="Arial"/>
                <w:snapToGrid/>
                <w:sz w:val="20"/>
              </w:rPr>
              <w:t>149</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5</w:t>
            </w:r>
            <w:r>
              <w:rPr>
                <w:rFonts w:ascii="Arial" w:hAnsi="Arial" w:cs="Arial"/>
                <w:snapToGrid/>
                <w:sz w:val="20"/>
              </w:rPr>
              <w:t>,</w:t>
            </w:r>
            <w:r w:rsidRPr="003E1FF9">
              <w:rPr>
                <w:rFonts w:ascii="Arial" w:hAnsi="Arial" w:cs="Arial"/>
                <w:snapToGrid/>
                <w:sz w:val="20"/>
              </w:rPr>
              <w:t>409</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Voice Mail</w:t>
            </w:r>
          </w:p>
        </w:tc>
      </w:tr>
      <w:tr w:rsidR="003E1FF9" w:rsidRPr="003E1FF9" w:rsidTr="003E1FF9">
        <w:trPr>
          <w:trHeight w:val="285"/>
          <w:jc w:val="center"/>
        </w:trPr>
        <w:tc>
          <w:tcPr>
            <w:tcW w:w="1042"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150</w:t>
            </w:r>
          </w:p>
        </w:tc>
        <w:tc>
          <w:tcPr>
            <w:tcW w:w="828"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13</w:t>
            </w:r>
          </w:p>
        </w:tc>
        <w:tc>
          <w:tcPr>
            <w:tcW w:w="3545"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Other Non-Contact</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4</w:t>
            </w:r>
            <w:r>
              <w:rPr>
                <w:rFonts w:ascii="Arial" w:hAnsi="Arial" w:cs="Arial"/>
                <w:snapToGrid/>
                <w:sz w:val="20"/>
              </w:rPr>
              <w:t>,</w:t>
            </w:r>
            <w:r w:rsidRPr="003E1FF9">
              <w:rPr>
                <w:rFonts w:ascii="Arial" w:hAnsi="Arial" w:cs="Arial"/>
                <w:snapToGrid/>
                <w:sz w:val="20"/>
              </w:rPr>
              <w:t>068</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3</w:t>
            </w:r>
            <w:r>
              <w:rPr>
                <w:rFonts w:ascii="Arial" w:hAnsi="Arial" w:cs="Arial"/>
                <w:snapToGrid/>
                <w:sz w:val="20"/>
              </w:rPr>
              <w:t>,</w:t>
            </w:r>
            <w:r w:rsidRPr="003E1FF9">
              <w:rPr>
                <w:rFonts w:ascii="Arial" w:hAnsi="Arial" w:cs="Arial"/>
                <w:snapToGrid/>
                <w:sz w:val="20"/>
              </w:rPr>
              <w:t>873</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Contacted numbers</w:t>
            </w:r>
          </w:p>
        </w:tc>
      </w:tr>
      <w:tr w:rsidR="003E1FF9" w:rsidRPr="003E1FF9" w:rsidTr="003E1FF9">
        <w:trPr>
          <w:trHeight w:val="255"/>
          <w:jc w:val="center"/>
        </w:trPr>
        <w:tc>
          <w:tcPr>
            <w:tcW w:w="1042"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52.1%</w:t>
            </w:r>
          </w:p>
        </w:tc>
        <w:tc>
          <w:tcPr>
            <w:tcW w:w="828"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33.1%</w:t>
            </w:r>
          </w:p>
        </w:tc>
        <w:tc>
          <w:tcPr>
            <w:tcW w:w="3545" w:type="dxa"/>
            <w:tcBorders>
              <w:top w:val="nil"/>
              <w:left w:val="nil"/>
              <w:bottom w:val="nil"/>
              <w:right w:val="nil"/>
            </w:tcBorders>
            <w:shd w:val="clear" w:color="000000" w:fill="C0C0C0"/>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Contact Rate</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r>
      <w:tr w:rsidR="003E1FF9" w:rsidRPr="003E1FF9" w:rsidTr="003E1FF9">
        <w:trPr>
          <w:trHeight w:val="28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w:t>
            </w:r>
            <w:r>
              <w:rPr>
                <w:rFonts w:ascii="Arial" w:hAnsi="Arial" w:cs="Arial"/>
                <w:snapToGrid/>
                <w:sz w:val="20"/>
              </w:rPr>
              <w:t>,</w:t>
            </w:r>
            <w:r w:rsidRPr="003E1FF9">
              <w:rPr>
                <w:rFonts w:ascii="Arial" w:hAnsi="Arial" w:cs="Arial"/>
                <w:snapToGrid/>
                <w:sz w:val="20"/>
              </w:rPr>
              <w:t>948</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w:t>
            </w:r>
            <w:r>
              <w:rPr>
                <w:rFonts w:ascii="Arial" w:hAnsi="Arial" w:cs="Arial"/>
                <w:snapToGrid/>
                <w:sz w:val="20"/>
              </w:rPr>
              <w:t>,</w:t>
            </w:r>
            <w:r w:rsidRPr="003E1FF9">
              <w:rPr>
                <w:rFonts w:ascii="Arial" w:hAnsi="Arial" w:cs="Arial"/>
                <w:snapToGrid/>
                <w:sz w:val="20"/>
              </w:rPr>
              <w:t>177</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Callback</w:t>
            </w:r>
          </w:p>
        </w:tc>
      </w:tr>
      <w:tr w:rsidR="003E1FF9" w:rsidRPr="003E1FF9" w:rsidTr="003E1FF9">
        <w:trPr>
          <w:trHeight w:val="285"/>
          <w:jc w:val="center"/>
        </w:trPr>
        <w:tc>
          <w:tcPr>
            <w:tcW w:w="1042"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w:t>
            </w:r>
            <w:r>
              <w:rPr>
                <w:rFonts w:ascii="Arial" w:hAnsi="Arial" w:cs="Arial"/>
                <w:snapToGrid/>
                <w:sz w:val="20"/>
              </w:rPr>
              <w:t>,</w:t>
            </w:r>
            <w:r w:rsidRPr="003E1FF9">
              <w:rPr>
                <w:rFonts w:ascii="Arial" w:hAnsi="Arial" w:cs="Arial"/>
                <w:snapToGrid/>
                <w:sz w:val="20"/>
              </w:rPr>
              <w:t>356</w:t>
            </w:r>
          </w:p>
        </w:tc>
        <w:tc>
          <w:tcPr>
            <w:tcW w:w="828"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869</w:t>
            </w:r>
          </w:p>
        </w:tc>
        <w:tc>
          <w:tcPr>
            <w:tcW w:w="3545"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Refusal</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764</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827</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Cooperating numbers</w:t>
            </w:r>
          </w:p>
        </w:tc>
      </w:tr>
      <w:tr w:rsidR="003E1FF9" w:rsidRPr="003E1FF9" w:rsidTr="003E1FF9">
        <w:trPr>
          <w:trHeight w:val="255"/>
          <w:jc w:val="center"/>
        </w:trPr>
        <w:tc>
          <w:tcPr>
            <w:tcW w:w="1042"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18.8%</w:t>
            </w:r>
          </w:p>
        </w:tc>
        <w:tc>
          <w:tcPr>
            <w:tcW w:w="828"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21.4%</w:t>
            </w:r>
          </w:p>
        </w:tc>
        <w:tc>
          <w:tcPr>
            <w:tcW w:w="3545" w:type="dxa"/>
            <w:tcBorders>
              <w:top w:val="nil"/>
              <w:left w:val="nil"/>
              <w:bottom w:val="nil"/>
              <w:right w:val="nil"/>
            </w:tcBorders>
            <w:shd w:val="clear" w:color="000000" w:fill="C0C0C0"/>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Cooperation Rate</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155</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209</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Language Barrier</w:t>
            </w:r>
          </w:p>
        </w:tc>
      </w:tr>
      <w:tr w:rsidR="003E1FF9" w:rsidRPr="003E1FF9" w:rsidTr="003E1FF9">
        <w:trPr>
          <w:trHeight w:val="255"/>
          <w:jc w:val="center"/>
        </w:trPr>
        <w:tc>
          <w:tcPr>
            <w:tcW w:w="1042"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Pr>
                <w:rFonts w:ascii="Arial" w:hAnsi="Arial" w:cs="Arial"/>
                <w:snapToGrid/>
                <w:sz w:val="20"/>
              </w:rPr>
              <w:t>----</w:t>
            </w:r>
          </w:p>
        </w:tc>
        <w:tc>
          <w:tcPr>
            <w:tcW w:w="828"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215</w:t>
            </w:r>
          </w:p>
        </w:tc>
        <w:tc>
          <w:tcPr>
            <w:tcW w:w="3545"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Child's cell phone</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609</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403</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Eligible numbers</w:t>
            </w:r>
          </w:p>
        </w:tc>
      </w:tr>
      <w:tr w:rsidR="003E1FF9" w:rsidRPr="003E1FF9" w:rsidTr="003E1FF9">
        <w:trPr>
          <w:trHeight w:val="255"/>
          <w:jc w:val="center"/>
        </w:trPr>
        <w:tc>
          <w:tcPr>
            <w:tcW w:w="1042"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79.7%</w:t>
            </w:r>
          </w:p>
        </w:tc>
        <w:tc>
          <w:tcPr>
            <w:tcW w:w="828"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48.7%</w:t>
            </w:r>
          </w:p>
        </w:tc>
        <w:tc>
          <w:tcPr>
            <w:tcW w:w="3545" w:type="dxa"/>
            <w:tcBorders>
              <w:top w:val="nil"/>
              <w:left w:val="nil"/>
              <w:bottom w:val="nil"/>
              <w:right w:val="nil"/>
            </w:tcBorders>
            <w:shd w:val="clear" w:color="000000" w:fill="C0C0C0"/>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Eligibility Rate</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r>
      <w:tr w:rsidR="003E1FF9" w:rsidRPr="003E1FF9" w:rsidTr="003E1FF9">
        <w:trPr>
          <w:trHeight w:val="255"/>
          <w:jc w:val="center"/>
        </w:trPr>
        <w:tc>
          <w:tcPr>
            <w:tcW w:w="1042"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9</w:t>
            </w:r>
          </w:p>
        </w:tc>
        <w:tc>
          <w:tcPr>
            <w:tcW w:w="828"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3</w:t>
            </w:r>
          </w:p>
        </w:tc>
        <w:tc>
          <w:tcPr>
            <w:tcW w:w="3545" w:type="dxa"/>
            <w:tcBorders>
              <w:top w:val="nil"/>
              <w:left w:val="nil"/>
              <w:bottom w:val="single" w:sz="4" w:space="0" w:color="auto"/>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Break-off</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600</w:t>
            </w: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400</w:t>
            </w: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b/>
                <w:bCs/>
                <w:snapToGrid/>
                <w:sz w:val="20"/>
              </w:rPr>
            </w:pPr>
            <w:r w:rsidRPr="003E1FF9">
              <w:rPr>
                <w:rFonts w:ascii="Arial" w:hAnsi="Arial" w:cs="Arial"/>
                <w:snapToGrid/>
                <w:sz w:val="20"/>
              </w:rPr>
              <w:t>Completes</w:t>
            </w:r>
          </w:p>
        </w:tc>
      </w:tr>
      <w:tr w:rsidR="003E1FF9" w:rsidRPr="003E1FF9" w:rsidTr="003E1FF9">
        <w:trPr>
          <w:trHeight w:val="255"/>
          <w:jc w:val="center"/>
        </w:trPr>
        <w:tc>
          <w:tcPr>
            <w:tcW w:w="1042"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98.5%</w:t>
            </w:r>
          </w:p>
        </w:tc>
        <w:tc>
          <w:tcPr>
            <w:tcW w:w="828" w:type="dxa"/>
            <w:tcBorders>
              <w:top w:val="nil"/>
              <w:left w:val="nil"/>
              <w:bottom w:val="nil"/>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99.3%</w:t>
            </w:r>
          </w:p>
        </w:tc>
        <w:tc>
          <w:tcPr>
            <w:tcW w:w="3545" w:type="dxa"/>
            <w:tcBorders>
              <w:top w:val="nil"/>
              <w:left w:val="nil"/>
              <w:bottom w:val="nil"/>
              <w:right w:val="nil"/>
            </w:tcBorders>
            <w:shd w:val="clear" w:color="000000" w:fill="C0C0C0"/>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Completion Rate</w:t>
            </w:r>
          </w:p>
        </w:tc>
      </w:tr>
      <w:tr w:rsidR="003E1FF9" w:rsidRPr="003E1FF9" w:rsidTr="003E1FF9">
        <w:trPr>
          <w:trHeight w:val="255"/>
          <w:jc w:val="center"/>
        </w:trPr>
        <w:tc>
          <w:tcPr>
            <w:tcW w:w="1042"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828" w:type="dxa"/>
            <w:tcBorders>
              <w:top w:val="nil"/>
              <w:left w:val="nil"/>
              <w:bottom w:val="nil"/>
              <w:right w:val="nil"/>
            </w:tcBorders>
            <w:shd w:val="clear" w:color="auto" w:fill="auto"/>
            <w:noWrap/>
            <w:vAlign w:val="bottom"/>
            <w:hideMark/>
          </w:tcPr>
          <w:p w:rsidR="003E1FF9" w:rsidRPr="003E1FF9" w:rsidRDefault="003E1FF9" w:rsidP="003E1FF9">
            <w:pPr>
              <w:widowControl/>
              <w:jc w:val="right"/>
              <w:rPr>
                <w:rFonts w:ascii="Arial" w:hAnsi="Arial" w:cs="Arial"/>
                <w:snapToGrid/>
                <w:sz w:val="20"/>
              </w:rPr>
            </w:pPr>
          </w:p>
        </w:tc>
        <w:tc>
          <w:tcPr>
            <w:tcW w:w="3545" w:type="dxa"/>
            <w:tcBorders>
              <w:top w:val="nil"/>
              <w:left w:val="nil"/>
              <w:bottom w:val="nil"/>
              <w:right w:val="nil"/>
            </w:tcBorders>
            <w:shd w:val="clear" w:color="auto" w:fill="auto"/>
            <w:noWrap/>
            <w:vAlign w:val="bottom"/>
            <w:hideMark/>
          </w:tcPr>
          <w:p w:rsidR="003E1FF9" w:rsidRPr="003E1FF9" w:rsidRDefault="003E1FF9" w:rsidP="003E1FF9">
            <w:pPr>
              <w:widowControl/>
              <w:rPr>
                <w:rFonts w:ascii="Arial" w:hAnsi="Arial" w:cs="Arial"/>
                <w:snapToGrid/>
                <w:sz w:val="20"/>
              </w:rPr>
            </w:pPr>
          </w:p>
        </w:tc>
      </w:tr>
      <w:tr w:rsidR="003E1FF9" w:rsidRPr="003E1FF9" w:rsidTr="003E1FF9">
        <w:trPr>
          <w:trHeight w:val="255"/>
          <w:jc w:val="center"/>
        </w:trPr>
        <w:tc>
          <w:tcPr>
            <w:tcW w:w="1042" w:type="dxa"/>
            <w:tcBorders>
              <w:top w:val="nil"/>
              <w:left w:val="nil"/>
              <w:bottom w:val="single" w:sz="4" w:space="0" w:color="auto"/>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9.6%</w:t>
            </w:r>
          </w:p>
        </w:tc>
        <w:tc>
          <w:tcPr>
            <w:tcW w:w="828" w:type="dxa"/>
            <w:tcBorders>
              <w:top w:val="nil"/>
              <w:left w:val="nil"/>
              <w:bottom w:val="single" w:sz="4" w:space="0" w:color="auto"/>
              <w:right w:val="nil"/>
            </w:tcBorders>
            <w:shd w:val="clear" w:color="000000" w:fill="C0C0C0"/>
            <w:noWrap/>
            <w:vAlign w:val="bottom"/>
            <w:hideMark/>
          </w:tcPr>
          <w:p w:rsidR="003E1FF9" w:rsidRPr="003E1FF9" w:rsidRDefault="003E1FF9" w:rsidP="003E1FF9">
            <w:pPr>
              <w:widowControl/>
              <w:jc w:val="right"/>
              <w:rPr>
                <w:rFonts w:ascii="Arial" w:hAnsi="Arial" w:cs="Arial"/>
                <w:snapToGrid/>
                <w:sz w:val="20"/>
              </w:rPr>
            </w:pPr>
            <w:r w:rsidRPr="003E1FF9">
              <w:rPr>
                <w:rFonts w:ascii="Arial" w:hAnsi="Arial" w:cs="Arial"/>
                <w:snapToGrid/>
                <w:sz w:val="20"/>
              </w:rPr>
              <w:t>7.0%</w:t>
            </w:r>
          </w:p>
        </w:tc>
        <w:tc>
          <w:tcPr>
            <w:tcW w:w="3545" w:type="dxa"/>
            <w:tcBorders>
              <w:top w:val="nil"/>
              <w:left w:val="nil"/>
              <w:bottom w:val="single" w:sz="4" w:space="0" w:color="auto"/>
              <w:right w:val="nil"/>
            </w:tcBorders>
            <w:shd w:val="clear" w:color="000000" w:fill="C0C0C0"/>
            <w:noWrap/>
            <w:vAlign w:val="bottom"/>
            <w:hideMark/>
          </w:tcPr>
          <w:p w:rsidR="003E1FF9" w:rsidRPr="003E1FF9" w:rsidRDefault="003E1FF9" w:rsidP="003E1FF9">
            <w:pPr>
              <w:widowControl/>
              <w:rPr>
                <w:rFonts w:ascii="Arial" w:hAnsi="Arial" w:cs="Arial"/>
                <w:snapToGrid/>
                <w:sz w:val="20"/>
              </w:rPr>
            </w:pPr>
            <w:r w:rsidRPr="003E1FF9">
              <w:rPr>
                <w:rFonts w:ascii="Arial" w:hAnsi="Arial" w:cs="Arial"/>
                <w:snapToGrid/>
                <w:sz w:val="20"/>
              </w:rPr>
              <w:t>Response Rate</w:t>
            </w:r>
          </w:p>
        </w:tc>
      </w:tr>
    </w:tbl>
    <w:p w:rsidR="003E1FF9" w:rsidRDefault="003E1FF9">
      <w:pPr>
        <w:pStyle w:val="BodyofReport"/>
        <w:spacing w:line="360" w:lineRule="auto"/>
        <w:ind w:firstLine="0"/>
        <w:rPr>
          <w:highlight w:val="yellow"/>
        </w:rPr>
      </w:pPr>
    </w:p>
    <w:sectPr w:rsidR="003E1FF9" w:rsidSect="00F26D49">
      <w:footerReference w:type="even" r:id="rId15"/>
      <w:footerReference w:type="default" r:id="rId16"/>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0E43" w:rsidRDefault="009B0E43">
      <w:r>
        <w:separator/>
      </w:r>
    </w:p>
  </w:endnote>
  <w:endnote w:type="continuationSeparator" w:id="0">
    <w:p w:rsidR="009B0E43" w:rsidRDefault="009B0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0E43" w:rsidRDefault="009B0E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B0E43" w:rsidRDefault="009B0E4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0E43" w:rsidRDefault="009B0E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E1FF9">
      <w:rPr>
        <w:rStyle w:val="PageNumber"/>
        <w:noProof/>
      </w:rPr>
      <w:t>2</w:t>
    </w:r>
    <w:r>
      <w:rPr>
        <w:rStyle w:val="PageNumber"/>
      </w:rPr>
      <w:fldChar w:fldCharType="end"/>
    </w:r>
  </w:p>
  <w:p w:rsidR="009B0E43" w:rsidRDefault="009B0E4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0E43" w:rsidRDefault="009B0E43">
      <w:r>
        <w:separator/>
      </w:r>
    </w:p>
  </w:footnote>
  <w:footnote w:type="continuationSeparator" w:id="0">
    <w:p w:rsidR="009B0E43" w:rsidRDefault="009B0E43">
      <w:r>
        <w:continuationSeparator/>
      </w:r>
    </w:p>
  </w:footnote>
  <w:footnote w:id="1">
    <w:p w:rsidR="009B0E43" w:rsidRDefault="009B0E43" w:rsidP="00670382">
      <w:pPr>
        <w:pStyle w:val="FootnoteText"/>
      </w:pPr>
      <w:r>
        <w:rPr>
          <w:rStyle w:val="FootnoteReference"/>
        </w:rPr>
        <w:footnoteRef/>
      </w:r>
      <w:r>
        <w:t xml:space="preserve"> i.e., whether respondents have only a landline telephone, only a cell phone, or both kinds of telephone.</w:t>
      </w:r>
    </w:p>
    <w:p w:rsidR="009B0E43" w:rsidRDefault="009B0E43" w:rsidP="00670382">
      <w:pPr>
        <w:pStyle w:val="FootnoteText"/>
      </w:pPr>
    </w:p>
  </w:footnote>
  <w:footnote w:id="2">
    <w:p w:rsidR="009B0E43" w:rsidRDefault="009B0E43" w:rsidP="0081385B">
      <w:pPr>
        <w:pStyle w:val="FootnoteText"/>
      </w:pPr>
      <w:r>
        <w:rPr>
          <w:rStyle w:val="FootnoteReference"/>
        </w:rPr>
        <w:footnoteRef/>
      </w:r>
      <w:r>
        <w:t xml:space="preserve"> Blumberg SJ, Luke JV. Wireless substitution: Early release of estimates from the National Health Interview Survey, J</w:t>
      </w:r>
      <w:r w:rsidR="003E1FF9">
        <w:t>anuary-June</w:t>
      </w:r>
      <w:r>
        <w:t>, 201</w:t>
      </w:r>
      <w:r w:rsidR="003E1FF9">
        <w:t>1</w:t>
      </w:r>
      <w:r>
        <w:t xml:space="preserve">. </w:t>
      </w:r>
      <w:proofErr w:type="gramStart"/>
      <w:r>
        <w:t>National Center for Health Statistics.</w:t>
      </w:r>
      <w:proofErr w:type="gramEnd"/>
      <w:r>
        <w:t xml:space="preserve"> </w:t>
      </w:r>
      <w:r w:rsidR="003E1FF9">
        <w:t>Dec.</w:t>
      </w:r>
      <w:r>
        <w:t xml:space="preserve"> 2011.</w:t>
      </w:r>
    </w:p>
  </w:footnote>
  <w:footnote w:id="3">
    <w:p w:rsidR="009B0E43" w:rsidRDefault="009B0E43">
      <w:pPr>
        <w:pStyle w:val="FootnoteText"/>
      </w:pPr>
      <w:r>
        <w:rPr>
          <w:rStyle w:val="FootnoteReference"/>
        </w:rPr>
        <w:footnoteRef/>
      </w:r>
      <w:r>
        <w:t xml:space="preserve"> PSRAI’s disposition codes and reporting are consistent with the American Association for Public Opinion Research standards.</w:t>
      </w:r>
    </w:p>
  </w:footnote>
  <w:footnote w:id="4">
    <w:p w:rsidR="009B0E43" w:rsidRDefault="009B0E43">
      <w:pPr>
        <w:pStyle w:val="FootnoteText"/>
      </w:pPr>
      <w:r>
        <w:rPr>
          <w:rStyle w:val="FootnoteReference"/>
        </w:rPr>
        <w:footnoteRef/>
      </w:r>
      <w:r>
        <w:t xml:space="preserve"> PSRAI assumes that 75 percent of cases that result in a constant disposition of “No answer” or “Busy” are actually not working numbers.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2"/>
  </w:compat>
  <w:rsids>
    <w:rsidRoot w:val="00D44672"/>
    <w:rsid w:val="00011612"/>
    <w:rsid w:val="000121BB"/>
    <w:rsid w:val="0001670E"/>
    <w:rsid w:val="0002104A"/>
    <w:rsid w:val="00021B01"/>
    <w:rsid w:val="00023842"/>
    <w:rsid w:val="00033809"/>
    <w:rsid w:val="000412A2"/>
    <w:rsid w:val="00044D12"/>
    <w:rsid w:val="00044DFC"/>
    <w:rsid w:val="00046577"/>
    <w:rsid w:val="00057BF3"/>
    <w:rsid w:val="00070E07"/>
    <w:rsid w:val="00083D69"/>
    <w:rsid w:val="00084F56"/>
    <w:rsid w:val="00090193"/>
    <w:rsid w:val="00097098"/>
    <w:rsid w:val="000B6883"/>
    <w:rsid w:val="000B752D"/>
    <w:rsid w:val="000C037A"/>
    <w:rsid w:val="000C28AF"/>
    <w:rsid w:val="000C34F7"/>
    <w:rsid w:val="000C4CFF"/>
    <w:rsid w:val="000C4E36"/>
    <w:rsid w:val="000D7392"/>
    <w:rsid w:val="000F6120"/>
    <w:rsid w:val="00111706"/>
    <w:rsid w:val="00120B89"/>
    <w:rsid w:val="00130280"/>
    <w:rsid w:val="001362BA"/>
    <w:rsid w:val="0014133E"/>
    <w:rsid w:val="001463B9"/>
    <w:rsid w:val="001527D9"/>
    <w:rsid w:val="00157883"/>
    <w:rsid w:val="001642C8"/>
    <w:rsid w:val="00166C8D"/>
    <w:rsid w:val="00167250"/>
    <w:rsid w:val="00190979"/>
    <w:rsid w:val="00192741"/>
    <w:rsid w:val="001B3E1B"/>
    <w:rsid w:val="001C31FE"/>
    <w:rsid w:val="001C71AB"/>
    <w:rsid w:val="001D2280"/>
    <w:rsid w:val="001E212F"/>
    <w:rsid w:val="001E749A"/>
    <w:rsid w:val="001F3A26"/>
    <w:rsid w:val="001F56B2"/>
    <w:rsid w:val="00216E22"/>
    <w:rsid w:val="00224A48"/>
    <w:rsid w:val="00225B39"/>
    <w:rsid w:val="00245651"/>
    <w:rsid w:val="00257E51"/>
    <w:rsid w:val="0026323F"/>
    <w:rsid w:val="00277665"/>
    <w:rsid w:val="00285285"/>
    <w:rsid w:val="00293555"/>
    <w:rsid w:val="002A1A87"/>
    <w:rsid w:val="002A29A7"/>
    <w:rsid w:val="002A65D6"/>
    <w:rsid w:val="002C20DA"/>
    <w:rsid w:val="002D404E"/>
    <w:rsid w:val="002E0692"/>
    <w:rsid w:val="002E502D"/>
    <w:rsid w:val="002F4622"/>
    <w:rsid w:val="002F722A"/>
    <w:rsid w:val="00310C09"/>
    <w:rsid w:val="00320151"/>
    <w:rsid w:val="00323409"/>
    <w:rsid w:val="003234AE"/>
    <w:rsid w:val="00327D29"/>
    <w:rsid w:val="00345804"/>
    <w:rsid w:val="003505FC"/>
    <w:rsid w:val="003722A1"/>
    <w:rsid w:val="00373AE8"/>
    <w:rsid w:val="00377ED8"/>
    <w:rsid w:val="00383D11"/>
    <w:rsid w:val="003858B4"/>
    <w:rsid w:val="00395C2E"/>
    <w:rsid w:val="003A5D4F"/>
    <w:rsid w:val="003A68C0"/>
    <w:rsid w:val="003D0D05"/>
    <w:rsid w:val="003D4CBC"/>
    <w:rsid w:val="003D549E"/>
    <w:rsid w:val="003E1FF9"/>
    <w:rsid w:val="00403581"/>
    <w:rsid w:val="00410ED0"/>
    <w:rsid w:val="00411CA2"/>
    <w:rsid w:val="00412B7C"/>
    <w:rsid w:val="0042213F"/>
    <w:rsid w:val="00433DD0"/>
    <w:rsid w:val="00456E5B"/>
    <w:rsid w:val="00457C71"/>
    <w:rsid w:val="0046253A"/>
    <w:rsid w:val="00472367"/>
    <w:rsid w:val="00482FE7"/>
    <w:rsid w:val="00490CF4"/>
    <w:rsid w:val="004A70A1"/>
    <w:rsid w:val="004B2CBA"/>
    <w:rsid w:val="004C4732"/>
    <w:rsid w:val="004D0ADC"/>
    <w:rsid w:val="004D1E08"/>
    <w:rsid w:val="004D59F8"/>
    <w:rsid w:val="004E2034"/>
    <w:rsid w:val="004E2AA4"/>
    <w:rsid w:val="004E49E3"/>
    <w:rsid w:val="004E5B1D"/>
    <w:rsid w:val="004F0486"/>
    <w:rsid w:val="004F5EBA"/>
    <w:rsid w:val="005022A4"/>
    <w:rsid w:val="00507D3C"/>
    <w:rsid w:val="00510501"/>
    <w:rsid w:val="00515CD4"/>
    <w:rsid w:val="005219D3"/>
    <w:rsid w:val="00551108"/>
    <w:rsid w:val="00556B8F"/>
    <w:rsid w:val="0057363B"/>
    <w:rsid w:val="00573C62"/>
    <w:rsid w:val="00577B6C"/>
    <w:rsid w:val="00584B24"/>
    <w:rsid w:val="00591E81"/>
    <w:rsid w:val="005966DB"/>
    <w:rsid w:val="005B5160"/>
    <w:rsid w:val="005B7CFB"/>
    <w:rsid w:val="005E2E4C"/>
    <w:rsid w:val="005F1527"/>
    <w:rsid w:val="0060289D"/>
    <w:rsid w:val="00604A74"/>
    <w:rsid w:val="00606D26"/>
    <w:rsid w:val="00610F8D"/>
    <w:rsid w:val="00617D7D"/>
    <w:rsid w:val="00621ACB"/>
    <w:rsid w:val="0062404E"/>
    <w:rsid w:val="00631383"/>
    <w:rsid w:val="0063530C"/>
    <w:rsid w:val="00635942"/>
    <w:rsid w:val="00651ABF"/>
    <w:rsid w:val="00656A53"/>
    <w:rsid w:val="006619BB"/>
    <w:rsid w:val="00663462"/>
    <w:rsid w:val="00665BEB"/>
    <w:rsid w:val="00670382"/>
    <w:rsid w:val="0067588A"/>
    <w:rsid w:val="00675DD6"/>
    <w:rsid w:val="006806AB"/>
    <w:rsid w:val="00696461"/>
    <w:rsid w:val="006A0F4C"/>
    <w:rsid w:val="006A2BB5"/>
    <w:rsid w:val="006B3C8D"/>
    <w:rsid w:val="006B3C94"/>
    <w:rsid w:val="006C2CB5"/>
    <w:rsid w:val="006D55E6"/>
    <w:rsid w:val="006D6F57"/>
    <w:rsid w:val="006E6193"/>
    <w:rsid w:val="006F0E61"/>
    <w:rsid w:val="006F3C2C"/>
    <w:rsid w:val="00702B74"/>
    <w:rsid w:val="00716C7C"/>
    <w:rsid w:val="00736353"/>
    <w:rsid w:val="0073658A"/>
    <w:rsid w:val="00745EDB"/>
    <w:rsid w:val="007600C8"/>
    <w:rsid w:val="00763A47"/>
    <w:rsid w:val="00774515"/>
    <w:rsid w:val="007829FA"/>
    <w:rsid w:val="00784348"/>
    <w:rsid w:val="007B0299"/>
    <w:rsid w:val="007B750B"/>
    <w:rsid w:val="007D0014"/>
    <w:rsid w:val="007D3DB5"/>
    <w:rsid w:val="007D4577"/>
    <w:rsid w:val="007F2FD8"/>
    <w:rsid w:val="00802416"/>
    <w:rsid w:val="008053FF"/>
    <w:rsid w:val="008101FF"/>
    <w:rsid w:val="00813481"/>
    <w:rsid w:val="0081385B"/>
    <w:rsid w:val="008163B0"/>
    <w:rsid w:val="00821D9D"/>
    <w:rsid w:val="00827269"/>
    <w:rsid w:val="00835534"/>
    <w:rsid w:val="00837168"/>
    <w:rsid w:val="008518FB"/>
    <w:rsid w:val="0085407B"/>
    <w:rsid w:val="00854ACD"/>
    <w:rsid w:val="0085524B"/>
    <w:rsid w:val="008565CD"/>
    <w:rsid w:val="0086790A"/>
    <w:rsid w:val="0087664E"/>
    <w:rsid w:val="00882DE4"/>
    <w:rsid w:val="00893378"/>
    <w:rsid w:val="008B3548"/>
    <w:rsid w:val="008B367A"/>
    <w:rsid w:val="008C2819"/>
    <w:rsid w:val="008C3903"/>
    <w:rsid w:val="008C5ABE"/>
    <w:rsid w:val="008D231D"/>
    <w:rsid w:val="008D415B"/>
    <w:rsid w:val="008E1768"/>
    <w:rsid w:val="008E4B5E"/>
    <w:rsid w:val="008E51CF"/>
    <w:rsid w:val="00910210"/>
    <w:rsid w:val="00924547"/>
    <w:rsid w:val="00925D9C"/>
    <w:rsid w:val="009423DA"/>
    <w:rsid w:val="00955B62"/>
    <w:rsid w:val="0096314D"/>
    <w:rsid w:val="00963766"/>
    <w:rsid w:val="0097199A"/>
    <w:rsid w:val="00972B15"/>
    <w:rsid w:val="0099056E"/>
    <w:rsid w:val="009B0E43"/>
    <w:rsid w:val="009B4C86"/>
    <w:rsid w:val="009B6315"/>
    <w:rsid w:val="009C1DDD"/>
    <w:rsid w:val="009C442A"/>
    <w:rsid w:val="009C614A"/>
    <w:rsid w:val="009D3B08"/>
    <w:rsid w:val="009E361B"/>
    <w:rsid w:val="009F1C5C"/>
    <w:rsid w:val="00A05A42"/>
    <w:rsid w:val="00A15C25"/>
    <w:rsid w:val="00A17E91"/>
    <w:rsid w:val="00A23A70"/>
    <w:rsid w:val="00A27C5C"/>
    <w:rsid w:val="00A41B71"/>
    <w:rsid w:val="00A435C6"/>
    <w:rsid w:val="00A4484C"/>
    <w:rsid w:val="00A6283E"/>
    <w:rsid w:val="00A64593"/>
    <w:rsid w:val="00A65166"/>
    <w:rsid w:val="00A6706D"/>
    <w:rsid w:val="00A747DB"/>
    <w:rsid w:val="00A768B9"/>
    <w:rsid w:val="00A84300"/>
    <w:rsid w:val="00A84FFF"/>
    <w:rsid w:val="00AB2ADD"/>
    <w:rsid w:val="00AC049A"/>
    <w:rsid w:val="00AD1448"/>
    <w:rsid w:val="00AE246D"/>
    <w:rsid w:val="00AE487E"/>
    <w:rsid w:val="00AF3CD2"/>
    <w:rsid w:val="00AF6F6F"/>
    <w:rsid w:val="00B000B1"/>
    <w:rsid w:val="00B0021E"/>
    <w:rsid w:val="00B24A19"/>
    <w:rsid w:val="00B26451"/>
    <w:rsid w:val="00B44D44"/>
    <w:rsid w:val="00B454EE"/>
    <w:rsid w:val="00B646B1"/>
    <w:rsid w:val="00B66F41"/>
    <w:rsid w:val="00B76E3B"/>
    <w:rsid w:val="00B83522"/>
    <w:rsid w:val="00B9090E"/>
    <w:rsid w:val="00BA31E1"/>
    <w:rsid w:val="00BB604D"/>
    <w:rsid w:val="00BB7DA7"/>
    <w:rsid w:val="00BC275F"/>
    <w:rsid w:val="00BE0F14"/>
    <w:rsid w:val="00BE1176"/>
    <w:rsid w:val="00BE3833"/>
    <w:rsid w:val="00BF6DE2"/>
    <w:rsid w:val="00C05870"/>
    <w:rsid w:val="00C21B30"/>
    <w:rsid w:val="00C3682C"/>
    <w:rsid w:val="00C40824"/>
    <w:rsid w:val="00C452F7"/>
    <w:rsid w:val="00C455CB"/>
    <w:rsid w:val="00C47657"/>
    <w:rsid w:val="00C549C6"/>
    <w:rsid w:val="00C65DB8"/>
    <w:rsid w:val="00C72339"/>
    <w:rsid w:val="00C82CD1"/>
    <w:rsid w:val="00C84950"/>
    <w:rsid w:val="00C95C3A"/>
    <w:rsid w:val="00CA06F1"/>
    <w:rsid w:val="00CA07D3"/>
    <w:rsid w:val="00CB1363"/>
    <w:rsid w:val="00CC5024"/>
    <w:rsid w:val="00CC765F"/>
    <w:rsid w:val="00CD0DCB"/>
    <w:rsid w:val="00CD64B5"/>
    <w:rsid w:val="00CD710F"/>
    <w:rsid w:val="00CF35AB"/>
    <w:rsid w:val="00D06369"/>
    <w:rsid w:val="00D1229D"/>
    <w:rsid w:val="00D12FDB"/>
    <w:rsid w:val="00D22D54"/>
    <w:rsid w:val="00D2369B"/>
    <w:rsid w:val="00D25B92"/>
    <w:rsid w:val="00D312C5"/>
    <w:rsid w:val="00D3221E"/>
    <w:rsid w:val="00D35826"/>
    <w:rsid w:val="00D41AA6"/>
    <w:rsid w:val="00D44672"/>
    <w:rsid w:val="00D67A8E"/>
    <w:rsid w:val="00D8542E"/>
    <w:rsid w:val="00D85AA8"/>
    <w:rsid w:val="00D87557"/>
    <w:rsid w:val="00DA521E"/>
    <w:rsid w:val="00DC18FA"/>
    <w:rsid w:val="00DC1AF2"/>
    <w:rsid w:val="00DC38C3"/>
    <w:rsid w:val="00DE3E37"/>
    <w:rsid w:val="00E0341A"/>
    <w:rsid w:val="00E2059E"/>
    <w:rsid w:val="00E2253A"/>
    <w:rsid w:val="00E226E3"/>
    <w:rsid w:val="00E36A32"/>
    <w:rsid w:val="00E4513A"/>
    <w:rsid w:val="00E51DFD"/>
    <w:rsid w:val="00E67CA9"/>
    <w:rsid w:val="00E7389C"/>
    <w:rsid w:val="00E74220"/>
    <w:rsid w:val="00E74850"/>
    <w:rsid w:val="00E9014B"/>
    <w:rsid w:val="00EA7358"/>
    <w:rsid w:val="00EC7034"/>
    <w:rsid w:val="00ED03CB"/>
    <w:rsid w:val="00ED34C5"/>
    <w:rsid w:val="00EE1BB7"/>
    <w:rsid w:val="00EE61FA"/>
    <w:rsid w:val="00EE71EC"/>
    <w:rsid w:val="00EF4E13"/>
    <w:rsid w:val="00F11BB4"/>
    <w:rsid w:val="00F11F75"/>
    <w:rsid w:val="00F13859"/>
    <w:rsid w:val="00F1394D"/>
    <w:rsid w:val="00F16150"/>
    <w:rsid w:val="00F26D49"/>
    <w:rsid w:val="00F345C0"/>
    <w:rsid w:val="00F6385E"/>
    <w:rsid w:val="00F807FC"/>
    <w:rsid w:val="00F85524"/>
    <w:rsid w:val="00F8773A"/>
    <w:rsid w:val="00F92107"/>
    <w:rsid w:val="00FA5833"/>
    <w:rsid w:val="00FB0C87"/>
    <w:rsid w:val="00FB3744"/>
    <w:rsid w:val="00FB63CA"/>
    <w:rsid w:val="00FB6864"/>
    <w:rsid w:val="00FC62FA"/>
    <w:rsid w:val="00FF17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styleId="PlaceholderText">
    <w:name w:val="Placeholder Text"/>
    <w:basedOn w:val="DefaultParagraphFont"/>
    <w:uiPriority w:val="99"/>
    <w:semiHidden/>
    <w:rsid w:val="00B0021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55680">
      <w:bodyDiv w:val="1"/>
      <w:marLeft w:val="0"/>
      <w:marRight w:val="0"/>
      <w:marTop w:val="0"/>
      <w:marBottom w:val="0"/>
      <w:divBdr>
        <w:top w:val="none" w:sz="0" w:space="0" w:color="auto"/>
        <w:left w:val="none" w:sz="0" w:space="0" w:color="auto"/>
        <w:bottom w:val="none" w:sz="0" w:space="0" w:color="auto"/>
        <w:right w:val="none" w:sz="0" w:space="0" w:color="auto"/>
      </w:divBdr>
    </w:div>
    <w:div w:id="36779520">
      <w:bodyDiv w:val="1"/>
      <w:marLeft w:val="0"/>
      <w:marRight w:val="0"/>
      <w:marTop w:val="0"/>
      <w:marBottom w:val="0"/>
      <w:divBdr>
        <w:top w:val="none" w:sz="0" w:space="0" w:color="auto"/>
        <w:left w:val="none" w:sz="0" w:space="0" w:color="auto"/>
        <w:bottom w:val="none" w:sz="0" w:space="0" w:color="auto"/>
        <w:right w:val="none" w:sz="0" w:space="0" w:color="auto"/>
      </w:divBdr>
    </w:div>
    <w:div w:id="49354991">
      <w:bodyDiv w:val="1"/>
      <w:marLeft w:val="0"/>
      <w:marRight w:val="0"/>
      <w:marTop w:val="0"/>
      <w:marBottom w:val="0"/>
      <w:divBdr>
        <w:top w:val="none" w:sz="0" w:space="0" w:color="auto"/>
        <w:left w:val="none" w:sz="0" w:space="0" w:color="auto"/>
        <w:bottom w:val="none" w:sz="0" w:space="0" w:color="auto"/>
        <w:right w:val="none" w:sz="0" w:space="0" w:color="auto"/>
      </w:divBdr>
    </w:div>
    <w:div w:id="53356910">
      <w:bodyDiv w:val="1"/>
      <w:marLeft w:val="0"/>
      <w:marRight w:val="0"/>
      <w:marTop w:val="0"/>
      <w:marBottom w:val="0"/>
      <w:divBdr>
        <w:top w:val="none" w:sz="0" w:space="0" w:color="auto"/>
        <w:left w:val="none" w:sz="0" w:space="0" w:color="auto"/>
        <w:bottom w:val="none" w:sz="0" w:space="0" w:color="auto"/>
        <w:right w:val="none" w:sz="0" w:space="0" w:color="auto"/>
      </w:divBdr>
    </w:div>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80838012">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13063611">
      <w:bodyDiv w:val="1"/>
      <w:marLeft w:val="0"/>
      <w:marRight w:val="0"/>
      <w:marTop w:val="0"/>
      <w:marBottom w:val="0"/>
      <w:divBdr>
        <w:top w:val="none" w:sz="0" w:space="0" w:color="auto"/>
        <w:left w:val="none" w:sz="0" w:space="0" w:color="auto"/>
        <w:bottom w:val="none" w:sz="0" w:space="0" w:color="auto"/>
        <w:right w:val="none" w:sz="0" w:space="0" w:color="auto"/>
      </w:divBdr>
    </w:div>
    <w:div w:id="11692101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63004615">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3684692">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47486369">
      <w:bodyDiv w:val="1"/>
      <w:marLeft w:val="0"/>
      <w:marRight w:val="0"/>
      <w:marTop w:val="0"/>
      <w:marBottom w:val="0"/>
      <w:divBdr>
        <w:top w:val="none" w:sz="0" w:space="0" w:color="auto"/>
        <w:left w:val="none" w:sz="0" w:space="0" w:color="auto"/>
        <w:bottom w:val="none" w:sz="0" w:space="0" w:color="auto"/>
        <w:right w:val="none" w:sz="0" w:space="0" w:color="auto"/>
      </w:divBdr>
    </w:div>
    <w:div w:id="349185455">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78554885">
      <w:bodyDiv w:val="1"/>
      <w:marLeft w:val="0"/>
      <w:marRight w:val="0"/>
      <w:marTop w:val="0"/>
      <w:marBottom w:val="0"/>
      <w:divBdr>
        <w:top w:val="none" w:sz="0" w:space="0" w:color="auto"/>
        <w:left w:val="none" w:sz="0" w:space="0" w:color="auto"/>
        <w:bottom w:val="none" w:sz="0" w:space="0" w:color="auto"/>
        <w:right w:val="none" w:sz="0" w:space="0" w:color="auto"/>
      </w:divBdr>
    </w:div>
    <w:div w:id="410353515">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26654593">
      <w:bodyDiv w:val="1"/>
      <w:marLeft w:val="0"/>
      <w:marRight w:val="0"/>
      <w:marTop w:val="0"/>
      <w:marBottom w:val="0"/>
      <w:divBdr>
        <w:top w:val="none" w:sz="0" w:space="0" w:color="auto"/>
        <w:left w:val="none" w:sz="0" w:space="0" w:color="auto"/>
        <w:bottom w:val="none" w:sz="0" w:space="0" w:color="auto"/>
        <w:right w:val="none" w:sz="0" w:space="0" w:color="auto"/>
      </w:divBdr>
    </w:div>
    <w:div w:id="428701033">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42717810">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580137731">
      <w:bodyDiv w:val="1"/>
      <w:marLeft w:val="0"/>
      <w:marRight w:val="0"/>
      <w:marTop w:val="0"/>
      <w:marBottom w:val="0"/>
      <w:divBdr>
        <w:top w:val="none" w:sz="0" w:space="0" w:color="auto"/>
        <w:left w:val="none" w:sz="0" w:space="0" w:color="auto"/>
        <w:bottom w:val="none" w:sz="0" w:space="0" w:color="auto"/>
        <w:right w:val="none" w:sz="0" w:space="0" w:color="auto"/>
      </w:divBdr>
    </w:div>
    <w:div w:id="601189558">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58726851">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16341735">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2381225">
      <w:bodyDiv w:val="1"/>
      <w:marLeft w:val="0"/>
      <w:marRight w:val="0"/>
      <w:marTop w:val="0"/>
      <w:marBottom w:val="0"/>
      <w:divBdr>
        <w:top w:val="none" w:sz="0" w:space="0" w:color="auto"/>
        <w:left w:val="none" w:sz="0" w:space="0" w:color="auto"/>
        <w:bottom w:val="none" w:sz="0" w:space="0" w:color="auto"/>
        <w:right w:val="none" w:sz="0" w:space="0" w:color="auto"/>
      </w:divBdr>
    </w:div>
    <w:div w:id="877930500">
      <w:bodyDiv w:val="1"/>
      <w:marLeft w:val="0"/>
      <w:marRight w:val="0"/>
      <w:marTop w:val="0"/>
      <w:marBottom w:val="0"/>
      <w:divBdr>
        <w:top w:val="none" w:sz="0" w:space="0" w:color="auto"/>
        <w:left w:val="none" w:sz="0" w:space="0" w:color="auto"/>
        <w:bottom w:val="none" w:sz="0" w:space="0" w:color="auto"/>
        <w:right w:val="none" w:sz="0" w:space="0" w:color="auto"/>
      </w:divBdr>
    </w:div>
    <w:div w:id="878124392">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11162237">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45698558">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74749357">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995837994">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27170625">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05633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61825547">
      <w:bodyDiv w:val="1"/>
      <w:marLeft w:val="0"/>
      <w:marRight w:val="0"/>
      <w:marTop w:val="0"/>
      <w:marBottom w:val="0"/>
      <w:divBdr>
        <w:top w:val="none" w:sz="0" w:space="0" w:color="auto"/>
        <w:left w:val="none" w:sz="0" w:space="0" w:color="auto"/>
        <w:bottom w:val="none" w:sz="0" w:space="0" w:color="auto"/>
        <w:right w:val="none" w:sz="0" w:space="0" w:color="auto"/>
      </w:divBdr>
    </w:div>
    <w:div w:id="1077242689">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0663840">
      <w:bodyDiv w:val="1"/>
      <w:marLeft w:val="0"/>
      <w:marRight w:val="0"/>
      <w:marTop w:val="0"/>
      <w:marBottom w:val="0"/>
      <w:divBdr>
        <w:top w:val="none" w:sz="0" w:space="0" w:color="auto"/>
        <w:left w:val="none" w:sz="0" w:space="0" w:color="auto"/>
        <w:bottom w:val="none" w:sz="0" w:space="0" w:color="auto"/>
        <w:right w:val="none" w:sz="0" w:space="0" w:color="auto"/>
      </w:divBdr>
    </w:div>
    <w:div w:id="1093476700">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19295344">
      <w:bodyDiv w:val="1"/>
      <w:marLeft w:val="0"/>
      <w:marRight w:val="0"/>
      <w:marTop w:val="0"/>
      <w:marBottom w:val="0"/>
      <w:divBdr>
        <w:top w:val="none" w:sz="0" w:space="0" w:color="auto"/>
        <w:left w:val="none" w:sz="0" w:space="0" w:color="auto"/>
        <w:bottom w:val="none" w:sz="0" w:space="0" w:color="auto"/>
        <w:right w:val="none" w:sz="0" w:space="0" w:color="auto"/>
      </w:divBdr>
    </w:div>
    <w:div w:id="1126582654">
      <w:bodyDiv w:val="1"/>
      <w:marLeft w:val="0"/>
      <w:marRight w:val="0"/>
      <w:marTop w:val="0"/>
      <w:marBottom w:val="0"/>
      <w:divBdr>
        <w:top w:val="none" w:sz="0" w:space="0" w:color="auto"/>
        <w:left w:val="none" w:sz="0" w:space="0" w:color="auto"/>
        <w:bottom w:val="none" w:sz="0" w:space="0" w:color="auto"/>
        <w:right w:val="none" w:sz="0" w:space="0" w:color="auto"/>
      </w:divBdr>
    </w:div>
    <w:div w:id="112881928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37939404">
      <w:bodyDiv w:val="1"/>
      <w:marLeft w:val="0"/>
      <w:marRight w:val="0"/>
      <w:marTop w:val="0"/>
      <w:marBottom w:val="0"/>
      <w:divBdr>
        <w:top w:val="none" w:sz="0" w:space="0" w:color="auto"/>
        <w:left w:val="none" w:sz="0" w:space="0" w:color="auto"/>
        <w:bottom w:val="none" w:sz="0" w:space="0" w:color="auto"/>
        <w:right w:val="none" w:sz="0" w:space="0" w:color="auto"/>
      </w:divBdr>
    </w:div>
    <w:div w:id="1241597734">
      <w:bodyDiv w:val="1"/>
      <w:marLeft w:val="0"/>
      <w:marRight w:val="0"/>
      <w:marTop w:val="0"/>
      <w:marBottom w:val="0"/>
      <w:divBdr>
        <w:top w:val="none" w:sz="0" w:space="0" w:color="auto"/>
        <w:left w:val="none" w:sz="0" w:space="0" w:color="auto"/>
        <w:bottom w:val="none" w:sz="0" w:space="0" w:color="auto"/>
        <w:right w:val="none" w:sz="0" w:space="0" w:color="auto"/>
      </w:divBdr>
    </w:div>
    <w:div w:id="1246574696">
      <w:bodyDiv w:val="1"/>
      <w:marLeft w:val="0"/>
      <w:marRight w:val="0"/>
      <w:marTop w:val="0"/>
      <w:marBottom w:val="0"/>
      <w:divBdr>
        <w:top w:val="none" w:sz="0" w:space="0" w:color="auto"/>
        <w:left w:val="none" w:sz="0" w:space="0" w:color="auto"/>
        <w:bottom w:val="none" w:sz="0" w:space="0" w:color="auto"/>
        <w:right w:val="none" w:sz="0" w:space="0" w:color="auto"/>
      </w:divBdr>
    </w:div>
    <w:div w:id="1249924233">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324894462">
      <w:bodyDiv w:val="1"/>
      <w:marLeft w:val="0"/>
      <w:marRight w:val="0"/>
      <w:marTop w:val="0"/>
      <w:marBottom w:val="0"/>
      <w:divBdr>
        <w:top w:val="none" w:sz="0" w:space="0" w:color="auto"/>
        <w:left w:val="none" w:sz="0" w:space="0" w:color="auto"/>
        <w:bottom w:val="none" w:sz="0" w:space="0" w:color="auto"/>
        <w:right w:val="none" w:sz="0" w:space="0" w:color="auto"/>
      </w:divBdr>
    </w:div>
    <w:div w:id="1326400803">
      <w:bodyDiv w:val="1"/>
      <w:marLeft w:val="0"/>
      <w:marRight w:val="0"/>
      <w:marTop w:val="0"/>
      <w:marBottom w:val="0"/>
      <w:divBdr>
        <w:top w:val="none" w:sz="0" w:space="0" w:color="auto"/>
        <w:left w:val="none" w:sz="0" w:space="0" w:color="auto"/>
        <w:bottom w:val="none" w:sz="0" w:space="0" w:color="auto"/>
        <w:right w:val="none" w:sz="0" w:space="0" w:color="auto"/>
      </w:divBdr>
    </w:div>
    <w:div w:id="1327439230">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116573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32050704">
      <w:bodyDiv w:val="1"/>
      <w:marLeft w:val="0"/>
      <w:marRight w:val="0"/>
      <w:marTop w:val="0"/>
      <w:marBottom w:val="0"/>
      <w:divBdr>
        <w:top w:val="none" w:sz="0" w:space="0" w:color="auto"/>
        <w:left w:val="none" w:sz="0" w:space="0" w:color="auto"/>
        <w:bottom w:val="none" w:sz="0" w:space="0" w:color="auto"/>
        <w:right w:val="none" w:sz="0" w:space="0" w:color="auto"/>
      </w:divBdr>
    </w:div>
    <w:div w:id="1437018363">
      <w:bodyDiv w:val="1"/>
      <w:marLeft w:val="0"/>
      <w:marRight w:val="0"/>
      <w:marTop w:val="0"/>
      <w:marBottom w:val="0"/>
      <w:divBdr>
        <w:top w:val="none" w:sz="0" w:space="0" w:color="auto"/>
        <w:left w:val="none" w:sz="0" w:space="0" w:color="auto"/>
        <w:bottom w:val="none" w:sz="0" w:space="0" w:color="auto"/>
        <w:right w:val="none" w:sz="0" w:space="0" w:color="auto"/>
      </w:divBdr>
    </w:div>
    <w:div w:id="1438060334">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496530274">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26677382">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54540356">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75777359">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54260462">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19209596">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775437108">
      <w:bodyDiv w:val="1"/>
      <w:marLeft w:val="0"/>
      <w:marRight w:val="0"/>
      <w:marTop w:val="0"/>
      <w:marBottom w:val="0"/>
      <w:divBdr>
        <w:top w:val="none" w:sz="0" w:space="0" w:color="auto"/>
        <w:left w:val="none" w:sz="0" w:space="0" w:color="auto"/>
        <w:bottom w:val="none" w:sz="0" w:space="0" w:color="auto"/>
        <w:right w:val="none" w:sz="0" w:space="0" w:color="auto"/>
      </w:divBdr>
    </w:div>
    <w:div w:id="1777826258">
      <w:bodyDiv w:val="1"/>
      <w:marLeft w:val="0"/>
      <w:marRight w:val="0"/>
      <w:marTop w:val="0"/>
      <w:marBottom w:val="0"/>
      <w:divBdr>
        <w:top w:val="none" w:sz="0" w:space="0" w:color="auto"/>
        <w:left w:val="none" w:sz="0" w:space="0" w:color="auto"/>
        <w:bottom w:val="none" w:sz="0" w:space="0" w:color="auto"/>
        <w:right w:val="none" w:sz="0" w:space="0" w:color="auto"/>
      </w:divBdr>
    </w:div>
    <w:div w:id="180835578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21076482">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889992766">
      <w:bodyDiv w:val="1"/>
      <w:marLeft w:val="0"/>
      <w:marRight w:val="0"/>
      <w:marTop w:val="0"/>
      <w:marBottom w:val="0"/>
      <w:divBdr>
        <w:top w:val="none" w:sz="0" w:space="0" w:color="auto"/>
        <w:left w:val="none" w:sz="0" w:space="0" w:color="auto"/>
        <w:bottom w:val="none" w:sz="0" w:space="0" w:color="auto"/>
        <w:right w:val="none" w:sz="0" w:space="0" w:color="auto"/>
      </w:divBdr>
    </w:div>
    <w:div w:id="1894386182">
      <w:bodyDiv w:val="1"/>
      <w:marLeft w:val="0"/>
      <w:marRight w:val="0"/>
      <w:marTop w:val="0"/>
      <w:marBottom w:val="0"/>
      <w:divBdr>
        <w:top w:val="none" w:sz="0" w:space="0" w:color="auto"/>
        <w:left w:val="none" w:sz="0" w:space="0" w:color="auto"/>
        <w:bottom w:val="none" w:sz="0" w:space="0" w:color="auto"/>
        <w:right w:val="none" w:sz="0" w:space="0" w:color="auto"/>
      </w:divBdr>
    </w:div>
    <w:div w:id="1906599209">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66690053">
      <w:bodyDiv w:val="1"/>
      <w:marLeft w:val="0"/>
      <w:marRight w:val="0"/>
      <w:marTop w:val="0"/>
      <w:marBottom w:val="0"/>
      <w:divBdr>
        <w:top w:val="none" w:sz="0" w:space="0" w:color="auto"/>
        <w:left w:val="none" w:sz="0" w:space="0" w:color="auto"/>
        <w:bottom w:val="none" w:sz="0" w:space="0" w:color="auto"/>
        <w:right w:val="none" w:sz="0" w:space="0" w:color="auto"/>
      </w:divBdr>
    </w:div>
    <w:div w:id="1971353053">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19189202">
      <w:bodyDiv w:val="1"/>
      <w:marLeft w:val="0"/>
      <w:marRight w:val="0"/>
      <w:marTop w:val="0"/>
      <w:marBottom w:val="0"/>
      <w:divBdr>
        <w:top w:val="none" w:sz="0" w:space="0" w:color="auto"/>
        <w:left w:val="none" w:sz="0" w:space="0" w:color="auto"/>
        <w:bottom w:val="none" w:sz="0" w:space="0" w:color="auto"/>
        <w:right w:val="none" w:sz="0" w:space="0" w:color="auto"/>
      </w:divBdr>
    </w:div>
    <w:div w:id="204250876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 w:id="2050303397">
      <w:bodyDiv w:val="1"/>
      <w:marLeft w:val="0"/>
      <w:marRight w:val="0"/>
      <w:marTop w:val="0"/>
      <w:marBottom w:val="0"/>
      <w:divBdr>
        <w:top w:val="none" w:sz="0" w:space="0" w:color="auto"/>
        <w:left w:val="none" w:sz="0" w:space="0" w:color="auto"/>
        <w:bottom w:val="none" w:sz="0" w:space="0" w:color="auto"/>
        <w:right w:val="none" w:sz="0" w:space="0" w:color="auto"/>
      </w:divBdr>
    </w:div>
    <w:div w:id="2065833727">
      <w:bodyDiv w:val="1"/>
      <w:marLeft w:val="0"/>
      <w:marRight w:val="0"/>
      <w:marTop w:val="0"/>
      <w:marBottom w:val="0"/>
      <w:divBdr>
        <w:top w:val="none" w:sz="0" w:space="0" w:color="auto"/>
        <w:left w:val="none" w:sz="0" w:space="0" w:color="auto"/>
        <w:bottom w:val="none" w:sz="0" w:space="0" w:color="auto"/>
        <w:right w:val="none" w:sz="0" w:space="0" w:color="auto"/>
      </w:divBdr>
    </w:div>
    <w:div w:id="2075397349">
      <w:bodyDiv w:val="1"/>
      <w:marLeft w:val="0"/>
      <w:marRight w:val="0"/>
      <w:marTop w:val="0"/>
      <w:marBottom w:val="0"/>
      <w:divBdr>
        <w:top w:val="none" w:sz="0" w:space="0" w:color="auto"/>
        <w:left w:val="none" w:sz="0" w:space="0" w:color="auto"/>
        <w:bottom w:val="none" w:sz="0" w:space="0" w:color="auto"/>
        <w:right w:val="none" w:sz="0" w:space="0" w:color="auto"/>
      </w:divBdr>
    </w:div>
    <w:div w:id="2078935966">
      <w:bodyDiv w:val="1"/>
      <w:marLeft w:val="0"/>
      <w:marRight w:val="0"/>
      <w:marTop w:val="0"/>
      <w:marBottom w:val="0"/>
      <w:divBdr>
        <w:top w:val="none" w:sz="0" w:space="0" w:color="auto"/>
        <w:left w:val="none" w:sz="0" w:space="0" w:color="auto"/>
        <w:bottom w:val="none" w:sz="0" w:space="0" w:color="auto"/>
        <w:right w:val="none" w:sz="0" w:space="0" w:color="auto"/>
      </w:divBdr>
    </w:div>
    <w:div w:id="209161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C8208-9B42-4731-8AC3-3D5E69EB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7</Pages>
  <Words>1469</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9799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Methodology</dc:subject>
  <dc:creator>Julie Gasior</dc:creator>
  <cp:keywords/>
  <cp:lastModifiedBy>Julie Gasior</cp:lastModifiedBy>
  <cp:revision>124</cp:revision>
  <cp:lastPrinted>2010-08-11T19:13:00Z</cp:lastPrinted>
  <dcterms:created xsi:type="dcterms:W3CDTF">2010-08-10T20:50:00Z</dcterms:created>
  <dcterms:modified xsi:type="dcterms:W3CDTF">2012-01-09T16:08:00Z</dcterms:modified>
</cp:coreProperties>
</file>