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0C1FEF" w:rsidRDefault="006619BB" w:rsidP="00163173">
      <w:pPr>
        <w:pStyle w:val="DocumentProject"/>
        <w:framePr w:hSpace="0" w:wrap="auto" w:vAnchor="margin" w:yAlign="inline"/>
        <w:ind w:left="0"/>
        <w:rPr>
          <w:b w:val="0"/>
        </w:rPr>
      </w:pPr>
      <w:r w:rsidRPr="000C1FEF">
        <w:rPr>
          <w:b w:val="0"/>
        </w:rPr>
        <w:t>Methodology</w:t>
      </w:r>
    </w:p>
    <w:p w:rsidR="006619BB" w:rsidRPr="000C1FEF" w:rsidRDefault="00B24C1B" w:rsidP="00163173">
      <w:pPr>
        <w:pStyle w:val="DocumentProject"/>
        <w:framePr w:hSpace="0" w:wrap="auto" w:vAnchor="margin" w:yAlign="inline"/>
        <w:ind w:left="0"/>
      </w:pPr>
      <w:r w:rsidRPr="000C1FEF">
        <w:t xml:space="preserve">March </w:t>
      </w:r>
      <w:r w:rsidR="006619BB" w:rsidRPr="000C1FEF">
        <w:t>201</w:t>
      </w:r>
      <w:r w:rsidR="0026513D" w:rsidRPr="000C1FEF">
        <w:t>2</w:t>
      </w:r>
      <w:r w:rsidR="006619BB" w:rsidRPr="000C1FEF">
        <w:t xml:space="preserve"> Omnibus Week </w:t>
      </w:r>
      <w:r w:rsidR="006F587D" w:rsidRPr="000C1FEF">
        <w:t>4</w:t>
      </w:r>
    </w:p>
    <w:p w:rsidR="006619BB" w:rsidRPr="000C1FEF" w:rsidRDefault="006619BB" w:rsidP="00163173">
      <w:pPr>
        <w:pStyle w:val="DocumentClient"/>
        <w:framePr w:hSpace="0" w:wrap="auto" w:vAnchor="margin" w:yAlign="inline"/>
        <w:ind w:left="0"/>
      </w:pPr>
      <w:r w:rsidRPr="000C1FEF">
        <w:t>Prepared by Princeton Survey Research Associates International</w:t>
      </w:r>
    </w:p>
    <w:p w:rsidR="006619BB" w:rsidRPr="000C1FEF" w:rsidRDefault="00B24C1B" w:rsidP="00163173">
      <w:pPr>
        <w:pStyle w:val="DocumentDate"/>
        <w:framePr w:hSpace="0" w:wrap="auto" w:vAnchor="margin" w:yAlign="inline"/>
        <w:spacing w:after="480"/>
        <w:ind w:left="0"/>
      </w:pPr>
      <w:r w:rsidRPr="000C1FEF">
        <w:t xml:space="preserve">March </w:t>
      </w:r>
      <w:r w:rsidR="006619BB" w:rsidRPr="000C1FEF">
        <w:t>201</w:t>
      </w:r>
      <w:r w:rsidR="0026513D" w:rsidRPr="000C1FEF">
        <w:t>2</w:t>
      </w:r>
    </w:p>
    <w:p w:rsidR="006619BB" w:rsidRPr="000C1FEF" w:rsidRDefault="006619BB" w:rsidP="006619BB">
      <w:pPr>
        <w:pStyle w:val="BodyofReport"/>
        <w:ind w:firstLine="0"/>
      </w:pPr>
    </w:p>
    <w:p w:rsidR="00D25B92" w:rsidRDefault="00A41B71" w:rsidP="00D25B92">
      <w:pPr>
        <w:pStyle w:val="BodyofReport"/>
      </w:pPr>
      <w:r w:rsidRPr="000C1FEF">
        <w:t>The PSRAI</w:t>
      </w:r>
      <w:r w:rsidR="00F51248" w:rsidRPr="000C1FEF">
        <w:t xml:space="preserve"> </w:t>
      </w:r>
      <w:r w:rsidR="00B24C1B" w:rsidRPr="000C1FEF">
        <w:t>March 2</w:t>
      </w:r>
      <w:r w:rsidR="00D25B92" w:rsidRPr="000C1FEF">
        <w:t>01</w:t>
      </w:r>
      <w:r w:rsidR="0026513D" w:rsidRPr="000C1FEF">
        <w:t>2</w:t>
      </w:r>
      <w:r w:rsidR="00D25B92" w:rsidRPr="000C1FEF">
        <w:t xml:space="preserve"> Omnibus Week </w:t>
      </w:r>
      <w:r w:rsidR="006F587D" w:rsidRPr="000C1FEF">
        <w:t>4</w:t>
      </w:r>
      <w:r w:rsidR="00D25B92" w:rsidRPr="000C1FEF">
        <w:t xml:space="preserve"> obtained telephone interviews with a nationally representative sample of </w:t>
      </w:r>
      <w:r w:rsidR="00524448" w:rsidRPr="000C1FEF">
        <w:t>1,0</w:t>
      </w:r>
      <w:r w:rsidR="006E412D" w:rsidRPr="000C1FEF">
        <w:t>0</w:t>
      </w:r>
      <w:r w:rsidR="000C1FEF" w:rsidRPr="000C1FEF">
        <w:t>3</w:t>
      </w:r>
      <w:r w:rsidR="00D25B92" w:rsidRPr="000C1FEF">
        <w:t xml:space="preserve"> adults living in the continental United States. Telephone interviews were conducted by landline (</w:t>
      </w:r>
      <w:r w:rsidR="00524448" w:rsidRPr="000C1FEF">
        <w:t>6</w:t>
      </w:r>
      <w:r w:rsidR="007B2019" w:rsidRPr="000C1FEF">
        <w:t>0</w:t>
      </w:r>
      <w:r w:rsidR="000C1FEF" w:rsidRPr="000C1FEF">
        <w:t>2</w:t>
      </w:r>
      <w:r w:rsidR="00D25B92" w:rsidRPr="000C1FEF">
        <w:t>) and cell phone (</w:t>
      </w:r>
      <w:r w:rsidR="007B2019" w:rsidRPr="000C1FEF">
        <w:t>4</w:t>
      </w:r>
      <w:r w:rsidR="006E412D" w:rsidRPr="000C1FEF">
        <w:t>0</w:t>
      </w:r>
      <w:r w:rsidR="000C1FEF" w:rsidRPr="000C1FEF">
        <w:t>1</w:t>
      </w:r>
      <w:r w:rsidR="00D25B92" w:rsidRPr="000C1FEF">
        <w:t xml:space="preserve">, including </w:t>
      </w:r>
      <w:r w:rsidR="00FF3237" w:rsidRPr="000C1FEF">
        <w:t>1</w:t>
      </w:r>
      <w:r w:rsidR="000C1FEF" w:rsidRPr="000C1FEF">
        <w:t>81</w:t>
      </w:r>
      <w:r w:rsidR="00D25B92" w:rsidRPr="000C1FEF">
        <w:t xml:space="preserve"> without a landline phone). The survey was conducted by Princeton Survey Research Associates International (PSRAI). Interviews were done in English by Princ</w:t>
      </w:r>
      <w:r w:rsidRPr="000C1FEF">
        <w:t>eton Data Source</w:t>
      </w:r>
      <w:r w:rsidR="00321B89" w:rsidRPr="000C1FEF">
        <w:t xml:space="preserve"> </w:t>
      </w:r>
      <w:r w:rsidR="006F587D" w:rsidRPr="000C1FEF">
        <w:t xml:space="preserve">and Universal </w:t>
      </w:r>
      <w:r w:rsidR="00A06ADE" w:rsidRPr="000C1FEF">
        <w:t xml:space="preserve">Survey Center </w:t>
      </w:r>
      <w:r w:rsidRPr="000C1FEF">
        <w:t>from</w:t>
      </w:r>
      <w:r w:rsidR="006F587D" w:rsidRPr="000C1FEF">
        <w:t xml:space="preserve"> </w:t>
      </w:r>
      <w:r w:rsidR="00B24C1B" w:rsidRPr="000C1FEF">
        <w:t xml:space="preserve">March </w:t>
      </w:r>
      <w:r w:rsidR="006F587D" w:rsidRPr="000C1FEF">
        <w:t>22</w:t>
      </w:r>
      <w:r w:rsidR="00B24C1B" w:rsidRPr="000C1FEF">
        <w:t>-</w:t>
      </w:r>
      <w:r w:rsidR="006F587D" w:rsidRPr="000C1FEF">
        <w:t>25</w:t>
      </w:r>
      <w:r w:rsidR="00B24C1B" w:rsidRPr="000C1FEF">
        <w:t>,</w:t>
      </w:r>
      <w:r w:rsidR="00D25B92" w:rsidRPr="000C1FEF">
        <w:t xml:space="preserve"> 201</w:t>
      </w:r>
      <w:r w:rsidR="0026513D" w:rsidRPr="000C1FEF">
        <w:t>2.</w:t>
      </w:r>
      <w:r w:rsidR="00D25B92" w:rsidRPr="000C1FEF">
        <w:t xml:space="preserve"> Statistical results are weighted to correct known demographic discrepancies. The margin of sampling error for the complete set of weighted data is ±</w:t>
      </w:r>
      <w:r w:rsidR="007F4B7F" w:rsidRPr="000C1FEF">
        <w:t xml:space="preserve"> 3.</w:t>
      </w:r>
      <w:r w:rsidR="000C1FEF" w:rsidRPr="000C1FEF">
        <w:t>6</w:t>
      </w:r>
      <w:r w:rsidR="008F40BC" w:rsidRPr="000C1FEF">
        <w:t xml:space="preserve"> </w:t>
      </w:r>
      <w:r w:rsidR="00D25B92" w:rsidRPr="000C1FEF">
        <w:t>percentage points.</w:t>
      </w:r>
    </w:p>
    <w:p w:rsidR="00F81886" w:rsidRDefault="00F81886" w:rsidP="00D25B92">
      <w:pPr>
        <w:pStyle w:val="BodyofReport"/>
      </w:pPr>
    </w:p>
    <w:p w:rsidR="00F81886" w:rsidRPr="00A41B71" w:rsidRDefault="00F81886" w:rsidP="00F81886">
      <w:pPr>
        <w:pStyle w:val="Heading1"/>
        <w:rPr>
          <w:rFonts w:ascii="Times New Roman" w:hAnsi="Times New Roman"/>
          <w:caps/>
          <w:sz w:val="24"/>
        </w:rPr>
      </w:pPr>
      <w:r w:rsidRPr="00A41B71">
        <w:rPr>
          <w:rFonts w:ascii="Times New Roman" w:hAnsi="Times New Roman"/>
          <w:caps/>
          <w:sz w:val="24"/>
        </w:rPr>
        <w:t>Design AND Data Collection Procedures</w:t>
      </w:r>
    </w:p>
    <w:p w:rsidR="00F81886" w:rsidRPr="00A41B71" w:rsidRDefault="00F81886" w:rsidP="00F81886"/>
    <w:p w:rsidR="00F81886" w:rsidRPr="00A41B71" w:rsidRDefault="00F81886" w:rsidP="00F81886">
      <w:pPr>
        <w:pStyle w:val="Heading4"/>
      </w:pPr>
      <w:r w:rsidRPr="00A41B71">
        <w:t>Sample Design</w:t>
      </w:r>
    </w:p>
    <w:p w:rsidR="00F81886" w:rsidRPr="00A41B71" w:rsidRDefault="00F81886" w:rsidP="00F81886">
      <w:pPr>
        <w:rPr>
          <w:b/>
          <w:bCs/>
        </w:rPr>
      </w:pPr>
    </w:p>
    <w:p w:rsidR="00F81886" w:rsidRPr="00A41B71" w:rsidRDefault="00F81886" w:rsidP="00F81886">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F81886" w:rsidRPr="00A41B71" w:rsidRDefault="00F81886" w:rsidP="00F81886">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F81886" w:rsidRPr="00A41B71" w:rsidRDefault="00F81886" w:rsidP="00F81886">
      <w:pPr>
        <w:widowControl/>
        <w:rPr>
          <w:b/>
          <w:bCs/>
        </w:rPr>
      </w:pPr>
      <w:r w:rsidRPr="00A41B71">
        <w:br w:type="page"/>
      </w:r>
    </w:p>
    <w:p w:rsidR="00F81886" w:rsidRPr="00A41B71" w:rsidRDefault="00F81886" w:rsidP="00F81886">
      <w:pPr>
        <w:pStyle w:val="Heading4"/>
        <w:spacing w:line="480" w:lineRule="auto"/>
      </w:pPr>
      <w:r w:rsidRPr="00A41B71">
        <w:t>Contact Procedures</w:t>
      </w:r>
    </w:p>
    <w:p w:rsidR="00F81886" w:rsidRPr="00A41B71" w:rsidRDefault="00F81886" w:rsidP="00F81886">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F81886" w:rsidRPr="00A41B71" w:rsidRDefault="00F81886" w:rsidP="00F81886">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F81886" w:rsidRPr="00A41B71" w:rsidRDefault="00F81886" w:rsidP="00F81886">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F81886" w:rsidRPr="00A41B71" w:rsidRDefault="00F81886" w:rsidP="00F81886">
      <w:pPr>
        <w:pStyle w:val="Heading1"/>
        <w:rPr>
          <w:rFonts w:ascii="Times New Roman" w:hAnsi="Times New Roman"/>
          <w:caps/>
          <w:sz w:val="24"/>
        </w:rPr>
      </w:pPr>
      <w:r w:rsidRPr="00A41B71">
        <w:rPr>
          <w:rFonts w:ascii="Times New Roman" w:hAnsi="Times New Roman"/>
          <w:caps/>
          <w:sz w:val="24"/>
        </w:rPr>
        <w:t>Weighting and analysis</w:t>
      </w:r>
    </w:p>
    <w:p w:rsidR="00F81886" w:rsidRPr="00A41B71" w:rsidRDefault="00F81886" w:rsidP="00F81886"/>
    <w:p w:rsidR="00F81886" w:rsidRPr="00A41B71" w:rsidRDefault="00F81886" w:rsidP="00F81886">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F81886" w:rsidRPr="00A41B71" w:rsidRDefault="00F81886" w:rsidP="00F81886">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F81886" w:rsidRPr="00A41B71" w:rsidRDefault="00F81886" w:rsidP="00F81886">
      <w:pPr>
        <w:widowControl/>
        <w:rPr>
          <w:highlight w:val="yellow"/>
        </w:rPr>
      </w:pPr>
      <w:r w:rsidRPr="00A41B71">
        <w:rPr>
          <w:highlight w:val="yellow"/>
        </w:rPr>
        <w:br w:type="page"/>
      </w:r>
    </w:p>
    <w:p w:rsidR="00F81886" w:rsidRPr="00A41B71" w:rsidRDefault="00F81886" w:rsidP="00F81886">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F81886" w:rsidRPr="00A41B71" w:rsidRDefault="00F81886" w:rsidP="00F81886">
      <w:pPr>
        <w:pStyle w:val="BodyofReport"/>
        <w:ind w:left="171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15E48&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C15E4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F81886" w:rsidRPr="00A41B71" w:rsidRDefault="00F81886" w:rsidP="00F81886">
      <w:pPr>
        <w:pStyle w:val="BodyofReport"/>
        <w:ind w:left="1710"/>
      </w:pPr>
      <w:r>
        <w:pict>
          <v:shape id="_x0000_i1026"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C7DA9&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AC7DA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F81886" w:rsidRPr="00A41B71" w:rsidRDefault="00F81886" w:rsidP="00F81886">
      <w:pPr>
        <w:pStyle w:val="BodyofReport"/>
        <w:ind w:left="1710"/>
      </w:pPr>
      <w:r>
        <w:pict>
          <v:shape id="_x0000_i1027"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859BA&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7859B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F81886" w:rsidRPr="00A41B71" w:rsidRDefault="00F81886" w:rsidP="00F81886">
      <w:pPr>
        <w:pStyle w:val="BodyofReport"/>
      </w:pPr>
    </w:p>
    <w:p w:rsidR="00F81886" w:rsidRPr="00A41B71" w:rsidRDefault="00F81886" w:rsidP="00F81886">
      <w:pPr>
        <w:pStyle w:val="BodyofReport"/>
      </w:pPr>
      <w:r w:rsidRPr="00A41B71">
        <w:t xml:space="preserve">Where </w:t>
      </w:r>
      <w:r w:rsidRPr="00A41B71">
        <w:tab/>
        <w:t>S</w:t>
      </w:r>
      <w:r w:rsidRPr="00A41B71">
        <w:rPr>
          <w:vertAlign w:val="subscript"/>
        </w:rPr>
        <w:t>LL</w:t>
      </w:r>
      <w:r w:rsidRPr="00A41B71">
        <w:t xml:space="preserve"> = size of the landline sample</w:t>
      </w:r>
    </w:p>
    <w:p w:rsidR="00F81886" w:rsidRPr="00A41B71" w:rsidRDefault="00F81886" w:rsidP="00F81886">
      <w:pPr>
        <w:pStyle w:val="BodyofReport"/>
        <w:ind w:firstLine="1440"/>
      </w:pPr>
      <w:r w:rsidRPr="00A41B71">
        <w:t>S</w:t>
      </w:r>
      <w:r w:rsidRPr="00A41B71">
        <w:rPr>
          <w:vertAlign w:val="subscript"/>
        </w:rPr>
        <w:t>CP</w:t>
      </w:r>
      <w:r w:rsidRPr="00A41B71">
        <w:t xml:space="preserve"> = size of the cell phone sample</w:t>
      </w:r>
    </w:p>
    <w:p w:rsidR="00F81886" w:rsidRPr="00A41B71" w:rsidRDefault="00F81886" w:rsidP="00F81886">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F81886" w:rsidRPr="00A41B71" w:rsidRDefault="00F81886" w:rsidP="00F81886">
      <w:pPr>
        <w:pStyle w:val="BodyofReport"/>
        <w:ind w:firstLine="1440"/>
      </w:pPr>
      <w:r w:rsidRPr="00A41B71">
        <w:t>R = Estimated ratio of the land line sample frame to the cell phone sample frame</w:t>
      </w:r>
    </w:p>
    <w:p w:rsidR="00F81886" w:rsidRPr="00A41B71" w:rsidRDefault="00F81886" w:rsidP="00F81886">
      <w:pPr>
        <w:pStyle w:val="BodyofReport"/>
        <w:ind w:firstLine="1440"/>
      </w:pPr>
    </w:p>
    <w:p w:rsidR="00F81886" w:rsidRPr="00A41B71" w:rsidRDefault="00F81886" w:rsidP="00F81886">
      <w:pPr>
        <w:pStyle w:val="BodyofReport"/>
      </w:pPr>
      <w:r w:rsidRPr="00A41B71">
        <w:t>The equations can be simplified by plugging in the values for S</w:t>
      </w:r>
      <w:r w:rsidRPr="00A41B71">
        <w:rPr>
          <w:vertAlign w:val="subscript"/>
        </w:rPr>
        <w:t>LL</w:t>
      </w:r>
      <w:r w:rsidRPr="00A41B71">
        <w:t xml:space="preserve"> = </w:t>
      </w:r>
      <w:r>
        <w:t>600</w:t>
      </w:r>
      <w:r w:rsidRPr="00A41B71">
        <w:t xml:space="preserve"> and S</w:t>
      </w:r>
      <w:r w:rsidRPr="00A41B71">
        <w:rPr>
          <w:vertAlign w:val="subscript"/>
        </w:rPr>
        <w:t>CP</w:t>
      </w:r>
      <w:r w:rsidRPr="00A41B71">
        <w:t xml:space="preserve"> = </w:t>
      </w:r>
      <w:r>
        <w:t>400</w:t>
      </w:r>
      <w:r w:rsidRPr="00A41B71">
        <w:t>. Additionally, we will estimate of the ratio of the size of landline sample frame to the cell phone sample frame R = 0.</w:t>
      </w:r>
      <w:r>
        <w:t>66</w:t>
      </w:r>
      <w:r w:rsidRPr="00A41B71">
        <w:t>.</w:t>
      </w:r>
    </w:p>
    <w:p w:rsidR="00F81886" w:rsidRPr="00A41B71" w:rsidRDefault="00F81886" w:rsidP="00F81886">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and telephone usage. The basic weighting parameters came from a special analysis of the Census Bureau’s 201</w:t>
      </w:r>
      <w:r>
        <w:t>1</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t>January</w:t>
      </w:r>
      <w:r w:rsidRPr="00A41B71">
        <w:t>-</w:t>
      </w:r>
      <w:r>
        <w:t>June</w:t>
      </w:r>
      <w:r w:rsidRPr="00A41B71">
        <w:t xml:space="preserve"> 201</w:t>
      </w:r>
      <w:r>
        <w:t>1</w:t>
      </w:r>
      <w:r w:rsidRPr="00A41B71">
        <w:t xml:space="preserve"> National Health Interview Survey.</w:t>
      </w:r>
      <w:r w:rsidRPr="00A41B71">
        <w:rPr>
          <w:rStyle w:val="FootnoteReference"/>
        </w:rPr>
        <w:footnoteReference w:id="2"/>
      </w:r>
    </w:p>
    <w:p w:rsidR="00F81886" w:rsidRPr="00A41B71" w:rsidRDefault="00F81886" w:rsidP="00F81886">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w:t>
      </w:r>
    </w:p>
    <w:p w:rsidR="00F81886" w:rsidRDefault="00F81886" w:rsidP="00F81886">
      <w:pPr>
        <w:widowControl/>
        <w:rPr>
          <w:snapToGrid/>
          <w:highlight w:val="yellow"/>
        </w:rPr>
      </w:pPr>
      <w:r>
        <w:rPr>
          <w:snapToGrid/>
          <w:highlight w:val="yellow"/>
        </w:rPr>
        <w:br w:type="page"/>
      </w:r>
    </w:p>
    <w:tbl>
      <w:tblPr>
        <w:tblW w:w="6571" w:type="dxa"/>
        <w:jc w:val="center"/>
        <w:tblInd w:w="-162" w:type="dxa"/>
        <w:tblLook w:val="04A0"/>
      </w:tblPr>
      <w:tblGrid>
        <w:gridCol w:w="2438"/>
        <w:gridCol w:w="1465"/>
        <w:gridCol w:w="1273"/>
        <w:gridCol w:w="1395"/>
      </w:tblGrid>
      <w:tr w:rsidR="00F81886" w:rsidRPr="003E1FF9" w:rsidTr="002B2F38">
        <w:trPr>
          <w:trHeight w:val="255"/>
          <w:jc w:val="center"/>
        </w:trPr>
        <w:tc>
          <w:tcPr>
            <w:tcW w:w="3903" w:type="dxa"/>
            <w:gridSpan w:val="2"/>
            <w:tcBorders>
              <w:top w:val="nil"/>
              <w:left w:val="nil"/>
              <w:bottom w:val="nil"/>
              <w:right w:val="nil"/>
            </w:tcBorders>
            <w:shd w:val="clear" w:color="auto" w:fill="auto"/>
            <w:noWrap/>
            <w:vAlign w:val="bottom"/>
            <w:hideMark/>
          </w:tcPr>
          <w:p w:rsidR="00F81886" w:rsidRPr="003E1FF9" w:rsidRDefault="00F81886" w:rsidP="002B2F38">
            <w:pPr>
              <w:widowControl/>
              <w:rPr>
                <w:rFonts w:ascii="Arial" w:hAnsi="Arial" w:cs="Arial"/>
                <w:b/>
                <w:bCs/>
                <w:snapToGrid/>
                <w:sz w:val="20"/>
              </w:rPr>
            </w:pPr>
            <w:r w:rsidRPr="003E1FF9">
              <w:rPr>
                <w:rFonts w:ascii="Arial" w:hAnsi="Arial" w:cs="Arial"/>
                <w:b/>
                <w:bCs/>
                <w:snapToGrid/>
                <w:sz w:val="20"/>
              </w:rPr>
              <w:t>Table 1: Sample Demographics</w:t>
            </w:r>
          </w:p>
        </w:tc>
        <w:tc>
          <w:tcPr>
            <w:tcW w:w="1273" w:type="dxa"/>
            <w:tcBorders>
              <w:top w:val="nil"/>
              <w:left w:val="nil"/>
              <w:bottom w:val="nil"/>
              <w:right w:val="nil"/>
            </w:tcBorders>
            <w:shd w:val="clear" w:color="auto" w:fill="auto"/>
            <w:vAlign w:val="bottom"/>
            <w:hideMark/>
          </w:tcPr>
          <w:p w:rsidR="00F81886" w:rsidRPr="003E1FF9" w:rsidRDefault="00F81886" w:rsidP="002B2F38">
            <w:pPr>
              <w:widowControl/>
              <w:jc w:val="center"/>
              <w:rPr>
                <w:rFonts w:ascii="Arial" w:hAnsi="Arial" w:cs="Arial"/>
                <w:b/>
                <w:bCs/>
                <w:snapToGrid/>
                <w:sz w:val="20"/>
              </w:rPr>
            </w:pPr>
          </w:p>
        </w:tc>
        <w:tc>
          <w:tcPr>
            <w:tcW w:w="1395" w:type="dxa"/>
            <w:tcBorders>
              <w:top w:val="nil"/>
              <w:left w:val="nil"/>
              <w:bottom w:val="nil"/>
              <w:right w:val="nil"/>
            </w:tcBorders>
            <w:shd w:val="clear" w:color="auto" w:fill="auto"/>
            <w:vAlign w:val="bottom"/>
            <w:hideMark/>
          </w:tcPr>
          <w:p w:rsidR="00F81886" w:rsidRPr="003E1FF9" w:rsidRDefault="00F81886" w:rsidP="002B2F38">
            <w:pPr>
              <w:widowControl/>
              <w:jc w:val="right"/>
              <w:rPr>
                <w:rFonts w:ascii="Arial" w:hAnsi="Arial" w:cs="Arial"/>
                <w:b/>
                <w:bCs/>
                <w:snapToGrid/>
                <w:sz w:val="20"/>
              </w:rPr>
            </w:pPr>
          </w:p>
        </w:tc>
      </w:tr>
      <w:tr w:rsidR="00F81886" w:rsidRPr="003E1FF9" w:rsidTr="002B2F38">
        <w:trPr>
          <w:trHeight w:val="255"/>
          <w:jc w:val="center"/>
        </w:trPr>
        <w:tc>
          <w:tcPr>
            <w:tcW w:w="3903" w:type="dxa"/>
            <w:gridSpan w:val="2"/>
            <w:tcBorders>
              <w:top w:val="single" w:sz="4" w:space="0" w:color="auto"/>
              <w:left w:val="nil"/>
              <w:bottom w:val="single" w:sz="4" w:space="0" w:color="auto"/>
              <w:right w:val="nil"/>
            </w:tcBorders>
            <w:shd w:val="clear" w:color="auto" w:fill="auto"/>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2011 Parameter</w:t>
            </w:r>
          </w:p>
        </w:tc>
        <w:tc>
          <w:tcPr>
            <w:tcW w:w="1273" w:type="dxa"/>
            <w:tcBorders>
              <w:top w:val="single" w:sz="4" w:space="0" w:color="auto"/>
              <w:left w:val="nil"/>
              <w:bottom w:val="single" w:sz="4" w:space="0" w:color="auto"/>
              <w:right w:val="nil"/>
            </w:tcBorders>
            <w:shd w:val="clear" w:color="auto" w:fill="auto"/>
            <w:vAlign w:val="bottom"/>
            <w:hideMark/>
          </w:tcPr>
          <w:p w:rsidR="00F81886" w:rsidRPr="003E1FF9" w:rsidRDefault="00F81886" w:rsidP="002B2F38">
            <w:pPr>
              <w:widowControl/>
              <w:jc w:val="center"/>
              <w:rPr>
                <w:rFonts w:ascii="Arial" w:hAnsi="Arial" w:cs="Arial"/>
                <w:snapToGrid/>
                <w:sz w:val="20"/>
              </w:rPr>
            </w:pPr>
          </w:p>
        </w:tc>
        <w:tc>
          <w:tcPr>
            <w:tcW w:w="1395" w:type="dxa"/>
            <w:tcBorders>
              <w:top w:val="single" w:sz="4" w:space="0" w:color="auto"/>
              <w:left w:val="nil"/>
              <w:bottom w:val="single" w:sz="4" w:space="0" w:color="auto"/>
              <w:right w:val="nil"/>
            </w:tcBorders>
            <w:shd w:val="clear" w:color="auto" w:fill="auto"/>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vAlign w:val="bottom"/>
            <w:hideMark/>
          </w:tcPr>
          <w:p w:rsidR="00F81886" w:rsidRPr="003E1FF9" w:rsidRDefault="00F81886" w:rsidP="002B2F38">
            <w:pPr>
              <w:widowControl/>
              <w:jc w:val="right"/>
              <w:rPr>
                <w:rFonts w:ascii="Arial" w:hAnsi="Arial" w:cs="Arial"/>
                <w:snapToGrid/>
                <w:sz w:val="20"/>
                <w:u w:val="single"/>
              </w:rPr>
            </w:pPr>
            <w:r w:rsidRPr="003E1FF9">
              <w:rPr>
                <w:rFonts w:ascii="Arial" w:hAnsi="Arial" w:cs="Arial"/>
                <w:snapToGrid/>
                <w:sz w:val="20"/>
                <w:u w:val="single"/>
              </w:rPr>
              <w:t>Gender</w:t>
            </w:r>
          </w:p>
        </w:tc>
        <w:tc>
          <w:tcPr>
            <w:tcW w:w="1465" w:type="dxa"/>
            <w:tcBorders>
              <w:top w:val="nil"/>
              <w:left w:val="nil"/>
              <w:bottom w:val="nil"/>
              <w:right w:val="nil"/>
            </w:tcBorders>
            <w:shd w:val="clear" w:color="auto" w:fill="auto"/>
            <w:vAlign w:val="bottom"/>
            <w:hideMark/>
          </w:tcPr>
          <w:p w:rsidR="00F81886" w:rsidRPr="003E1FF9" w:rsidRDefault="00F81886" w:rsidP="002B2F38">
            <w:pPr>
              <w:widowControl/>
              <w:jc w:val="center"/>
              <w:rPr>
                <w:rFonts w:ascii="Arial" w:hAnsi="Arial" w:cs="Arial"/>
                <w:b/>
                <w:bCs/>
                <w:snapToGrid/>
                <w:sz w:val="20"/>
              </w:rPr>
            </w:pPr>
          </w:p>
        </w:tc>
        <w:tc>
          <w:tcPr>
            <w:tcW w:w="1273" w:type="dxa"/>
            <w:tcBorders>
              <w:top w:val="nil"/>
              <w:left w:val="nil"/>
              <w:bottom w:val="nil"/>
              <w:right w:val="nil"/>
            </w:tcBorders>
            <w:shd w:val="clear" w:color="auto" w:fill="auto"/>
            <w:vAlign w:val="bottom"/>
            <w:hideMark/>
          </w:tcPr>
          <w:p w:rsidR="00F81886" w:rsidRPr="003E1FF9" w:rsidRDefault="00F81886" w:rsidP="002B2F38">
            <w:pPr>
              <w:widowControl/>
              <w:jc w:val="center"/>
              <w:rPr>
                <w:rFonts w:ascii="Arial" w:hAnsi="Arial" w:cs="Arial"/>
                <w:b/>
                <w:bCs/>
                <w:snapToGrid/>
                <w:sz w:val="20"/>
              </w:rPr>
            </w:pPr>
          </w:p>
        </w:tc>
        <w:tc>
          <w:tcPr>
            <w:tcW w:w="1395" w:type="dxa"/>
            <w:tcBorders>
              <w:top w:val="nil"/>
              <w:left w:val="nil"/>
              <w:bottom w:val="nil"/>
              <w:right w:val="nil"/>
            </w:tcBorders>
            <w:shd w:val="clear" w:color="auto" w:fill="auto"/>
            <w:vAlign w:val="bottom"/>
            <w:hideMark/>
          </w:tcPr>
          <w:p w:rsidR="00F81886" w:rsidRPr="003E1FF9" w:rsidRDefault="00F81886" w:rsidP="002B2F38">
            <w:pPr>
              <w:widowControl/>
              <w:jc w:val="right"/>
              <w:rPr>
                <w:rFonts w:ascii="Arial" w:hAnsi="Arial" w:cs="Arial"/>
                <w:b/>
                <w:bCs/>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Male</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48.6</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Female</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51.4</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u w:val="single"/>
              </w:rPr>
            </w:pPr>
            <w:r w:rsidRPr="003E1FF9">
              <w:rPr>
                <w:rFonts w:ascii="Arial" w:hAnsi="Arial" w:cs="Arial"/>
                <w:snapToGrid/>
                <w:sz w:val="20"/>
                <w:u w:val="single"/>
              </w:rPr>
              <w:t>Age</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18-24</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12.8</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25-34</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18.0</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35-44</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17.2</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45-54</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19.0</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55-64</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16.0</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65+</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17.0</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u w:val="single"/>
              </w:rPr>
            </w:pPr>
            <w:r w:rsidRPr="003E1FF9">
              <w:rPr>
                <w:rFonts w:ascii="Arial" w:hAnsi="Arial" w:cs="Arial"/>
                <w:snapToGrid/>
                <w:sz w:val="20"/>
                <w:u w:val="single"/>
              </w:rPr>
              <w:t>Education</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Less than HS Graduate</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13.3</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HS Graduate</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34.4</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Some College</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24.5</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College Graduate</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27.8</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u w:val="single"/>
              </w:rPr>
            </w:pPr>
            <w:r w:rsidRPr="003E1FF9">
              <w:rPr>
                <w:rFonts w:ascii="Arial" w:hAnsi="Arial" w:cs="Arial"/>
                <w:snapToGrid/>
                <w:sz w:val="20"/>
                <w:u w:val="single"/>
              </w:rPr>
              <w:t>Race/Ethnicity</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White/not Hispanic</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68.0</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Black/not Hispanic</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11.6</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Hispanic</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14.1</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Other/not Hispanic</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6.3</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u w:val="single"/>
              </w:rPr>
            </w:pPr>
            <w:r w:rsidRPr="003E1FF9">
              <w:rPr>
                <w:rFonts w:ascii="Arial" w:hAnsi="Arial" w:cs="Arial"/>
                <w:snapToGrid/>
                <w:sz w:val="20"/>
                <w:u w:val="single"/>
              </w:rPr>
              <w:t>Region</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Northeast</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18.5</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Midwest</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21.8</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South</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37.0</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West</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22.7</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u w:val="single"/>
              </w:rPr>
            </w:pPr>
            <w:r w:rsidRPr="003E1FF9">
              <w:rPr>
                <w:rFonts w:ascii="Arial" w:hAnsi="Arial" w:cs="Arial"/>
                <w:snapToGrid/>
                <w:sz w:val="20"/>
                <w:u w:val="single"/>
              </w:rPr>
              <w:t>County Pop. Density</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1 - Lowest</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20.1</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2</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20.0</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3</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20.1</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4</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20.2</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5 - Highest</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19.6</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u w:val="single"/>
              </w:rPr>
            </w:pPr>
            <w:r w:rsidRPr="003E1FF9">
              <w:rPr>
                <w:rFonts w:ascii="Arial" w:hAnsi="Arial" w:cs="Arial"/>
                <w:snapToGrid/>
                <w:sz w:val="20"/>
                <w:u w:val="single"/>
              </w:rPr>
              <w:t>Household Phone Use</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LLO</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7.6</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Dual</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59.4</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CPO</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33.0</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u w:val="single"/>
              </w:rPr>
            </w:pPr>
            <w:r w:rsidRPr="003E1FF9">
              <w:rPr>
                <w:rFonts w:ascii="Arial" w:hAnsi="Arial" w:cs="Arial"/>
                <w:snapToGrid/>
                <w:sz w:val="20"/>
                <w:u w:val="single"/>
              </w:rPr>
              <w:t># of adults in HH</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One</w:t>
            </w:r>
          </w:p>
        </w:tc>
        <w:tc>
          <w:tcPr>
            <w:tcW w:w="146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17.0</w:t>
            </w:r>
          </w:p>
        </w:tc>
        <w:tc>
          <w:tcPr>
            <w:tcW w:w="1273"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Two</w:t>
            </w:r>
          </w:p>
        </w:tc>
        <w:tc>
          <w:tcPr>
            <w:tcW w:w="1465" w:type="dxa"/>
            <w:tcBorders>
              <w:top w:val="nil"/>
              <w:left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52.9</w:t>
            </w:r>
          </w:p>
        </w:tc>
        <w:tc>
          <w:tcPr>
            <w:tcW w:w="1273" w:type="dxa"/>
            <w:tcBorders>
              <w:top w:val="nil"/>
              <w:left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r w:rsidR="00F81886" w:rsidRPr="003E1FF9" w:rsidTr="002B2F38">
        <w:trPr>
          <w:trHeight w:val="255"/>
          <w:jc w:val="center"/>
        </w:trPr>
        <w:tc>
          <w:tcPr>
            <w:tcW w:w="2438" w:type="dxa"/>
            <w:tcBorders>
              <w:top w:val="nil"/>
              <w:left w:val="nil"/>
              <w:bottom w:val="single" w:sz="4" w:space="0" w:color="auto"/>
              <w:right w:val="nil"/>
            </w:tcBorders>
            <w:shd w:val="clear" w:color="auto" w:fill="auto"/>
            <w:noWrap/>
            <w:vAlign w:val="bottom"/>
            <w:hideMark/>
          </w:tcPr>
          <w:p w:rsidR="00F81886" w:rsidRPr="003E1FF9" w:rsidRDefault="00F81886" w:rsidP="002B2F38">
            <w:pPr>
              <w:widowControl/>
              <w:jc w:val="right"/>
              <w:rPr>
                <w:rFonts w:ascii="Arial" w:hAnsi="Arial" w:cs="Arial"/>
                <w:snapToGrid/>
                <w:sz w:val="20"/>
              </w:rPr>
            </w:pPr>
            <w:r w:rsidRPr="003E1FF9">
              <w:rPr>
                <w:rFonts w:ascii="Arial" w:hAnsi="Arial" w:cs="Arial"/>
                <w:snapToGrid/>
                <w:sz w:val="20"/>
              </w:rPr>
              <w:t>Three +</w:t>
            </w:r>
          </w:p>
        </w:tc>
        <w:tc>
          <w:tcPr>
            <w:tcW w:w="1465" w:type="dxa"/>
            <w:tcBorders>
              <w:top w:val="nil"/>
              <w:left w:val="nil"/>
              <w:bottom w:val="single" w:sz="4" w:space="0" w:color="auto"/>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r w:rsidRPr="003E1FF9">
              <w:rPr>
                <w:rFonts w:ascii="Arial" w:hAnsi="Arial" w:cs="Arial"/>
                <w:snapToGrid/>
                <w:sz w:val="20"/>
              </w:rPr>
              <w:t>30.1</w:t>
            </w:r>
          </w:p>
        </w:tc>
        <w:tc>
          <w:tcPr>
            <w:tcW w:w="1273" w:type="dxa"/>
            <w:tcBorders>
              <w:top w:val="nil"/>
              <w:left w:val="nil"/>
              <w:bottom w:val="single" w:sz="4" w:space="0" w:color="auto"/>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c>
          <w:tcPr>
            <w:tcW w:w="1395" w:type="dxa"/>
            <w:tcBorders>
              <w:top w:val="nil"/>
              <w:left w:val="nil"/>
              <w:bottom w:val="single" w:sz="4" w:space="0" w:color="auto"/>
              <w:right w:val="nil"/>
            </w:tcBorders>
            <w:shd w:val="clear" w:color="auto" w:fill="auto"/>
            <w:noWrap/>
            <w:vAlign w:val="bottom"/>
            <w:hideMark/>
          </w:tcPr>
          <w:p w:rsidR="00F81886" w:rsidRPr="003E1FF9" w:rsidRDefault="00F81886" w:rsidP="002B2F38">
            <w:pPr>
              <w:widowControl/>
              <w:jc w:val="center"/>
              <w:rPr>
                <w:rFonts w:ascii="Arial" w:hAnsi="Arial" w:cs="Arial"/>
                <w:snapToGrid/>
                <w:sz w:val="20"/>
              </w:rPr>
            </w:pPr>
          </w:p>
        </w:tc>
      </w:tr>
    </w:tbl>
    <w:p w:rsidR="00F81886" w:rsidRPr="00A41B71" w:rsidRDefault="00F81886" w:rsidP="00F81886">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F81886" w:rsidRPr="00A41B71" w:rsidRDefault="00F81886" w:rsidP="00F81886">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design and systematic non-response. </w:t>
      </w:r>
    </w:p>
    <w:p w:rsidR="00F81886" w:rsidRPr="00A41B71" w:rsidRDefault="00F81886" w:rsidP="00F81886">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F81886" w:rsidRPr="00A41B71" w:rsidRDefault="00F81886" w:rsidP="00F81886">
      <w:pPr>
        <w:jc w:val="center"/>
      </w:pPr>
      <w:r w:rsidRPr="005A6D09">
        <w:rPr>
          <w:noProof/>
          <w:sz w:val="20"/>
        </w:rPr>
        <w:pict>
          <v:shape id="_x0000_s1026" type="#_x0000_t75" style="position:absolute;left:0;text-align:left;margin-left:187.9pt;margin-top:.1pt;width:91.8pt;height:70.7pt;z-index:251658240" fillcolor="window">
            <v:imagedata r:id="rId11" o:title=""/>
            <w10:wrap type="square"/>
          </v:shape>
          <o:OLEObject Type="Embed" ProgID="Equation.3" ShapeID="_x0000_s1026" DrawAspect="Content" ObjectID="_1403353154" r:id="rId12"/>
        </w:pict>
      </w:r>
    </w:p>
    <w:p w:rsidR="00F81886" w:rsidRPr="00A41B71" w:rsidRDefault="00F81886" w:rsidP="00F81886">
      <w:pPr>
        <w:pStyle w:val="BodyofReport"/>
        <w:rPr>
          <w:highlight w:val="yellow"/>
        </w:rPr>
      </w:pPr>
      <w:r w:rsidRPr="005A6D09">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58240" stroked="f">
            <v:textbox>
              <w:txbxContent>
                <w:p w:rsidR="00F81886" w:rsidRDefault="00F81886" w:rsidP="00F81886">
                  <w:pPr>
                    <w:rPr>
                      <w:i/>
                      <w:iCs/>
                    </w:rPr>
                  </w:pPr>
                  <w:proofErr w:type="gramStart"/>
                  <w:r>
                    <w:rPr>
                      <w:i/>
                      <w:iCs/>
                    </w:rPr>
                    <w:t>formula</w:t>
                  </w:r>
                  <w:proofErr w:type="gramEnd"/>
                  <w:r>
                    <w:rPr>
                      <w:i/>
                      <w:iCs/>
                    </w:rPr>
                    <w:t xml:space="preserve"> 1</w:t>
                  </w:r>
                </w:p>
              </w:txbxContent>
            </v:textbox>
            <w10:wrap type="topAndBottom"/>
          </v:shape>
        </w:pict>
      </w:r>
    </w:p>
    <w:p w:rsidR="00F81886" w:rsidRPr="00A41B71" w:rsidRDefault="00F81886" w:rsidP="00F81886">
      <w:pPr>
        <w:pStyle w:val="BodyofReport"/>
        <w:rPr>
          <w:highlight w:val="yellow"/>
        </w:rPr>
      </w:pPr>
    </w:p>
    <w:p w:rsidR="00F81886" w:rsidRPr="00A41B71" w:rsidRDefault="00F81886" w:rsidP="00F81886">
      <w:pPr>
        <w:pStyle w:val="BodyofReport"/>
        <w:rPr>
          <w:highlight w:val="yellow"/>
        </w:rPr>
      </w:pPr>
    </w:p>
    <w:p w:rsidR="00F81886" w:rsidRPr="00A41B71" w:rsidRDefault="00F81886" w:rsidP="00F81886">
      <w:pPr>
        <w:pStyle w:val="BodyofReport"/>
        <w:rPr>
          <w:highlight w:val="yellow"/>
        </w:rPr>
      </w:pPr>
    </w:p>
    <w:p w:rsidR="00F81886" w:rsidRPr="00A41B71" w:rsidRDefault="00F81886" w:rsidP="00F81886">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F81886" w:rsidRPr="00A41B71" w:rsidRDefault="00F81886" w:rsidP="00F81886">
      <w:pPr>
        <w:keepNext/>
        <w:rPr>
          <w:highlight w:val="yellow"/>
        </w:rPr>
      </w:pPr>
      <w:r w:rsidRPr="005A6D09">
        <w:rPr>
          <w:noProof/>
          <w:sz w:val="20"/>
          <w:highlight w:val="yellow"/>
        </w:rPr>
        <w:pict>
          <v:shape id="_x0000_s1028" type="#_x0000_t75" style="position:absolute;margin-left:156.7pt;margin-top:13.85pt;width:149.3pt;height:40.3pt;z-index:251658240" fillcolor="window">
            <v:imagedata r:id="rId13" o:title=""/>
            <w10:wrap type="square"/>
          </v:shape>
          <o:OLEObject Type="Embed" ProgID="Equation.3" ShapeID="_x0000_s1028" DrawAspect="Content" ObjectID="_1403353155" r:id="rId14"/>
        </w:pict>
      </w:r>
    </w:p>
    <w:p w:rsidR="00F81886" w:rsidRPr="00A41B71" w:rsidRDefault="00F81886" w:rsidP="00F81886">
      <w:pPr>
        <w:keepNext/>
        <w:ind w:firstLine="720"/>
        <w:jc w:val="center"/>
        <w:rPr>
          <w:highlight w:val="yellow"/>
        </w:rPr>
      </w:pPr>
      <w:r w:rsidRPr="005A6D09">
        <w:rPr>
          <w:noProof/>
          <w:sz w:val="20"/>
          <w:highlight w:val="yellow"/>
        </w:rPr>
        <w:pict>
          <v:shape id="_x0000_s1029" type="#_x0000_t202" style="position:absolute;left:0;text-align:left;margin-left:361.45pt;margin-top:4.3pt;width:76pt;height:26.4pt;z-index:251658240" stroked="f">
            <v:textbox>
              <w:txbxContent>
                <w:p w:rsidR="00F81886" w:rsidRDefault="00F81886" w:rsidP="00F81886">
                  <w:pPr>
                    <w:rPr>
                      <w:i/>
                      <w:iCs/>
                    </w:rPr>
                  </w:pPr>
                  <w:proofErr w:type="gramStart"/>
                  <w:r>
                    <w:rPr>
                      <w:i/>
                      <w:iCs/>
                    </w:rPr>
                    <w:t>formula</w:t>
                  </w:r>
                  <w:proofErr w:type="gramEnd"/>
                  <w:r>
                    <w:rPr>
                      <w:i/>
                      <w:iCs/>
                    </w:rPr>
                    <w:t xml:space="preserve"> 2</w:t>
                  </w:r>
                </w:p>
              </w:txbxContent>
            </v:textbox>
            <w10:wrap type="topAndBottom"/>
          </v:shape>
        </w:pict>
      </w:r>
    </w:p>
    <w:p w:rsidR="00F81886" w:rsidRPr="00A41B71" w:rsidRDefault="00F81886" w:rsidP="00F81886">
      <w:pPr>
        <w:pStyle w:val="BodyofReport"/>
        <w:ind w:firstLine="0"/>
        <w:rPr>
          <w:highlight w:val="yellow"/>
        </w:rPr>
      </w:pPr>
    </w:p>
    <w:p w:rsidR="00F81886" w:rsidRPr="00A41B71" w:rsidRDefault="00F81886" w:rsidP="00F81886">
      <w:pPr>
        <w:pStyle w:val="BodyofReport"/>
        <w:ind w:firstLine="0"/>
        <w:rPr>
          <w:highlight w:val="yellow"/>
        </w:rPr>
      </w:pPr>
    </w:p>
    <w:p w:rsidR="00F81886" w:rsidRPr="00A41B71" w:rsidRDefault="00F81886" w:rsidP="00F81886">
      <w:pPr>
        <w:pStyle w:val="BodyofReport"/>
        <w:ind w:firstLine="0"/>
      </w:pPr>
      <w:proofErr w:type="gramStart"/>
      <w:r w:rsidRPr="00A41B71">
        <w:t>where</w:t>
      </w:r>
      <w:proofErr w:type="gramEnd"/>
      <w:r w:rsidRPr="00A41B71">
        <w:t xml:space="preserve"> </w:t>
      </w:r>
      <w:r w:rsidRPr="00A41B71">
        <w:rPr>
          <w:position w:val="-10"/>
        </w:rPr>
        <w:object w:dxaOrig="240" w:dyaOrig="320">
          <v:shape id="_x0000_i1028" type="#_x0000_t75" style="width:12.25pt;height:15.6pt" o:ole="" fillcolor="window">
            <v:imagedata r:id="rId15" o:title=""/>
          </v:shape>
          <o:OLEObject Type="Embed" ProgID="Equation.3" ShapeID="_x0000_i1028" DrawAspect="Content" ObjectID="_1403353153"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F81886" w:rsidRPr="00A41B71" w:rsidRDefault="00F81886" w:rsidP="00F81886">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F81886" w:rsidRPr="00A41B71" w:rsidRDefault="00F81886" w:rsidP="00F81886">
      <w:pPr>
        <w:pStyle w:val="BodyofReport"/>
        <w:ind w:firstLine="0"/>
        <w:rPr>
          <w:highlight w:val="yellow"/>
        </w:rPr>
      </w:pPr>
    </w:p>
    <w:p w:rsidR="00F81886" w:rsidRPr="00A41B71" w:rsidRDefault="00F81886" w:rsidP="00F81886">
      <w:pPr>
        <w:widowControl/>
        <w:rPr>
          <w:b/>
          <w:caps/>
          <w:kern w:val="28"/>
          <w:highlight w:val="yellow"/>
        </w:rPr>
      </w:pPr>
    </w:p>
    <w:p w:rsidR="00F81886" w:rsidRPr="00A41B71" w:rsidRDefault="00F81886" w:rsidP="00F81886">
      <w:pPr>
        <w:pStyle w:val="BodyofReport"/>
      </w:pPr>
    </w:p>
    <w:p w:rsidR="00F81886" w:rsidRPr="00A41B71" w:rsidRDefault="00F81886" w:rsidP="00D25B92">
      <w:pPr>
        <w:pStyle w:val="BodyofReport"/>
      </w:pPr>
    </w:p>
    <w:sectPr w:rsidR="00F81886"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D5EC2" w:rsidRDefault="004D5EC2">
      <w:r>
        <w:separator/>
      </w:r>
    </w:p>
  </w:endnote>
  <w:endnote w:type="continuationSeparator" w:id="0">
    <w:p w:rsidR="004D5EC2" w:rsidRDefault="004D5EC2">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3ECE" w:rsidRDefault="00143EC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43ECE" w:rsidRDefault="00143ECE">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3ECE" w:rsidRDefault="00143EC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81886">
      <w:rPr>
        <w:rStyle w:val="PageNumber"/>
        <w:noProof/>
      </w:rPr>
      <w:t>5</w:t>
    </w:r>
    <w:r>
      <w:rPr>
        <w:rStyle w:val="PageNumber"/>
      </w:rPr>
      <w:fldChar w:fldCharType="end"/>
    </w:r>
  </w:p>
  <w:p w:rsidR="00143ECE" w:rsidRDefault="00143ECE">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D5EC2" w:rsidRDefault="004D5EC2">
      <w:r>
        <w:separator/>
      </w:r>
    </w:p>
  </w:footnote>
  <w:footnote w:type="continuationSeparator" w:id="0">
    <w:p w:rsidR="004D5EC2" w:rsidRDefault="004D5EC2">
      <w:r>
        <w:continuationSeparator/>
      </w:r>
    </w:p>
  </w:footnote>
  <w:footnote w:id="1">
    <w:p w:rsidR="00F81886" w:rsidRDefault="00F81886" w:rsidP="00F81886">
      <w:pPr>
        <w:pStyle w:val="FootnoteText"/>
      </w:pPr>
      <w:r>
        <w:rPr>
          <w:rStyle w:val="FootnoteReference"/>
        </w:rPr>
        <w:footnoteRef/>
      </w:r>
      <w:r>
        <w:t xml:space="preserve"> i.e., whether respondents have only a landline telephone, only a cell phone, or both kinds of telephone.</w:t>
      </w:r>
    </w:p>
    <w:p w:rsidR="00F81886" w:rsidRDefault="00F81886" w:rsidP="00F81886">
      <w:pPr>
        <w:pStyle w:val="FootnoteText"/>
      </w:pPr>
    </w:p>
  </w:footnote>
  <w:footnote w:id="2">
    <w:p w:rsidR="00F81886" w:rsidRDefault="00F81886" w:rsidP="00F81886">
      <w:pPr>
        <w:pStyle w:val="FootnoteText"/>
      </w:pPr>
      <w:r>
        <w:rPr>
          <w:rStyle w:val="FootnoteReference"/>
        </w:rPr>
        <w:footnoteRef/>
      </w:r>
      <w:r>
        <w:t xml:space="preserve"> </w:t>
      </w:r>
      <w:r>
        <w:t>Blumberg SJ, Luke JV. Wireless substitution: Early release of estimates from the National Health Interview Survey, January-June, 2011. National Center for Health Statistics. Dec.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412A2"/>
    <w:rsid w:val="00044D12"/>
    <w:rsid w:val="00044DFC"/>
    <w:rsid w:val="00056770"/>
    <w:rsid w:val="00057BF3"/>
    <w:rsid w:val="000629BE"/>
    <w:rsid w:val="00070454"/>
    <w:rsid w:val="00070E07"/>
    <w:rsid w:val="00083D69"/>
    <w:rsid w:val="00090193"/>
    <w:rsid w:val="00093439"/>
    <w:rsid w:val="000B6883"/>
    <w:rsid w:val="000C1FEF"/>
    <w:rsid w:val="000C28AF"/>
    <w:rsid w:val="000C34F7"/>
    <w:rsid w:val="000C4CFF"/>
    <w:rsid w:val="000C4E36"/>
    <w:rsid w:val="000D7392"/>
    <w:rsid w:val="000E02FF"/>
    <w:rsid w:val="000F198F"/>
    <w:rsid w:val="000F6120"/>
    <w:rsid w:val="000F7DEE"/>
    <w:rsid w:val="00111706"/>
    <w:rsid w:val="001231E3"/>
    <w:rsid w:val="00130280"/>
    <w:rsid w:val="00131799"/>
    <w:rsid w:val="001362BA"/>
    <w:rsid w:val="00143ECE"/>
    <w:rsid w:val="001463B9"/>
    <w:rsid w:val="001527D9"/>
    <w:rsid w:val="00157883"/>
    <w:rsid w:val="00163173"/>
    <w:rsid w:val="00190979"/>
    <w:rsid w:val="00191961"/>
    <w:rsid w:val="00192741"/>
    <w:rsid w:val="001A672F"/>
    <w:rsid w:val="001B1B36"/>
    <w:rsid w:val="001B3E1B"/>
    <w:rsid w:val="001B71BB"/>
    <w:rsid w:val="001C31FE"/>
    <w:rsid w:val="001C5024"/>
    <w:rsid w:val="001C5067"/>
    <w:rsid w:val="001C71AB"/>
    <w:rsid w:val="001D2280"/>
    <w:rsid w:val="001E0D82"/>
    <w:rsid w:val="001E4EF6"/>
    <w:rsid w:val="001E6B63"/>
    <w:rsid w:val="001E749A"/>
    <w:rsid w:val="001F0B0B"/>
    <w:rsid w:val="001F3A26"/>
    <w:rsid w:val="00211B95"/>
    <w:rsid w:val="00216E22"/>
    <w:rsid w:val="00220A73"/>
    <w:rsid w:val="00225B39"/>
    <w:rsid w:val="00235E22"/>
    <w:rsid w:val="00237DDA"/>
    <w:rsid w:val="00257E51"/>
    <w:rsid w:val="0026323F"/>
    <w:rsid w:val="0026513D"/>
    <w:rsid w:val="00265327"/>
    <w:rsid w:val="0027751D"/>
    <w:rsid w:val="00283341"/>
    <w:rsid w:val="00292068"/>
    <w:rsid w:val="00293555"/>
    <w:rsid w:val="002A1A87"/>
    <w:rsid w:val="002A29A7"/>
    <w:rsid w:val="002A47C6"/>
    <w:rsid w:val="002A65D6"/>
    <w:rsid w:val="002A7A70"/>
    <w:rsid w:val="002B0288"/>
    <w:rsid w:val="002C1662"/>
    <w:rsid w:val="002C20DA"/>
    <w:rsid w:val="002D404E"/>
    <w:rsid w:val="002E0692"/>
    <w:rsid w:val="002E502D"/>
    <w:rsid w:val="002F4622"/>
    <w:rsid w:val="002F722A"/>
    <w:rsid w:val="00310C09"/>
    <w:rsid w:val="00315D37"/>
    <w:rsid w:val="00317B28"/>
    <w:rsid w:val="00321B89"/>
    <w:rsid w:val="00323D7B"/>
    <w:rsid w:val="00330292"/>
    <w:rsid w:val="0034573F"/>
    <w:rsid w:val="00345804"/>
    <w:rsid w:val="003505FC"/>
    <w:rsid w:val="003722A1"/>
    <w:rsid w:val="00373AE8"/>
    <w:rsid w:val="003746D9"/>
    <w:rsid w:val="003858B4"/>
    <w:rsid w:val="00394F9F"/>
    <w:rsid w:val="00397AF5"/>
    <w:rsid w:val="003A5D4F"/>
    <w:rsid w:val="003A68C0"/>
    <w:rsid w:val="003C4A0C"/>
    <w:rsid w:val="003D0D05"/>
    <w:rsid w:val="003D1A70"/>
    <w:rsid w:val="003D4CBC"/>
    <w:rsid w:val="003D549E"/>
    <w:rsid w:val="003E0546"/>
    <w:rsid w:val="003F0A20"/>
    <w:rsid w:val="003F25B3"/>
    <w:rsid w:val="00403581"/>
    <w:rsid w:val="00410ED0"/>
    <w:rsid w:val="00411CA2"/>
    <w:rsid w:val="00412B7C"/>
    <w:rsid w:val="00420D06"/>
    <w:rsid w:val="00433DD0"/>
    <w:rsid w:val="004355FC"/>
    <w:rsid w:val="00456E5B"/>
    <w:rsid w:val="00457C71"/>
    <w:rsid w:val="0046253A"/>
    <w:rsid w:val="00472367"/>
    <w:rsid w:val="00482FE7"/>
    <w:rsid w:val="00490CF4"/>
    <w:rsid w:val="004A14C9"/>
    <w:rsid w:val="004B14C2"/>
    <w:rsid w:val="004B2CBA"/>
    <w:rsid w:val="004B3F0B"/>
    <w:rsid w:val="004D0ADC"/>
    <w:rsid w:val="004D1E08"/>
    <w:rsid w:val="004D59F8"/>
    <w:rsid w:val="004D5EC2"/>
    <w:rsid w:val="004E2034"/>
    <w:rsid w:val="004E2AA4"/>
    <w:rsid w:val="004E49E3"/>
    <w:rsid w:val="004F5EBA"/>
    <w:rsid w:val="005007A5"/>
    <w:rsid w:val="005022A4"/>
    <w:rsid w:val="00506C34"/>
    <w:rsid w:val="00510501"/>
    <w:rsid w:val="00515EF8"/>
    <w:rsid w:val="00521245"/>
    <w:rsid w:val="005219D3"/>
    <w:rsid w:val="00524448"/>
    <w:rsid w:val="00551108"/>
    <w:rsid w:val="00554C42"/>
    <w:rsid w:val="00556B8F"/>
    <w:rsid w:val="00564385"/>
    <w:rsid w:val="0057363B"/>
    <w:rsid w:val="00583E4B"/>
    <w:rsid w:val="00590C09"/>
    <w:rsid w:val="00591E81"/>
    <w:rsid w:val="00596462"/>
    <w:rsid w:val="005A3A8D"/>
    <w:rsid w:val="005B3131"/>
    <w:rsid w:val="005B5160"/>
    <w:rsid w:val="005B7CFB"/>
    <w:rsid w:val="005D434D"/>
    <w:rsid w:val="005E053D"/>
    <w:rsid w:val="0060289D"/>
    <w:rsid w:val="00606D26"/>
    <w:rsid w:val="00610F8D"/>
    <w:rsid w:val="00612E12"/>
    <w:rsid w:val="0061555E"/>
    <w:rsid w:val="00617D7D"/>
    <w:rsid w:val="00621ACB"/>
    <w:rsid w:val="00623788"/>
    <w:rsid w:val="0062404E"/>
    <w:rsid w:val="00631383"/>
    <w:rsid w:val="0063458C"/>
    <w:rsid w:val="0063530C"/>
    <w:rsid w:val="00635942"/>
    <w:rsid w:val="00637B08"/>
    <w:rsid w:val="00637EBD"/>
    <w:rsid w:val="00644E19"/>
    <w:rsid w:val="006510CC"/>
    <w:rsid w:val="00651ABF"/>
    <w:rsid w:val="00655F47"/>
    <w:rsid w:val="006565F0"/>
    <w:rsid w:val="006574D9"/>
    <w:rsid w:val="006619BB"/>
    <w:rsid w:val="00663462"/>
    <w:rsid w:val="0066695C"/>
    <w:rsid w:val="00670382"/>
    <w:rsid w:val="00675DD6"/>
    <w:rsid w:val="006806AB"/>
    <w:rsid w:val="00685614"/>
    <w:rsid w:val="006856F9"/>
    <w:rsid w:val="00686D59"/>
    <w:rsid w:val="00693612"/>
    <w:rsid w:val="00696461"/>
    <w:rsid w:val="006A0F4C"/>
    <w:rsid w:val="006A2BB5"/>
    <w:rsid w:val="006A4A3E"/>
    <w:rsid w:val="006A5276"/>
    <w:rsid w:val="006B16F6"/>
    <w:rsid w:val="006C2CB5"/>
    <w:rsid w:val="006D0D3B"/>
    <w:rsid w:val="006D55E6"/>
    <w:rsid w:val="006D6F57"/>
    <w:rsid w:val="006E412D"/>
    <w:rsid w:val="006E6193"/>
    <w:rsid w:val="006F0E61"/>
    <w:rsid w:val="006F3C2C"/>
    <w:rsid w:val="006F587D"/>
    <w:rsid w:val="00702B74"/>
    <w:rsid w:val="007045E6"/>
    <w:rsid w:val="007160A3"/>
    <w:rsid w:val="0073658A"/>
    <w:rsid w:val="00736D52"/>
    <w:rsid w:val="00740E52"/>
    <w:rsid w:val="007600C8"/>
    <w:rsid w:val="00762AE3"/>
    <w:rsid w:val="00763A47"/>
    <w:rsid w:val="00774515"/>
    <w:rsid w:val="007776D0"/>
    <w:rsid w:val="007829FA"/>
    <w:rsid w:val="00784348"/>
    <w:rsid w:val="007A383F"/>
    <w:rsid w:val="007A7974"/>
    <w:rsid w:val="007B0299"/>
    <w:rsid w:val="007B16D9"/>
    <w:rsid w:val="007B2019"/>
    <w:rsid w:val="007B28B2"/>
    <w:rsid w:val="007B750B"/>
    <w:rsid w:val="007D3DB5"/>
    <w:rsid w:val="007D4577"/>
    <w:rsid w:val="007F2FD8"/>
    <w:rsid w:val="007F4B7F"/>
    <w:rsid w:val="00802416"/>
    <w:rsid w:val="00802B68"/>
    <w:rsid w:val="00805896"/>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1E4D"/>
    <w:rsid w:val="00866048"/>
    <w:rsid w:val="0086790A"/>
    <w:rsid w:val="008722B0"/>
    <w:rsid w:val="00893378"/>
    <w:rsid w:val="00895B18"/>
    <w:rsid w:val="008A0F23"/>
    <w:rsid w:val="008A7701"/>
    <w:rsid w:val="008B367A"/>
    <w:rsid w:val="008B6C09"/>
    <w:rsid w:val="008C5ABE"/>
    <w:rsid w:val="008C741A"/>
    <w:rsid w:val="008D231D"/>
    <w:rsid w:val="008D415B"/>
    <w:rsid w:val="008D7F91"/>
    <w:rsid w:val="008E1768"/>
    <w:rsid w:val="008E3900"/>
    <w:rsid w:val="008E51CF"/>
    <w:rsid w:val="008F3060"/>
    <w:rsid w:val="008F40BC"/>
    <w:rsid w:val="00910210"/>
    <w:rsid w:val="009242C7"/>
    <w:rsid w:val="00936420"/>
    <w:rsid w:val="009409C6"/>
    <w:rsid w:val="00944CD4"/>
    <w:rsid w:val="0095560B"/>
    <w:rsid w:val="00955B62"/>
    <w:rsid w:val="00962735"/>
    <w:rsid w:val="00962FED"/>
    <w:rsid w:val="0096314D"/>
    <w:rsid w:val="00970304"/>
    <w:rsid w:val="0097199A"/>
    <w:rsid w:val="00972B15"/>
    <w:rsid w:val="00974654"/>
    <w:rsid w:val="0097655F"/>
    <w:rsid w:val="0099056E"/>
    <w:rsid w:val="009A7F8F"/>
    <w:rsid w:val="009B4E56"/>
    <w:rsid w:val="009C1DDD"/>
    <w:rsid w:val="009C614A"/>
    <w:rsid w:val="009D3B08"/>
    <w:rsid w:val="009D6AAB"/>
    <w:rsid w:val="009E107E"/>
    <w:rsid w:val="009E19E1"/>
    <w:rsid w:val="009F04FF"/>
    <w:rsid w:val="009F1C5C"/>
    <w:rsid w:val="009F1D3E"/>
    <w:rsid w:val="00A06ADE"/>
    <w:rsid w:val="00A15C25"/>
    <w:rsid w:val="00A20A50"/>
    <w:rsid w:val="00A20E44"/>
    <w:rsid w:val="00A23A70"/>
    <w:rsid w:val="00A27C5C"/>
    <w:rsid w:val="00A30F0D"/>
    <w:rsid w:val="00A3472A"/>
    <w:rsid w:val="00A356C2"/>
    <w:rsid w:val="00A41B71"/>
    <w:rsid w:val="00A435C6"/>
    <w:rsid w:val="00A4484C"/>
    <w:rsid w:val="00A55309"/>
    <w:rsid w:val="00A6283E"/>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24A19"/>
    <w:rsid w:val="00B24C1B"/>
    <w:rsid w:val="00B26451"/>
    <w:rsid w:val="00B35977"/>
    <w:rsid w:val="00B37182"/>
    <w:rsid w:val="00B454EE"/>
    <w:rsid w:val="00B646B1"/>
    <w:rsid w:val="00B66F41"/>
    <w:rsid w:val="00B76E3B"/>
    <w:rsid w:val="00B848C0"/>
    <w:rsid w:val="00BA31E1"/>
    <w:rsid w:val="00BA5B1D"/>
    <w:rsid w:val="00BB7DA7"/>
    <w:rsid w:val="00BB7F2D"/>
    <w:rsid w:val="00BC275F"/>
    <w:rsid w:val="00BD0730"/>
    <w:rsid w:val="00BE0F14"/>
    <w:rsid w:val="00BE1176"/>
    <w:rsid w:val="00BE163F"/>
    <w:rsid w:val="00BE3833"/>
    <w:rsid w:val="00BE553D"/>
    <w:rsid w:val="00BF6DE2"/>
    <w:rsid w:val="00C02668"/>
    <w:rsid w:val="00C05870"/>
    <w:rsid w:val="00C21FF7"/>
    <w:rsid w:val="00C3105E"/>
    <w:rsid w:val="00C35FAC"/>
    <w:rsid w:val="00C3682C"/>
    <w:rsid w:val="00C40824"/>
    <w:rsid w:val="00C455CB"/>
    <w:rsid w:val="00C47657"/>
    <w:rsid w:val="00C549C6"/>
    <w:rsid w:val="00C61CFE"/>
    <w:rsid w:val="00C65DB8"/>
    <w:rsid w:val="00C716FE"/>
    <w:rsid w:val="00C72339"/>
    <w:rsid w:val="00C73FC4"/>
    <w:rsid w:val="00C745D3"/>
    <w:rsid w:val="00C82CD1"/>
    <w:rsid w:val="00C84950"/>
    <w:rsid w:val="00C95C3A"/>
    <w:rsid w:val="00CA07D3"/>
    <w:rsid w:val="00CB1363"/>
    <w:rsid w:val="00CC5024"/>
    <w:rsid w:val="00CC765F"/>
    <w:rsid w:val="00CE058D"/>
    <w:rsid w:val="00CE5342"/>
    <w:rsid w:val="00CE6D3E"/>
    <w:rsid w:val="00CF35AB"/>
    <w:rsid w:val="00CF4D0D"/>
    <w:rsid w:val="00CF64C7"/>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2EA2"/>
    <w:rsid w:val="00D67A8E"/>
    <w:rsid w:val="00D81465"/>
    <w:rsid w:val="00D8542E"/>
    <w:rsid w:val="00D87557"/>
    <w:rsid w:val="00D95B1C"/>
    <w:rsid w:val="00D95CC4"/>
    <w:rsid w:val="00DA521E"/>
    <w:rsid w:val="00DB0774"/>
    <w:rsid w:val="00DB50F8"/>
    <w:rsid w:val="00DC18FA"/>
    <w:rsid w:val="00DC38C3"/>
    <w:rsid w:val="00DC70EE"/>
    <w:rsid w:val="00DD57C0"/>
    <w:rsid w:val="00DF1948"/>
    <w:rsid w:val="00E01F60"/>
    <w:rsid w:val="00E0341A"/>
    <w:rsid w:val="00E03BCC"/>
    <w:rsid w:val="00E05213"/>
    <w:rsid w:val="00E11ACE"/>
    <w:rsid w:val="00E15C2E"/>
    <w:rsid w:val="00E2059E"/>
    <w:rsid w:val="00E2253A"/>
    <w:rsid w:val="00E226E3"/>
    <w:rsid w:val="00E23582"/>
    <w:rsid w:val="00E26B23"/>
    <w:rsid w:val="00E32207"/>
    <w:rsid w:val="00E32B01"/>
    <w:rsid w:val="00E36A32"/>
    <w:rsid w:val="00E4256E"/>
    <w:rsid w:val="00E51DFD"/>
    <w:rsid w:val="00E53DA6"/>
    <w:rsid w:val="00E5621A"/>
    <w:rsid w:val="00E670ED"/>
    <w:rsid w:val="00E67CA9"/>
    <w:rsid w:val="00E67D9C"/>
    <w:rsid w:val="00E7389C"/>
    <w:rsid w:val="00E74092"/>
    <w:rsid w:val="00E74220"/>
    <w:rsid w:val="00E826E0"/>
    <w:rsid w:val="00E8387D"/>
    <w:rsid w:val="00E9014B"/>
    <w:rsid w:val="00E95C0F"/>
    <w:rsid w:val="00EA5492"/>
    <w:rsid w:val="00EA7358"/>
    <w:rsid w:val="00EA7BDF"/>
    <w:rsid w:val="00EC57EF"/>
    <w:rsid w:val="00ED03CB"/>
    <w:rsid w:val="00ED34C5"/>
    <w:rsid w:val="00ED58BB"/>
    <w:rsid w:val="00EE1BB7"/>
    <w:rsid w:val="00EF4E13"/>
    <w:rsid w:val="00F01001"/>
    <w:rsid w:val="00F11BB4"/>
    <w:rsid w:val="00F11F75"/>
    <w:rsid w:val="00F16150"/>
    <w:rsid w:val="00F26D49"/>
    <w:rsid w:val="00F30364"/>
    <w:rsid w:val="00F37FC2"/>
    <w:rsid w:val="00F51248"/>
    <w:rsid w:val="00F53266"/>
    <w:rsid w:val="00F649AE"/>
    <w:rsid w:val="00F77EFD"/>
    <w:rsid w:val="00F807FC"/>
    <w:rsid w:val="00F8157C"/>
    <w:rsid w:val="00F81886"/>
    <w:rsid w:val="00F8773A"/>
    <w:rsid w:val="00FA5833"/>
    <w:rsid w:val="00FB23C4"/>
    <w:rsid w:val="00FB3744"/>
    <w:rsid w:val="00FB63CA"/>
    <w:rsid w:val="00FB6864"/>
    <w:rsid w:val="00FC5893"/>
    <w:rsid w:val="00FC62FA"/>
    <w:rsid w:val="00FC7537"/>
    <w:rsid w:val="00FC79B5"/>
    <w:rsid w:val="00FD202C"/>
    <w:rsid w:val="00FD3E77"/>
    <w:rsid w:val="00FF17D3"/>
    <w:rsid w:val="00FF1C43"/>
    <w:rsid w:val="00FF3237"/>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link w:val="Heading1Char"/>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link w:val="Heading4Char"/>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 w:type="character" w:customStyle="1" w:styleId="Heading1Char">
    <w:name w:val="Heading 1 Char"/>
    <w:basedOn w:val="DefaultParagraphFont"/>
    <w:link w:val="Heading1"/>
    <w:rsid w:val="00F81886"/>
    <w:rPr>
      <w:rFonts w:ascii="Arial" w:hAnsi="Arial"/>
      <w:b/>
      <w:snapToGrid w:val="0"/>
      <w:kern w:val="28"/>
      <w:sz w:val="28"/>
    </w:rPr>
  </w:style>
  <w:style w:type="character" w:customStyle="1" w:styleId="Heading4Char">
    <w:name w:val="Heading 4 Char"/>
    <w:basedOn w:val="DefaultParagraphFont"/>
    <w:link w:val="Heading4"/>
    <w:rsid w:val="00F81886"/>
    <w:rPr>
      <w:b/>
      <w:bCs/>
      <w:snapToGrid w:val="0"/>
      <w:sz w:val="24"/>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18AD31-7FF6-4B2C-BEAB-94B76F83C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1069</Words>
  <Characters>6129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7184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2011-02-22T13:55:00Z</cp:lastPrinted>
  <dcterms:created xsi:type="dcterms:W3CDTF">2012-07-09T19:33:00Z</dcterms:created>
  <dcterms:modified xsi:type="dcterms:W3CDTF">2012-07-09T19:33:00Z</dcterms:modified>
</cp:coreProperties>
</file>