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655A8D" w:rsidRDefault="006619BB" w:rsidP="00163173">
      <w:pPr>
        <w:pStyle w:val="DocumentProject"/>
        <w:framePr w:hSpace="0" w:wrap="auto" w:vAnchor="margin" w:yAlign="inline"/>
        <w:ind w:left="0"/>
        <w:rPr>
          <w:b w:val="0"/>
        </w:rPr>
      </w:pPr>
      <w:r w:rsidRPr="00655A8D">
        <w:rPr>
          <w:b w:val="0"/>
        </w:rPr>
        <w:t>Methodology</w:t>
      </w:r>
    </w:p>
    <w:p w:rsidR="006619BB" w:rsidRPr="00655A8D" w:rsidRDefault="004549EB" w:rsidP="00163173">
      <w:pPr>
        <w:pStyle w:val="DocumentProject"/>
        <w:framePr w:hSpace="0" w:wrap="auto" w:vAnchor="margin" w:yAlign="inline"/>
        <w:ind w:left="0"/>
      </w:pPr>
      <w:r w:rsidRPr="00655A8D">
        <w:t>October</w:t>
      </w:r>
      <w:r w:rsidR="009F592D" w:rsidRPr="00655A8D">
        <w:t xml:space="preserve"> </w:t>
      </w:r>
      <w:r w:rsidR="006619BB" w:rsidRPr="00655A8D">
        <w:t>201</w:t>
      </w:r>
      <w:r w:rsidR="0026513D" w:rsidRPr="00655A8D">
        <w:t>2</w:t>
      </w:r>
      <w:r w:rsidR="006619BB" w:rsidRPr="00655A8D">
        <w:t xml:space="preserve"> Omnibus Week </w:t>
      </w:r>
      <w:r w:rsidR="007125E9">
        <w:t>3</w:t>
      </w:r>
    </w:p>
    <w:p w:rsidR="006619BB" w:rsidRPr="00655A8D" w:rsidRDefault="006619BB" w:rsidP="00163173">
      <w:pPr>
        <w:pStyle w:val="DocumentClient"/>
        <w:framePr w:hSpace="0" w:wrap="auto" w:vAnchor="margin" w:yAlign="inline"/>
        <w:ind w:left="0"/>
      </w:pPr>
      <w:r w:rsidRPr="00655A8D">
        <w:t>Prepared by Princeton Survey Research Associates International</w:t>
      </w:r>
    </w:p>
    <w:p w:rsidR="006619BB" w:rsidRPr="00655A8D" w:rsidRDefault="004549EB" w:rsidP="00163173">
      <w:pPr>
        <w:pStyle w:val="DocumentDate"/>
        <w:framePr w:hSpace="0" w:wrap="auto" w:vAnchor="margin" w:yAlign="inline"/>
        <w:spacing w:after="480"/>
        <w:ind w:left="0"/>
      </w:pPr>
      <w:r w:rsidRPr="00655A8D">
        <w:t>October</w:t>
      </w:r>
      <w:r w:rsidR="00417FEB" w:rsidRPr="00655A8D">
        <w:t xml:space="preserve"> </w:t>
      </w:r>
      <w:r w:rsidR="006619BB" w:rsidRPr="00655A8D">
        <w:t>201</w:t>
      </w:r>
      <w:r w:rsidR="0026513D" w:rsidRPr="00655A8D">
        <w:t>2</w:t>
      </w:r>
    </w:p>
    <w:p w:rsidR="006619BB" w:rsidRPr="00655A8D" w:rsidRDefault="006619BB" w:rsidP="006619BB">
      <w:pPr>
        <w:pStyle w:val="BodyofReport"/>
        <w:ind w:firstLine="0"/>
      </w:pPr>
    </w:p>
    <w:p w:rsidR="00D25B92" w:rsidRDefault="00A41B71" w:rsidP="005E0E64">
      <w:pPr>
        <w:pStyle w:val="BodyofReport"/>
      </w:pPr>
      <w:r w:rsidRPr="00655A8D">
        <w:t>The PSRAI</w:t>
      </w:r>
      <w:r w:rsidR="00A31E3E" w:rsidRPr="00655A8D">
        <w:t xml:space="preserve"> </w:t>
      </w:r>
      <w:r w:rsidR="00A22B7C" w:rsidRPr="00655A8D">
        <w:t>Octo</w:t>
      </w:r>
      <w:r w:rsidR="00417FEB" w:rsidRPr="00655A8D">
        <w:t>ber</w:t>
      </w:r>
      <w:r w:rsidR="00A31E3E" w:rsidRPr="00655A8D">
        <w:t xml:space="preserve"> </w:t>
      </w:r>
      <w:r w:rsidR="00B24C1B" w:rsidRPr="007A2DE2">
        <w:t>2</w:t>
      </w:r>
      <w:r w:rsidR="00D25B92" w:rsidRPr="007A2DE2">
        <w:t>01</w:t>
      </w:r>
      <w:r w:rsidR="0026513D" w:rsidRPr="007A2DE2">
        <w:t>2</w:t>
      </w:r>
      <w:r w:rsidR="00D25B92" w:rsidRPr="007A2DE2">
        <w:t xml:space="preserve"> Omnibus Week </w:t>
      </w:r>
      <w:r w:rsidR="007125E9" w:rsidRPr="007A2DE2">
        <w:t>3</w:t>
      </w:r>
      <w:r w:rsidR="000A7BA0" w:rsidRPr="007A2DE2">
        <w:t xml:space="preserve"> </w:t>
      </w:r>
      <w:r w:rsidR="00D25B92" w:rsidRPr="007A2DE2">
        <w:t xml:space="preserve">obtained telephone interviews with a nationally representative sample of </w:t>
      </w:r>
      <w:r w:rsidR="004A79C1" w:rsidRPr="007A2DE2">
        <w:t>1,0</w:t>
      </w:r>
      <w:r w:rsidR="000741D6" w:rsidRPr="007A2DE2">
        <w:t>0</w:t>
      </w:r>
      <w:r w:rsidR="007A2DE2" w:rsidRPr="007A2DE2">
        <w:t>5</w:t>
      </w:r>
      <w:r w:rsidR="008C6462" w:rsidRPr="007A2DE2">
        <w:t xml:space="preserve"> </w:t>
      </w:r>
      <w:r w:rsidR="00D25B92" w:rsidRPr="007A2DE2">
        <w:t>adults living in the continental United States. Telephone interviews were conducted by landline (</w:t>
      </w:r>
      <w:r w:rsidR="004A79C1" w:rsidRPr="007A2DE2">
        <w:t>6</w:t>
      </w:r>
      <w:r w:rsidR="00E5226F" w:rsidRPr="007A2DE2">
        <w:t>0</w:t>
      </w:r>
      <w:r w:rsidR="00070B6E">
        <w:t>1</w:t>
      </w:r>
      <w:r w:rsidR="00D25B92" w:rsidRPr="007A2DE2">
        <w:t>) and cell phone (</w:t>
      </w:r>
      <w:r w:rsidR="00070B6E">
        <w:t>404</w:t>
      </w:r>
      <w:r w:rsidR="00D25B92" w:rsidRPr="007A2DE2">
        <w:t xml:space="preserve">, including </w:t>
      </w:r>
      <w:r w:rsidR="007A2DE2" w:rsidRPr="007A2DE2">
        <w:t>224</w:t>
      </w:r>
      <w:r w:rsidR="00D25B92" w:rsidRPr="007A2DE2">
        <w:t xml:space="preserve"> without a landline phone). The survey was conducted by Princeton</w:t>
      </w:r>
      <w:r w:rsidR="00D25B92" w:rsidRPr="00655A8D">
        <w:t xml:space="preserve"> Survey Research Associates International (PSRAI). Interviews were done</w:t>
      </w:r>
      <w:r w:rsidR="000741D6" w:rsidRPr="00655A8D">
        <w:t xml:space="preserve"> in English by </w:t>
      </w:r>
      <w:r w:rsidR="00A22B7C" w:rsidRPr="00655A8D">
        <w:t>Princeton Data Source</w:t>
      </w:r>
      <w:r w:rsidR="004E1722" w:rsidRPr="00655A8D">
        <w:t xml:space="preserve"> </w:t>
      </w:r>
      <w:r w:rsidRPr="00655A8D">
        <w:t>from</w:t>
      </w:r>
      <w:r w:rsidR="004E1722" w:rsidRPr="00655A8D">
        <w:t xml:space="preserve"> </w:t>
      </w:r>
      <w:r w:rsidR="00A22B7C" w:rsidRPr="00655A8D">
        <w:br/>
      </w:r>
      <w:r w:rsidR="004549EB" w:rsidRPr="00655A8D">
        <w:t>October</w:t>
      </w:r>
      <w:r w:rsidR="00DF7DAC" w:rsidRPr="00655A8D">
        <w:t xml:space="preserve"> </w:t>
      </w:r>
      <w:r w:rsidR="00A22B7C" w:rsidRPr="00655A8D">
        <w:t>1</w:t>
      </w:r>
      <w:r w:rsidR="007125E9">
        <w:t>8</w:t>
      </w:r>
      <w:r w:rsidR="00A52C43" w:rsidRPr="00655A8D">
        <w:t xml:space="preserve"> to </w:t>
      </w:r>
      <w:r w:rsidR="007125E9">
        <w:t>2</w:t>
      </w:r>
      <w:r w:rsidR="00A22B7C" w:rsidRPr="00655A8D">
        <w:t>1</w:t>
      </w:r>
      <w:r w:rsidR="00DF7DAC" w:rsidRPr="00655A8D">
        <w:t>,</w:t>
      </w:r>
      <w:r w:rsidR="00D25B92" w:rsidRPr="00655A8D">
        <w:t xml:space="preserve"> 201</w:t>
      </w:r>
      <w:r w:rsidR="0026513D" w:rsidRPr="00655A8D">
        <w:t>2.</w:t>
      </w:r>
      <w:r w:rsidR="00D25B92" w:rsidRPr="00655A8D">
        <w:t xml:space="preserve"> Statistical results are weighted to correct known demographic discrepancies. The margin of sampling error for the complete set of weighted data is ±</w:t>
      </w:r>
      <w:r w:rsidR="007F4B7F" w:rsidRPr="00655A8D">
        <w:t xml:space="preserve"> 3.</w:t>
      </w:r>
      <w:r w:rsidR="007A2DE2">
        <w:t>6</w:t>
      </w:r>
      <w:r w:rsidR="0072702B" w:rsidRPr="00655A8D">
        <w:t xml:space="preserve"> </w:t>
      </w:r>
      <w:r w:rsidR="00D25B92" w:rsidRPr="00655A8D">
        <w:t>percentage points.</w:t>
      </w:r>
    </w:p>
    <w:p w:rsidR="0098612A" w:rsidRDefault="0098612A" w:rsidP="005E0E64">
      <w:pPr>
        <w:pStyle w:val="BodyofReport"/>
      </w:pPr>
    </w:p>
    <w:p w:rsidR="0098612A" w:rsidRPr="00A41B71" w:rsidRDefault="0098612A" w:rsidP="0098612A">
      <w:pPr>
        <w:pStyle w:val="Heading1"/>
        <w:rPr>
          <w:rFonts w:ascii="Times New Roman" w:hAnsi="Times New Roman"/>
          <w:caps/>
          <w:sz w:val="24"/>
        </w:rPr>
      </w:pPr>
      <w:r w:rsidRPr="00A41B71">
        <w:rPr>
          <w:rFonts w:ascii="Times New Roman" w:hAnsi="Times New Roman"/>
          <w:caps/>
          <w:sz w:val="24"/>
        </w:rPr>
        <w:t>Design AND Data Collection Procedures</w:t>
      </w:r>
    </w:p>
    <w:p w:rsidR="0098612A" w:rsidRPr="00A41B71" w:rsidRDefault="0098612A" w:rsidP="0098612A"/>
    <w:p w:rsidR="0098612A" w:rsidRPr="00A41B71" w:rsidRDefault="0098612A" w:rsidP="0098612A">
      <w:pPr>
        <w:pStyle w:val="Heading4"/>
      </w:pPr>
      <w:r w:rsidRPr="00A41B71">
        <w:t>Sample Design</w:t>
      </w:r>
    </w:p>
    <w:p w:rsidR="0098612A" w:rsidRPr="00A41B71" w:rsidRDefault="0098612A" w:rsidP="0098612A">
      <w:pPr>
        <w:rPr>
          <w:b/>
          <w:bCs/>
        </w:rPr>
      </w:pPr>
    </w:p>
    <w:p w:rsidR="0098612A" w:rsidRPr="00A41B71" w:rsidRDefault="0098612A" w:rsidP="0098612A">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98612A" w:rsidRPr="00A41B71" w:rsidRDefault="0098612A" w:rsidP="0098612A">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98612A" w:rsidRPr="00A41B71" w:rsidRDefault="0098612A" w:rsidP="0098612A">
      <w:pPr>
        <w:widowControl/>
        <w:rPr>
          <w:b/>
          <w:bCs/>
        </w:rPr>
      </w:pPr>
      <w:r w:rsidRPr="00A41B71">
        <w:br w:type="page"/>
      </w:r>
    </w:p>
    <w:p w:rsidR="0098612A" w:rsidRPr="00A41B71" w:rsidRDefault="0098612A" w:rsidP="0098612A">
      <w:pPr>
        <w:pStyle w:val="Heading4"/>
        <w:spacing w:line="480" w:lineRule="auto"/>
      </w:pPr>
      <w:r w:rsidRPr="00A41B71">
        <w:t>Contact Procedures</w:t>
      </w:r>
    </w:p>
    <w:p w:rsidR="0098612A" w:rsidRPr="00A41B71" w:rsidRDefault="0098612A" w:rsidP="0098612A">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98612A" w:rsidRPr="00A41B71" w:rsidRDefault="0098612A" w:rsidP="0098612A">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98612A" w:rsidRPr="00A41B71" w:rsidRDefault="0098612A" w:rsidP="0098612A">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98612A" w:rsidRPr="00A41B71" w:rsidRDefault="0098612A" w:rsidP="0098612A">
      <w:pPr>
        <w:pStyle w:val="Heading1"/>
        <w:rPr>
          <w:rFonts w:ascii="Times New Roman" w:hAnsi="Times New Roman"/>
          <w:caps/>
          <w:sz w:val="24"/>
        </w:rPr>
      </w:pPr>
      <w:r w:rsidRPr="00A41B71">
        <w:rPr>
          <w:rFonts w:ascii="Times New Roman" w:hAnsi="Times New Roman"/>
          <w:caps/>
          <w:sz w:val="24"/>
        </w:rPr>
        <w:t>Weighting and analysis</w:t>
      </w:r>
    </w:p>
    <w:p w:rsidR="0098612A" w:rsidRPr="00A41B71" w:rsidRDefault="0098612A" w:rsidP="0098612A"/>
    <w:p w:rsidR="0098612A" w:rsidRPr="00A41B71" w:rsidRDefault="0098612A" w:rsidP="0098612A">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98612A" w:rsidRPr="00A41B71" w:rsidRDefault="0098612A" w:rsidP="0098612A">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98612A" w:rsidRPr="00A41B71" w:rsidRDefault="0098612A" w:rsidP="0098612A">
      <w:pPr>
        <w:widowControl/>
        <w:rPr>
          <w:highlight w:val="yellow"/>
        </w:rPr>
      </w:pPr>
      <w:r w:rsidRPr="00A41B71">
        <w:rPr>
          <w:highlight w:val="yellow"/>
        </w:rPr>
        <w:br w:type="page"/>
      </w:r>
    </w:p>
    <w:p w:rsidR="0098612A" w:rsidRPr="00A41B71" w:rsidRDefault="0098612A" w:rsidP="0098612A">
      <w:pPr>
        <w:pStyle w:val="BodyofReport"/>
      </w:pPr>
      <w:r w:rsidRPr="00A41B71">
        <w:t>This first-stage weight for the i</w:t>
      </w:r>
      <w:r w:rsidRPr="00A41B71">
        <w:rPr>
          <w:vertAlign w:val="superscript"/>
        </w:rPr>
        <w:t>th</w:t>
      </w:r>
      <w:r w:rsidRPr="00A41B71">
        <w:t xml:space="preserve"> case can be expressed as:</w:t>
      </w:r>
    </w:p>
    <w:p w:rsidR="0098612A" w:rsidRPr="00A41B71" w:rsidRDefault="0098612A" w:rsidP="0098612A">
      <w:pPr>
        <w:pStyle w:val="BodyofReport"/>
        <w:ind w:left="1710"/>
      </w:pPr>
      <m:oMathPara>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98612A" w:rsidRPr="00A41B71" w:rsidRDefault="0098612A" w:rsidP="0098612A">
      <w:pPr>
        <w:pStyle w:val="BodyofReport"/>
        <w:ind w:left="1710"/>
      </w:pPr>
      <m:oMathPara>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98612A" w:rsidRPr="00A41B71" w:rsidRDefault="0098612A" w:rsidP="0098612A">
      <w:pPr>
        <w:pStyle w:val="BodyofReport"/>
        <w:ind w:left="1710"/>
      </w:pPr>
      <m:oMathPara>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98612A" w:rsidRPr="00A41B71" w:rsidRDefault="0098612A" w:rsidP="0098612A">
      <w:pPr>
        <w:pStyle w:val="BodyofReport"/>
      </w:pPr>
    </w:p>
    <w:p w:rsidR="0098612A" w:rsidRPr="00A41B71" w:rsidRDefault="0098612A" w:rsidP="0098612A">
      <w:pPr>
        <w:pStyle w:val="BodyofReport"/>
      </w:pPr>
      <w:r w:rsidRPr="00A41B71">
        <w:t xml:space="preserve">Where </w:t>
      </w:r>
      <w:r w:rsidRPr="00A41B71">
        <w:tab/>
        <w:t>S</w:t>
      </w:r>
      <w:r w:rsidRPr="00A41B71">
        <w:rPr>
          <w:vertAlign w:val="subscript"/>
        </w:rPr>
        <w:t>LL</w:t>
      </w:r>
      <w:r w:rsidRPr="00A41B71">
        <w:t xml:space="preserve"> = size of the landline sample</w:t>
      </w:r>
    </w:p>
    <w:p w:rsidR="0098612A" w:rsidRPr="00A41B71" w:rsidRDefault="0098612A" w:rsidP="0098612A">
      <w:pPr>
        <w:pStyle w:val="BodyofReport"/>
        <w:ind w:firstLine="1440"/>
      </w:pPr>
      <w:r w:rsidRPr="00A41B71">
        <w:t>S</w:t>
      </w:r>
      <w:r w:rsidRPr="00A41B71">
        <w:rPr>
          <w:vertAlign w:val="subscript"/>
        </w:rPr>
        <w:t>CP</w:t>
      </w:r>
      <w:r w:rsidRPr="00A41B71">
        <w:t xml:space="preserve"> = size of the cell phone sample</w:t>
      </w:r>
    </w:p>
    <w:p w:rsidR="0098612A" w:rsidRPr="00A41B71" w:rsidRDefault="0098612A" w:rsidP="0098612A">
      <w:pPr>
        <w:pStyle w:val="BodyofReport"/>
        <w:ind w:firstLine="1440"/>
      </w:pPr>
      <w:r w:rsidRPr="00A41B71">
        <w:t>AD</w:t>
      </w:r>
      <w:r w:rsidRPr="00A41B71">
        <w:rPr>
          <w:vertAlign w:val="subscript"/>
        </w:rPr>
        <w:t>i</w:t>
      </w:r>
      <w:r w:rsidRPr="00A41B71">
        <w:t xml:space="preserve"> = Number of adults in the household</w:t>
      </w:r>
    </w:p>
    <w:p w:rsidR="0098612A" w:rsidRPr="00A41B71" w:rsidRDefault="0098612A" w:rsidP="0098612A">
      <w:pPr>
        <w:pStyle w:val="BodyofReport"/>
        <w:ind w:firstLine="1440"/>
      </w:pPr>
      <w:r w:rsidRPr="00A41B71">
        <w:t>R = Estimated ratio of the land line sample frame to the cell phone sample frame</w:t>
      </w:r>
    </w:p>
    <w:p w:rsidR="0098612A" w:rsidRPr="00A41B71" w:rsidRDefault="0098612A" w:rsidP="0098612A">
      <w:pPr>
        <w:pStyle w:val="BodyofReport"/>
        <w:ind w:firstLine="1440"/>
      </w:pPr>
    </w:p>
    <w:p w:rsidR="0098612A" w:rsidRPr="00A41B71" w:rsidRDefault="0098612A" w:rsidP="0098612A">
      <w:pPr>
        <w:pStyle w:val="BodyofReport"/>
      </w:pPr>
      <w:r w:rsidRPr="00A41B71">
        <w:t>The second stage of weighting balanced sample demographics to population parameters. The sample is balanced</w:t>
      </w:r>
      <w:r>
        <w:t xml:space="preserve"> t</w:t>
      </w:r>
      <w:r w:rsidRPr="00A41B71">
        <w:t xml:space="preserve">o match national population parameters for sex, age, education, race, Hispanic origin, region (U.S. Census definitions), population density, </w:t>
      </w:r>
      <w:r>
        <w:t xml:space="preserve">number of adults in household, </w:t>
      </w:r>
      <w:r w:rsidRPr="00A41B71">
        <w:t>and telephone usage. The basic weighting parameters came from a special analysis of the Census Bureau’s 201</w:t>
      </w:r>
      <w:r>
        <w:t>1</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w:t>
      </w:r>
      <w:r>
        <w:t>1</w:t>
      </w:r>
      <w:r w:rsidRPr="00A41B71">
        <w:t xml:space="preserve"> National Health Interview Survey.</w:t>
      </w:r>
      <w:r w:rsidRPr="00A41B71">
        <w:rPr>
          <w:rStyle w:val="FootnoteReference"/>
        </w:rPr>
        <w:footnoteReference w:id="2"/>
      </w:r>
    </w:p>
    <w:p w:rsidR="0098612A" w:rsidRDefault="0098612A" w:rsidP="0098612A">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w:t>
      </w:r>
    </w:p>
    <w:p w:rsidR="0098612A" w:rsidRDefault="0098612A" w:rsidP="0098612A">
      <w:pPr>
        <w:pStyle w:val="BodyofReport"/>
      </w:pPr>
      <w:r>
        <w:br w:type="page"/>
      </w:r>
    </w:p>
    <w:tbl>
      <w:tblPr>
        <w:tblW w:w="4440" w:type="dxa"/>
        <w:jc w:val="center"/>
        <w:tblInd w:w="-252" w:type="dxa"/>
        <w:tblLook w:val="04A0"/>
      </w:tblPr>
      <w:tblGrid>
        <w:gridCol w:w="2975"/>
        <w:gridCol w:w="1465"/>
      </w:tblGrid>
      <w:tr w:rsidR="0098612A" w:rsidRPr="00BB1212" w:rsidTr="00634F1F">
        <w:trPr>
          <w:trHeight w:val="255"/>
          <w:jc w:val="center"/>
        </w:trPr>
        <w:tc>
          <w:tcPr>
            <w:tcW w:w="4440" w:type="dxa"/>
            <w:gridSpan w:val="2"/>
            <w:tcBorders>
              <w:top w:val="nil"/>
              <w:left w:val="nil"/>
              <w:bottom w:val="nil"/>
              <w:right w:val="nil"/>
            </w:tcBorders>
            <w:shd w:val="clear" w:color="auto" w:fill="auto"/>
            <w:noWrap/>
            <w:vAlign w:val="bottom"/>
            <w:hideMark/>
          </w:tcPr>
          <w:p w:rsidR="0098612A" w:rsidRPr="00BB1212" w:rsidRDefault="0098612A" w:rsidP="00634F1F">
            <w:pPr>
              <w:widowControl/>
              <w:rPr>
                <w:rFonts w:ascii="Arial" w:hAnsi="Arial" w:cs="Arial"/>
                <w:b/>
                <w:bCs/>
                <w:snapToGrid/>
                <w:sz w:val="20"/>
              </w:rPr>
            </w:pPr>
            <w:r w:rsidRPr="00BB1212">
              <w:rPr>
                <w:rFonts w:ascii="Arial" w:hAnsi="Arial" w:cs="Arial"/>
                <w:b/>
                <w:bCs/>
                <w:snapToGrid/>
                <w:sz w:val="20"/>
              </w:rPr>
              <w:t xml:space="preserve">Table 1: </w:t>
            </w:r>
            <w:r>
              <w:rPr>
                <w:rFonts w:ascii="Arial" w:hAnsi="Arial" w:cs="Arial"/>
                <w:b/>
                <w:bCs/>
                <w:snapToGrid/>
                <w:sz w:val="20"/>
              </w:rPr>
              <w:t>Weighting Parameters</w:t>
            </w:r>
          </w:p>
        </w:tc>
      </w:tr>
      <w:tr w:rsidR="0098612A" w:rsidRPr="00BB1212" w:rsidTr="00634F1F">
        <w:trPr>
          <w:trHeight w:val="255"/>
          <w:jc w:val="center"/>
        </w:trPr>
        <w:tc>
          <w:tcPr>
            <w:tcW w:w="2975" w:type="dxa"/>
            <w:tcBorders>
              <w:top w:val="single" w:sz="4" w:space="0" w:color="auto"/>
              <w:left w:val="nil"/>
              <w:bottom w:val="single" w:sz="4" w:space="0" w:color="auto"/>
              <w:right w:val="nil"/>
            </w:tcBorders>
            <w:shd w:val="clear" w:color="auto" w:fill="auto"/>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 </w:t>
            </w:r>
          </w:p>
        </w:tc>
        <w:tc>
          <w:tcPr>
            <w:tcW w:w="1465" w:type="dxa"/>
            <w:tcBorders>
              <w:top w:val="single" w:sz="4" w:space="0" w:color="auto"/>
              <w:left w:val="nil"/>
              <w:bottom w:val="single" w:sz="4" w:space="0" w:color="auto"/>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Parameter</w:t>
            </w:r>
          </w:p>
        </w:tc>
      </w:tr>
      <w:tr w:rsidR="0098612A" w:rsidRPr="00BB1212" w:rsidTr="00634F1F">
        <w:trPr>
          <w:trHeight w:val="255"/>
          <w:jc w:val="center"/>
        </w:trPr>
        <w:tc>
          <w:tcPr>
            <w:tcW w:w="2975" w:type="dxa"/>
            <w:tcBorders>
              <w:top w:val="nil"/>
              <w:left w:val="nil"/>
              <w:bottom w:val="nil"/>
              <w:right w:val="nil"/>
            </w:tcBorders>
            <w:shd w:val="clear" w:color="auto" w:fill="auto"/>
            <w:vAlign w:val="bottom"/>
            <w:hideMark/>
          </w:tcPr>
          <w:p w:rsidR="0098612A" w:rsidRPr="00BB1212" w:rsidRDefault="0098612A" w:rsidP="00634F1F">
            <w:pPr>
              <w:widowControl/>
              <w:jc w:val="right"/>
              <w:rPr>
                <w:rFonts w:ascii="Arial" w:hAnsi="Arial" w:cs="Arial"/>
                <w:snapToGrid/>
                <w:sz w:val="20"/>
                <w:u w:val="single"/>
              </w:rPr>
            </w:pPr>
            <w:r w:rsidRPr="00BB1212">
              <w:rPr>
                <w:rFonts w:ascii="Arial" w:hAnsi="Arial" w:cs="Arial"/>
                <w:snapToGrid/>
                <w:sz w:val="20"/>
                <w:u w:val="single"/>
              </w:rPr>
              <w:t>Gender</w:t>
            </w:r>
          </w:p>
        </w:tc>
        <w:tc>
          <w:tcPr>
            <w:tcW w:w="1465" w:type="dxa"/>
            <w:tcBorders>
              <w:top w:val="nil"/>
              <w:left w:val="nil"/>
              <w:bottom w:val="nil"/>
              <w:right w:val="nil"/>
            </w:tcBorders>
            <w:shd w:val="clear" w:color="auto" w:fill="auto"/>
            <w:vAlign w:val="bottom"/>
            <w:hideMark/>
          </w:tcPr>
          <w:p w:rsidR="0098612A" w:rsidRPr="00BB1212" w:rsidRDefault="0098612A" w:rsidP="00634F1F">
            <w:pPr>
              <w:widowControl/>
              <w:jc w:val="center"/>
              <w:rPr>
                <w:rFonts w:ascii="Arial" w:hAnsi="Arial" w:cs="Arial"/>
                <w:b/>
                <w:bCs/>
                <w:snapToGrid/>
                <w:sz w:val="20"/>
              </w:rPr>
            </w:pP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Male</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48.6</w:t>
            </w: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Female</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51.4</w:t>
            </w: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rPr>
                <w:rFonts w:ascii="Arial" w:hAnsi="Arial" w:cs="Arial"/>
                <w:snapToGrid/>
                <w:sz w:val="20"/>
              </w:rPr>
            </w:pP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u w:val="single"/>
              </w:rPr>
            </w:pPr>
            <w:r w:rsidRPr="00BB1212">
              <w:rPr>
                <w:rFonts w:ascii="Arial" w:hAnsi="Arial" w:cs="Arial"/>
                <w:snapToGrid/>
                <w:sz w:val="20"/>
                <w:u w:val="single"/>
              </w:rPr>
              <w:t>Age</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rPr>
                <w:rFonts w:ascii="Arial" w:hAnsi="Arial" w:cs="Arial"/>
                <w:snapToGrid/>
                <w:sz w:val="20"/>
              </w:rPr>
            </w:pP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18-24</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12.8</w:t>
            </w: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25-34</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18.0</w:t>
            </w: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35-44</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17.2</w:t>
            </w: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45-54</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19.0</w:t>
            </w: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55-64</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16.0</w:t>
            </w: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65+</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17.0</w:t>
            </w: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rPr>
                <w:rFonts w:ascii="Arial" w:hAnsi="Arial" w:cs="Arial"/>
                <w:snapToGrid/>
                <w:sz w:val="20"/>
              </w:rPr>
            </w:pP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u w:val="single"/>
              </w:rPr>
            </w:pPr>
            <w:r w:rsidRPr="00BB1212">
              <w:rPr>
                <w:rFonts w:ascii="Arial" w:hAnsi="Arial" w:cs="Arial"/>
                <w:snapToGrid/>
                <w:sz w:val="20"/>
                <w:u w:val="single"/>
              </w:rPr>
              <w:t>Education</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rPr>
                <w:rFonts w:ascii="Arial" w:hAnsi="Arial" w:cs="Arial"/>
                <w:snapToGrid/>
                <w:sz w:val="20"/>
              </w:rPr>
            </w:pP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Less than HS Graduate</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13.3</w:t>
            </w: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HS Graduate</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30.4</w:t>
            </w: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Some College/Assoc Degree</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28.5</w:t>
            </w: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College Graduate</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27.8</w:t>
            </w: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rPr>
                <w:rFonts w:ascii="Arial" w:hAnsi="Arial" w:cs="Arial"/>
                <w:snapToGrid/>
                <w:sz w:val="20"/>
              </w:rPr>
            </w:pP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u w:val="single"/>
              </w:rPr>
            </w:pPr>
            <w:r w:rsidRPr="00BB1212">
              <w:rPr>
                <w:rFonts w:ascii="Arial" w:hAnsi="Arial" w:cs="Arial"/>
                <w:snapToGrid/>
                <w:sz w:val="20"/>
                <w:u w:val="single"/>
              </w:rPr>
              <w:t>Race/Ethnicity</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rPr>
                <w:rFonts w:ascii="Arial" w:hAnsi="Arial" w:cs="Arial"/>
                <w:snapToGrid/>
                <w:sz w:val="20"/>
              </w:rPr>
            </w:pP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White/not Hispanic</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68.0</w:t>
            </w: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Black/not Hispanic</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11.6</w:t>
            </w: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Hispanic</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14.1</w:t>
            </w: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Other/not Hispanic</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6.3</w:t>
            </w: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rPr>
                <w:rFonts w:ascii="Arial" w:hAnsi="Arial" w:cs="Arial"/>
                <w:snapToGrid/>
                <w:sz w:val="20"/>
              </w:rPr>
            </w:pP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u w:val="single"/>
              </w:rPr>
            </w:pPr>
            <w:r w:rsidRPr="00BB1212">
              <w:rPr>
                <w:rFonts w:ascii="Arial" w:hAnsi="Arial" w:cs="Arial"/>
                <w:snapToGrid/>
                <w:sz w:val="20"/>
                <w:u w:val="single"/>
              </w:rPr>
              <w:t>Region</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rPr>
                <w:rFonts w:ascii="Arial" w:hAnsi="Arial" w:cs="Arial"/>
                <w:snapToGrid/>
                <w:sz w:val="20"/>
              </w:rPr>
            </w:pP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Northeast</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18.5</w:t>
            </w: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Midwest</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21.8</w:t>
            </w: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South</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37.0</w:t>
            </w: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West</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22.7</w:t>
            </w: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rPr>
                <w:rFonts w:ascii="Arial" w:hAnsi="Arial" w:cs="Arial"/>
                <w:snapToGrid/>
                <w:sz w:val="20"/>
              </w:rPr>
            </w:pP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u w:val="single"/>
              </w:rPr>
            </w:pPr>
            <w:r w:rsidRPr="00BB1212">
              <w:rPr>
                <w:rFonts w:ascii="Arial" w:hAnsi="Arial" w:cs="Arial"/>
                <w:snapToGrid/>
                <w:sz w:val="20"/>
                <w:u w:val="single"/>
              </w:rPr>
              <w:t>County Pop. Density</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rPr>
                <w:rFonts w:ascii="Arial" w:hAnsi="Arial" w:cs="Arial"/>
                <w:snapToGrid/>
                <w:sz w:val="20"/>
              </w:rPr>
            </w:pP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1 - Lowest</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20.1</w:t>
            </w: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2</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20.0</w:t>
            </w: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3</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20.1</w:t>
            </w: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4</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20.2</w:t>
            </w: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5 - Highest</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19.6</w:t>
            </w: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rPr>
                <w:rFonts w:ascii="Arial" w:hAnsi="Arial" w:cs="Arial"/>
                <w:snapToGrid/>
                <w:sz w:val="20"/>
              </w:rPr>
            </w:pP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u w:val="single"/>
              </w:rPr>
            </w:pPr>
            <w:r w:rsidRPr="00BB1212">
              <w:rPr>
                <w:rFonts w:ascii="Arial" w:hAnsi="Arial" w:cs="Arial"/>
                <w:snapToGrid/>
                <w:sz w:val="20"/>
                <w:u w:val="single"/>
              </w:rPr>
              <w:t>Household Phone Use</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rPr>
                <w:rFonts w:ascii="Arial" w:hAnsi="Arial" w:cs="Arial"/>
                <w:snapToGrid/>
                <w:sz w:val="20"/>
              </w:rPr>
            </w:pP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LLO</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7.0</w:t>
            </w: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Dual</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57.8</w:t>
            </w: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CPO</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35.2</w:t>
            </w: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rPr>
                <w:rFonts w:ascii="Arial" w:hAnsi="Arial" w:cs="Arial"/>
                <w:snapToGrid/>
                <w:sz w:val="20"/>
              </w:rPr>
            </w:pP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u w:val="single"/>
              </w:rPr>
            </w:pPr>
            <w:r w:rsidRPr="00BB1212">
              <w:rPr>
                <w:rFonts w:ascii="Arial" w:hAnsi="Arial" w:cs="Arial"/>
                <w:snapToGrid/>
                <w:sz w:val="20"/>
                <w:u w:val="single"/>
              </w:rPr>
              <w:t># of adults in HH</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rPr>
                <w:rFonts w:ascii="Arial" w:hAnsi="Arial" w:cs="Arial"/>
                <w:snapToGrid/>
                <w:sz w:val="20"/>
              </w:rPr>
            </w:pPr>
          </w:p>
        </w:tc>
      </w:tr>
      <w:tr w:rsidR="0098612A" w:rsidRPr="00BB1212" w:rsidTr="00634F1F">
        <w:trPr>
          <w:trHeight w:val="255"/>
          <w:jc w:val="center"/>
        </w:trPr>
        <w:tc>
          <w:tcPr>
            <w:tcW w:w="2975" w:type="dxa"/>
            <w:tcBorders>
              <w:top w:val="nil"/>
              <w:left w:val="nil"/>
              <w:bottom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One</w:t>
            </w:r>
          </w:p>
        </w:tc>
        <w:tc>
          <w:tcPr>
            <w:tcW w:w="1465" w:type="dxa"/>
            <w:tcBorders>
              <w:top w:val="nil"/>
              <w:left w:val="nil"/>
              <w:bottom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17.0</w:t>
            </w:r>
          </w:p>
        </w:tc>
      </w:tr>
      <w:tr w:rsidR="0098612A" w:rsidRPr="00BB1212" w:rsidTr="00634F1F">
        <w:trPr>
          <w:trHeight w:val="255"/>
          <w:jc w:val="center"/>
        </w:trPr>
        <w:tc>
          <w:tcPr>
            <w:tcW w:w="2975" w:type="dxa"/>
            <w:tcBorders>
              <w:top w:val="nil"/>
              <w:left w:val="nil"/>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Two</w:t>
            </w:r>
          </w:p>
        </w:tc>
        <w:tc>
          <w:tcPr>
            <w:tcW w:w="1465" w:type="dxa"/>
            <w:tcBorders>
              <w:top w:val="nil"/>
              <w:left w:val="nil"/>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52.9</w:t>
            </w:r>
          </w:p>
        </w:tc>
      </w:tr>
      <w:tr w:rsidR="0098612A" w:rsidRPr="00BB1212" w:rsidTr="00634F1F">
        <w:trPr>
          <w:trHeight w:val="255"/>
          <w:jc w:val="center"/>
        </w:trPr>
        <w:tc>
          <w:tcPr>
            <w:tcW w:w="2975" w:type="dxa"/>
            <w:tcBorders>
              <w:top w:val="nil"/>
              <w:left w:val="nil"/>
              <w:bottom w:val="single" w:sz="4" w:space="0" w:color="auto"/>
              <w:right w:val="nil"/>
            </w:tcBorders>
            <w:shd w:val="clear" w:color="auto" w:fill="auto"/>
            <w:noWrap/>
            <w:vAlign w:val="bottom"/>
            <w:hideMark/>
          </w:tcPr>
          <w:p w:rsidR="0098612A" w:rsidRPr="00BB1212" w:rsidRDefault="0098612A" w:rsidP="00634F1F">
            <w:pPr>
              <w:widowControl/>
              <w:jc w:val="right"/>
              <w:rPr>
                <w:rFonts w:ascii="Arial" w:hAnsi="Arial" w:cs="Arial"/>
                <w:snapToGrid/>
                <w:sz w:val="20"/>
              </w:rPr>
            </w:pPr>
            <w:r w:rsidRPr="00BB1212">
              <w:rPr>
                <w:rFonts w:ascii="Arial" w:hAnsi="Arial" w:cs="Arial"/>
                <w:snapToGrid/>
                <w:sz w:val="20"/>
              </w:rPr>
              <w:t>Three +</w:t>
            </w:r>
          </w:p>
        </w:tc>
        <w:tc>
          <w:tcPr>
            <w:tcW w:w="1465" w:type="dxa"/>
            <w:tcBorders>
              <w:top w:val="nil"/>
              <w:left w:val="nil"/>
              <w:bottom w:val="single" w:sz="4" w:space="0" w:color="auto"/>
              <w:right w:val="nil"/>
            </w:tcBorders>
            <w:shd w:val="clear" w:color="auto" w:fill="auto"/>
            <w:noWrap/>
            <w:vAlign w:val="bottom"/>
            <w:hideMark/>
          </w:tcPr>
          <w:p w:rsidR="0098612A" w:rsidRPr="00BB1212" w:rsidRDefault="0098612A" w:rsidP="00634F1F">
            <w:pPr>
              <w:widowControl/>
              <w:jc w:val="center"/>
              <w:rPr>
                <w:rFonts w:ascii="Arial" w:hAnsi="Arial" w:cs="Arial"/>
                <w:snapToGrid/>
                <w:sz w:val="20"/>
              </w:rPr>
            </w:pPr>
            <w:r w:rsidRPr="00BB1212">
              <w:rPr>
                <w:rFonts w:ascii="Arial" w:hAnsi="Arial" w:cs="Arial"/>
                <w:snapToGrid/>
                <w:sz w:val="20"/>
              </w:rPr>
              <w:t>30.1</w:t>
            </w:r>
          </w:p>
        </w:tc>
      </w:tr>
    </w:tbl>
    <w:p w:rsidR="0098612A" w:rsidRPr="00A41B71" w:rsidRDefault="0098612A" w:rsidP="0098612A">
      <w:pPr>
        <w:pStyle w:val="Heading1"/>
        <w:spacing w:line="480" w:lineRule="auto"/>
        <w:rPr>
          <w:rFonts w:ascii="Times New Roman" w:hAnsi="Times New Roman"/>
          <w:sz w:val="24"/>
        </w:rPr>
      </w:pPr>
      <w:r w:rsidRPr="00A41B71">
        <w:rPr>
          <w:rFonts w:ascii="Times New Roman" w:hAnsi="Times New Roman"/>
          <w:sz w:val="24"/>
        </w:rPr>
        <w:t>Effects of Sample Design on Statistical Inference</w:t>
      </w:r>
    </w:p>
    <w:p w:rsidR="0098612A" w:rsidRDefault="0098612A" w:rsidP="0098612A">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A41B71">
        <w:rPr>
          <w:i/>
        </w:rPr>
        <w:t>deff</w:t>
      </w:r>
      <w:r w:rsidRPr="00A41B71">
        <w:t xml:space="preserve"> represents the loss in statistical efficiency that results from a disproportionate sample desig</w:t>
      </w:r>
      <w:r>
        <w:t xml:space="preserve">n and systematic non-response. </w:t>
      </w:r>
    </w:p>
    <w:p w:rsidR="0098612A" w:rsidRPr="00A41B71" w:rsidRDefault="0098612A" w:rsidP="0098612A">
      <w:pPr>
        <w:pStyle w:val="BodyofReport"/>
      </w:pPr>
      <w:r w:rsidRPr="00A41B71">
        <w:t xml:space="preserve">PSRAI calculates the composite design effect for a sample of size </w:t>
      </w:r>
      <w:r w:rsidRPr="00A41B71">
        <w:rPr>
          <w:i/>
        </w:rPr>
        <w:t>n</w:t>
      </w:r>
      <w:r w:rsidRPr="00A41B71">
        <w:t xml:space="preserve">, with each case having a weight, </w:t>
      </w:r>
      <w:r w:rsidRPr="00A41B71">
        <w:rPr>
          <w:i/>
        </w:rPr>
        <w:t>w</w:t>
      </w:r>
      <w:r w:rsidRPr="00A41B71">
        <w:rPr>
          <w:i/>
          <w:vertAlign w:val="subscript"/>
        </w:rPr>
        <w:t>i</w:t>
      </w:r>
      <w:r w:rsidRPr="00A41B71">
        <w:t xml:space="preserve"> as:</w:t>
      </w:r>
    </w:p>
    <w:p w:rsidR="0098612A" w:rsidRPr="00A41B71" w:rsidRDefault="0098612A" w:rsidP="0098612A">
      <w:pPr>
        <w:jc w:val="center"/>
      </w:pPr>
      <w:r w:rsidRPr="00380EFC">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60288" fillcolor="window">
            <v:imagedata r:id="rId8" o:title=""/>
            <w10:wrap type="square"/>
          </v:shape>
          <o:OLEObject Type="Embed" ProgID="Equation.3" ShapeID="_x0000_s1026" DrawAspect="Content" ObjectID="_1430052190" r:id="rId9"/>
        </w:pict>
      </w:r>
    </w:p>
    <w:p w:rsidR="0098612A" w:rsidRPr="00A41B71" w:rsidRDefault="0098612A" w:rsidP="0098612A">
      <w:pPr>
        <w:pStyle w:val="BodyofReport"/>
        <w:rPr>
          <w:highlight w:val="yellow"/>
        </w:rPr>
      </w:pPr>
      <w:bookmarkStart w:id="0" w:name="_GoBack"/>
      <w:bookmarkEnd w:id="0"/>
      <w:r w:rsidRPr="00380EFC">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98612A" w:rsidRDefault="0098612A" w:rsidP="0098612A">
                  <w:pPr>
                    <w:rPr>
                      <w:i/>
                      <w:iCs/>
                    </w:rPr>
                  </w:pPr>
                  <w:r>
                    <w:rPr>
                      <w:i/>
                      <w:iCs/>
                    </w:rPr>
                    <w:t>formula 1</w:t>
                  </w:r>
                </w:p>
              </w:txbxContent>
            </v:textbox>
            <w10:wrap type="topAndBottom"/>
          </v:shape>
        </w:pict>
      </w:r>
    </w:p>
    <w:p w:rsidR="0098612A" w:rsidRPr="00A41B71" w:rsidRDefault="0098612A" w:rsidP="0098612A">
      <w:pPr>
        <w:pStyle w:val="BodyofReport"/>
        <w:rPr>
          <w:highlight w:val="yellow"/>
        </w:rPr>
      </w:pPr>
    </w:p>
    <w:p w:rsidR="0098612A" w:rsidRPr="00A41B71" w:rsidRDefault="0098612A" w:rsidP="0098612A">
      <w:pPr>
        <w:pStyle w:val="BodyofReport"/>
        <w:rPr>
          <w:highlight w:val="yellow"/>
        </w:rPr>
      </w:pPr>
    </w:p>
    <w:p w:rsidR="0098612A" w:rsidRPr="00A41B71" w:rsidRDefault="0098612A" w:rsidP="0098612A">
      <w:pPr>
        <w:pStyle w:val="BodyofReport"/>
        <w:rPr>
          <w:highlight w:val="yellow"/>
        </w:rPr>
      </w:pPr>
    </w:p>
    <w:p w:rsidR="0098612A" w:rsidRPr="00A41B71" w:rsidRDefault="0098612A" w:rsidP="0098612A">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r w:rsidRPr="00A41B71">
        <w:rPr>
          <w:i/>
          <w:iCs/>
        </w:rPr>
        <w:t xml:space="preserve">deff </w:t>
      </w:r>
      <w:r w:rsidRPr="00A41B71">
        <w:t>). Thus, the formula for computing the 95% confidence interval around a percentage is:</w:t>
      </w:r>
    </w:p>
    <w:p w:rsidR="0098612A" w:rsidRPr="00A41B71" w:rsidRDefault="0098612A" w:rsidP="0098612A">
      <w:pPr>
        <w:keepNext/>
        <w:rPr>
          <w:highlight w:val="yellow"/>
        </w:rPr>
      </w:pPr>
      <w:r w:rsidRPr="00380EFC">
        <w:rPr>
          <w:noProof/>
          <w:sz w:val="20"/>
          <w:highlight w:val="yellow"/>
        </w:rPr>
        <w:pict>
          <v:shape id="_x0000_s1028" type="#_x0000_t75" style="position:absolute;margin-left:156.7pt;margin-top:13.85pt;width:149.3pt;height:40.3pt;z-index:251662336" fillcolor="window">
            <v:imagedata r:id="rId10" o:title=""/>
            <w10:wrap type="square"/>
          </v:shape>
          <o:OLEObject Type="Embed" ProgID="Equation.3" ShapeID="_x0000_s1028" DrawAspect="Content" ObjectID="_1430052191" r:id="rId11"/>
        </w:pict>
      </w:r>
    </w:p>
    <w:p w:rsidR="0098612A" w:rsidRPr="00A41B71" w:rsidRDefault="0098612A" w:rsidP="0098612A">
      <w:pPr>
        <w:keepNext/>
        <w:ind w:firstLine="720"/>
        <w:jc w:val="center"/>
        <w:rPr>
          <w:highlight w:val="yellow"/>
        </w:rPr>
      </w:pPr>
      <w:r w:rsidRPr="00380EFC">
        <w:rPr>
          <w:noProof/>
          <w:sz w:val="20"/>
          <w:highlight w:val="yellow"/>
        </w:rPr>
        <w:pict>
          <v:shape id="_x0000_s1029" type="#_x0000_t202" style="position:absolute;left:0;text-align:left;margin-left:361.45pt;margin-top:4.3pt;width:76pt;height:26.4pt;z-index:251663360" stroked="f">
            <v:textbox>
              <w:txbxContent>
                <w:p w:rsidR="0098612A" w:rsidRDefault="0098612A" w:rsidP="0098612A">
                  <w:pPr>
                    <w:rPr>
                      <w:i/>
                      <w:iCs/>
                    </w:rPr>
                  </w:pPr>
                  <w:r>
                    <w:rPr>
                      <w:i/>
                      <w:iCs/>
                    </w:rPr>
                    <w:t>formula 2</w:t>
                  </w:r>
                </w:p>
              </w:txbxContent>
            </v:textbox>
            <w10:wrap type="topAndBottom"/>
          </v:shape>
        </w:pict>
      </w:r>
    </w:p>
    <w:p w:rsidR="0098612A" w:rsidRPr="00A41B71" w:rsidRDefault="0098612A" w:rsidP="0098612A">
      <w:pPr>
        <w:pStyle w:val="BodyofReport"/>
        <w:ind w:firstLine="0"/>
        <w:rPr>
          <w:highlight w:val="yellow"/>
        </w:rPr>
      </w:pPr>
    </w:p>
    <w:p w:rsidR="0098612A" w:rsidRPr="00A41B71" w:rsidRDefault="0098612A" w:rsidP="0098612A">
      <w:pPr>
        <w:pStyle w:val="BodyofReport"/>
        <w:ind w:firstLine="0"/>
        <w:rPr>
          <w:highlight w:val="yellow"/>
        </w:rPr>
      </w:pPr>
    </w:p>
    <w:p w:rsidR="0098612A" w:rsidRPr="00A41B71" w:rsidRDefault="0098612A" w:rsidP="0098612A">
      <w:pPr>
        <w:pStyle w:val="BodyofReport"/>
        <w:ind w:firstLine="0"/>
      </w:pPr>
      <w:r w:rsidRPr="00A41B71">
        <w:t xml:space="preserve">where </w:t>
      </w:r>
      <w:r w:rsidRPr="00A41B71">
        <w:rPr>
          <w:position w:val="-10"/>
        </w:rPr>
        <w:object w:dxaOrig="240" w:dyaOrig="320">
          <v:shape id="_x0000_i1025" type="#_x0000_t75" style="width:12.25pt;height:15.6pt" o:ole="" fillcolor="window">
            <v:imagedata r:id="rId12" o:title=""/>
          </v:shape>
          <o:OLEObject Type="Embed" ProgID="Equation.3" ShapeID="_x0000_i1025" DrawAspect="Content" ObjectID="_1430052189" r:id="rId13"/>
        </w:object>
      </w:r>
      <w:r w:rsidRPr="00A41B71">
        <w:t xml:space="preserve"> is the sample estimate and </w:t>
      </w:r>
      <w:r w:rsidRPr="00A41B71">
        <w:rPr>
          <w:i/>
        </w:rPr>
        <w:t>n</w:t>
      </w:r>
      <w:r w:rsidRPr="00A41B71">
        <w:t xml:space="preserve"> is the unweighted number of sample cases in the group being considered.</w:t>
      </w:r>
    </w:p>
    <w:p w:rsidR="0098612A" w:rsidRPr="00A00591" w:rsidRDefault="0098612A" w:rsidP="0098612A">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w:t>
      </w:r>
      <w:r w:rsidRPr="00641BA0">
        <w:t>. The margin of error reported above takes into account the design effect.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98612A" w:rsidRPr="00A41B71" w:rsidRDefault="0098612A" w:rsidP="0098612A">
      <w:pPr>
        <w:pStyle w:val="BodyofReport"/>
      </w:pPr>
    </w:p>
    <w:p w:rsidR="0098612A" w:rsidRPr="00A41B71" w:rsidRDefault="0098612A" w:rsidP="0098612A">
      <w:pPr>
        <w:pStyle w:val="BodyofReport"/>
      </w:pPr>
    </w:p>
    <w:p w:rsidR="0098612A" w:rsidRPr="00A41B71" w:rsidRDefault="0098612A" w:rsidP="005E0E64">
      <w:pPr>
        <w:pStyle w:val="BodyofReport"/>
      </w:pPr>
    </w:p>
    <w:sectPr w:rsidR="0098612A" w:rsidRPr="00A41B71"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03593" w:rsidRDefault="00103593">
      <w:r>
        <w:separator/>
      </w:r>
    </w:p>
  </w:endnote>
  <w:endnote w:type="continuationSeparator" w:id="0">
    <w:p w:rsidR="00103593" w:rsidRDefault="00103593">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D228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2286D" w:rsidRDefault="00D2286D">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D228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8612A">
      <w:rPr>
        <w:rStyle w:val="PageNumber"/>
        <w:noProof/>
      </w:rPr>
      <w:t>2</w:t>
    </w:r>
    <w:r>
      <w:rPr>
        <w:rStyle w:val="PageNumber"/>
      </w:rPr>
      <w:fldChar w:fldCharType="end"/>
    </w:r>
  </w:p>
  <w:p w:rsidR="00D2286D" w:rsidRDefault="00D2286D">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03593" w:rsidRDefault="00103593">
      <w:r>
        <w:separator/>
      </w:r>
    </w:p>
  </w:footnote>
  <w:footnote w:type="continuationSeparator" w:id="0">
    <w:p w:rsidR="00103593" w:rsidRDefault="00103593">
      <w:r>
        <w:continuationSeparator/>
      </w:r>
    </w:p>
  </w:footnote>
  <w:footnote w:id="1">
    <w:p w:rsidR="0098612A" w:rsidRDefault="0098612A" w:rsidP="0098612A">
      <w:pPr>
        <w:pStyle w:val="FootnoteText"/>
      </w:pPr>
      <w:r>
        <w:rPr>
          <w:rStyle w:val="FootnoteReference"/>
        </w:rPr>
        <w:footnoteRef/>
      </w:r>
      <w:r>
        <w:t xml:space="preserve"> i.e., whether respondents have only a landline telephone, only a cell phone, or both kinds of telephone.</w:t>
      </w:r>
    </w:p>
    <w:p w:rsidR="0098612A" w:rsidRDefault="0098612A" w:rsidP="0098612A">
      <w:pPr>
        <w:pStyle w:val="FootnoteText"/>
      </w:pPr>
    </w:p>
  </w:footnote>
  <w:footnote w:id="2">
    <w:p w:rsidR="0098612A" w:rsidRDefault="0098612A" w:rsidP="0098612A">
      <w:pPr>
        <w:pStyle w:val="FootnoteText"/>
      </w:pPr>
      <w:r>
        <w:rPr>
          <w:rStyle w:val="FootnoteReference"/>
        </w:rPr>
        <w:footnoteRef/>
      </w:r>
      <w:r>
        <w:t xml:space="preserve"> Blumberg SJ, Luke JV. Wireless substitution: Early release of estimates from the National Health Interview Survey, July-December, 2011. National Center for Health Statistics. Jul 2012.</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05B98"/>
    <w:rsid w:val="00007A41"/>
    <w:rsid w:val="00011612"/>
    <w:rsid w:val="000121BB"/>
    <w:rsid w:val="00016FEF"/>
    <w:rsid w:val="0002104A"/>
    <w:rsid w:val="00021B01"/>
    <w:rsid w:val="00023842"/>
    <w:rsid w:val="00026A8A"/>
    <w:rsid w:val="00030D23"/>
    <w:rsid w:val="00030D35"/>
    <w:rsid w:val="000315C6"/>
    <w:rsid w:val="00033809"/>
    <w:rsid w:val="00037D4A"/>
    <w:rsid w:val="000412A2"/>
    <w:rsid w:val="00044D12"/>
    <w:rsid w:val="00044DFC"/>
    <w:rsid w:val="00056770"/>
    <w:rsid w:val="00057BF3"/>
    <w:rsid w:val="000629BE"/>
    <w:rsid w:val="00070454"/>
    <w:rsid w:val="00070B6E"/>
    <w:rsid w:val="00070E07"/>
    <w:rsid w:val="000741D6"/>
    <w:rsid w:val="00083D69"/>
    <w:rsid w:val="00090193"/>
    <w:rsid w:val="00093439"/>
    <w:rsid w:val="000A7BA0"/>
    <w:rsid w:val="000B14D9"/>
    <w:rsid w:val="000B2F94"/>
    <w:rsid w:val="000B6883"/>
    <w:rsid w:val="000C1FEF"/>
    <w:rsid w:val="000C28AF"/>
    <w:rsid w:val="000C34F7"/>
    <w:rsid w:val="000C4CFF"/>
    <w:rsid w:val="000C4E36"/>
    <w:rsid w:val="000D7392"/>
    <w:rsid w:val="000E02FF"/>
    <w:rsid w:val="000F198F"/>
    <w:rsid w:val="000F6120"/>
    <w:rsid w:val="000F7DEE"/>
    <w:rsid w:val="00103593"/>
    <w:rsid w:val="00111706"/>
    <w:rsid w:val="001231E3"/>
    <w:rsid w:val="00130280"/>
    <w:rsid w:val="00131799"/>
    <w:rsid w:val="001362BA"/>
    <w:rsid w:val="0013635E"/>
    <w:rsid w:val="00143ECE"/>
    <w:rsid w:val="001463B9"/>
    <w:rsid w:val="001527D9"/>
    <w:rsid w:val="00157883"/>
    <w:rsid w:val="00163173"/>
    <w:rsid w:val="00190979"/>
    <w:rsid w:val="00191961"/>
    <w:rsid w:val="00192741"/>
    <w:rsid w:val="001A24B1"/>
    <w:rsid w:val="001A672F"/>
    <w:rsid w:val="001B1B36"/>
    <w:rsid w:val="001B3E1B"/>
    <w:rsid w:val="001B71BB"/>
    <w:rsid w:val="001C31FE"/>
    <w:rsid w:val="001C5024"/>
    <w:rsid w:val="001C5067"/>
    <w:rsid w:val="001C71AB"/>
    <w:rsid w:val="001D2280"/>
    <w:rsid w:val="001E0D82"/>
    <w:rsid w:val="001E4EF6"/>
    <w:rsid w:val="001E6B63"/>
    <w:rsid w:val="001E749A"/>
    <w:rsid w:val="001F0B0B"/>
    <w:rsid w:val="001F33EF"/>
    <w:rsid w:val="001F3A26"/>
    <w:rsid w:val="00211B95"/>
    <w:rsid w:val="00216E22"/>
    <w:rsid w:val="00220942"/>
    <w:rsid w:val="00220A73"/>
    <w:rsid w:val="00225B39"/>
    <w:rsid w:val="00235E22"/>
    <w:rsid w:val="00237DDA"/>
    <w:rsid w:val="00242E42"/>
    <w:rsid w:val="00250F0D"/>
    <w:rsid w:val="00257E51"/>
    <w:rsid w:val="0026323F"/>
    <w:rsid w:val="0026513D"/>
    <w:rsid w:val="00265327"/>
    <w:rsid w:val="0027751D"/>
    <w:rsid w:val="00283341"/>
    <w:rsid w:val="00292068"/>
    <w:rsid w:val="00293555"/>
    <w:rsid w:val="002A1A87"/>
    <w:rsid w:val="002A29A7"/>
    <w:rsid w:val="002A47C6"/>
    <w:rsid w:val="002A65D6"/>
    <w:rsid w:val="002A7A70"/>
    <w:rsid w:val="002B0288"/>
    <w:rsid w:val="002C1662"/>
    <w:rsid w:val="002C20DA"/>
    <w:rsid w:val="002D07DA"/>
    <w:rsid w:val="002D404E"/>
    <w:rsid w:val="002E04E8"/>
    <w:rsid w:val="002E0692"/>
    <w:rsid w:val="002E502D"/>
    <w:rsid w:val="002F4622"/>
    <w:rsid w:val="002F722A"/>
    <w:rsid w:val="003056F2"/>
    <w:rsid w:val="00310C09"/>
    <w:rsid w:val="003138FA"/>
    <w:rsid w:val="00315D37"/>
    <w:rsid w:val="00317A56"/>
    <w:rsid w:val="00317B28"/>
    <w:rsid w:val="00321B89"/>
    <w:rsid w:val="00323D7B"/>
    <w:rsid w:val="00330292"/>
    <w:rsid w:val="00340FA6"/>
    <w:rsid w:val="0034573F"/>
    <w:rsid w:val="00345804"/>
    <w:rsid w:val="003505FC"/>
    <w:rsid w:val="00352394"/>
    <w:rsid w:val="0035495E"/>
    <w:rsid w:val="003722A1"/>
    <w:rsid w:val="00373AE8"/>
    <w:rsid w:val="003746D9"/>
    <w:rsid w:val="003858B4"/>
    <w:rsid w:val="00394F9F"/>
    <w:rsid w:val="00395620"/>
    <w:rsid w:val="00397AF5"/>
    <w:rsid w:val="003A5D4F"/>
    <w:rsid w:val="003A68C0"/>
    <w:rsid w:val="003C4A0C"/>
    <w:rsid w:val="003D0D05"/>
    <w:rsid w:val="003D1323"/>
    <w:rsid w:val="003D1A70"/>
    <w:rsid w:val="003D2DA6"/>
    <w:rsid w:val="003D4CBC"/>
    <w:rsid w:val="003D549E"/>
    <w:rsid w:val="003E0546"/>
    <w:rsid w:val="003F0A20"/>
    <w:rsid w:val="003F25B3"/>
    <w:rsid w:val="003F4C11"/>
    <w:rsid w:val="00403581"/>
    <w:rsid w:val="00410ED0"/>
    <w:rsid w:val="00411CA2"/>
    <w:rsid w:val="00412B7C"/>
    <w:rsid w:val="00417FEB"/>
    <w:rsid w:val="00420D06"/>
    <w:rsid w:val="0042541A"/>
    <w:rsid w:val="00433DD0"/>
    <w:rsid w:val="004355FC"/>
    <w:rsid w:val="004549EB"/>
    <w:rsid w:val="00456E5B"/>
    <w:rsid w:val="00457C71"/>
    <w:rsid w:val="004614B5"/>
    <w:rsid w:val="0046253A"/>
    <w:rsid w:val="00472367"/>
    <w:rsid w:val="00476965"/>
    <w:rsid w:val="004802B7"/>
    <w:rsid w:val="00482FE7"/>
    <w:rsid w:val="00486FF3"/>
    <w:rsid w:val="00490CF4"/>
    <w:rsid w:val="004A14C9"/>
    <w:rsid w:val="004A79C1"/>
    <w:rsid w:val="004B14C2"/>
    <w:rsid w:val="004B2CBA"/>
    <w:rsid w:val="004B3F0B"/>
    <w:rsid w:val="004B6EBA"/>
    <w:rsid w:val="004C4823"/>
    <w:rsid w:val="004D0ADC"/>
    <w:rsid w:val="004D1E08"/>
    <w:rsid w:val="004D59F8"/>
    <w:rsid w:val="004D5EC2"/>
    <w:rsid w:val="004E1722"/>
    <w:rsid w:val="004E2034"/>
    <w:rsid w:val="004E2AA4"/>
    <w:rsid w:val="004E49E3"/>
    <w:rsid w:val="004F5EBA"/>
    <w:rsid w:val="004F61D9"/>
    <w:rsid w:val="004F6648"/>
    <w:rsid w:val="005007A5"/>
    <w:rsid w:val="005022A4"/>
    <w:rsid w:val="00506C34"/>
    <w:rsid w:val="00510501"/>
    <w:rsid w:val="00515EF8"/>
    <w:rsid w:val="0051669C"/>
    <w:rsid w:val="00517C68"/>
    <w:rsid w:val="00521245"/>
    <w:rsid w:val="005219D3"/>
    <w:rsid w:val="00524448"/>
    <w:rsid w:val="00536C12"/>
    <w:rsid w:val="00551108"/>
    <w:rsid w:val="00554C42"/>
    <w:rsid w:val="00556B8F"/>
    <w:rsid w:val="005614D9"/>
    <w:rsid w:val="00564385"/>
    <w:rsid w:val="0057363B"/>
    <w:rsid w:val="0058225B"/>
    <w:rsid w:val="00583E4B"/>
    <w:rsid w:val="00590C09"/>
    <w:rsid w:val="005918DA"/>
    <w:rsid w:val="00591E81"/>
    <w:rsid w:val="00596462"/>
    <w:rsid w:val="005A3A8D"/>
    <w:rsid w:val="005B1FCC"/>
    <w:rsid w:val="005B3131"/>
    <w:rsid w:val="005B4D57"/>
    <w:rsid w:val="005B5160"/>
    <w:rsid w:val="005B7CFB"/>
    <w:rsid w:val="005C6028"/>
    <w:rsid w:val="005D434D"/>
    <w:rsid w:val="005E053D"/>
    <w:rsid w:val="005E0E64"/>
    <w:rsid w:val="0060289D"/>
    <w:rsid w:val="00606D26"/>
    <w:rsid w:val="00610F8D"/>
    <w:rsid w:val="00612E12"/>
    <w:rsid w:val="0061555E"/>
    <w:rsid w:val="00617D7D"/>
    <w:rsid w:val="00621ACB"/>
    <w:rsid w:val="00623788"/>
    <w:rsid w:val="0062404E"/>
    <w:rsid w:val="00627230"/>
    <w:rsid w:val="00631383"/>
    <w:rsid w:val="0063458C"/>
    <w:rsid w:val="0063530C"/>
    <w:rsid w:val="00635942"/>
    <w:rsid w:val="00637B08"/>
    <w:rsid w:val="00637EBD"/>
    <w:rsid w:val="00644E19"/>
    <w:rsid w:val="00646625"/>
    <w:rsid w:val="006510CC"/>
    <w:rsid w:val="00651ABF"/>
    <w:rsid w:val="00655A8D"/>
    <w:rsid w:val="00655F47"/>
    <w:rsid w:val="006565F0"/>
    <w:rsid w:val="006574D9"/>
    <w:rsid w:val="006619BB"/>
    <w:rsid w:val="00663462"/>
    <w:rsid w:val="00663B9E"/>
    <w:rsid w:val="00664AD3"/>
    <w:rsid w:val="0066695C"/>
    <w:rsid w:val="00670382"/>
    <w:rsid w:val="00675DD6"/>
    <w:rsid w:val="006806AB"/>
    <w:rsid w:val="00685614"/>
    <w:rsid w:val="006856F9"/>
    <w:rsid w:val="00686D59"/>
    <w:rsid w:val="00693612"/>
    <w:rsid w:val="00696461"/>
    <w:rsid w:val="006A0F4C"/>
    <w:rsid w:val="006A2BB5"/>
    <w:rsid w:val="006A4A3E"/>
    <w:rsid w:val="006A5276"/>
    <w:rsid w:val="006B16F6"/>
    <w:rsid w:val="006B56F0"/>
    <w:rsid w:val="006C2CB5"/>
    <w:rsid w:val="006D0D3B"/>
    <w:rsid w:val="006D55E6"/>
    <w:rsid w:val="006D6F57"/>
    <w:rsid w:val="006E412D"/>
    <w:rsid w:val="006E6193"/>
    <w:rsid w:val="006F0E61"/>
    <w:rsid w:val="006F3C2C"/>
    <w:rsid w:val="006F587D"/>
    <w:rsid w:val="00702B74"/>
    <w:rsid w:val="007045E6"/>
    <w:rsid w:val="007125E9"/>
    <w:rsid w:val="007160A3"/>
    <w:rsid w:val="0072702B"/>
    <w:rsid w:val="0073658A"/>
    <w:rsid w:val="00736D52"/>
    <w:rsid w:val="00740356"/>
    <w:rsid w:val="00740E52"/>
    <w:rsid w:val="007600C8"/>
    <w:rsid w:val="00762AE3"/>
    <w:rsid w:val="00763A47"/>
    <w:rsid w:val="00774515"/>
    <w:rsid w:val="007776D0"/>
    <w:rsid w:val="007829FA"/>
    <w:rsid w:val="00784348"/>
    <w:rsid w:val="007A2DE2"/>
    <w:rsid w:val="007A383F"/>
    <w:rsid w:val="007A4974"/>
    <w:rsid w:val="007A7974"/>
    <w:rsid w:val="007B0299"/>
    <w:rsid w:val="007B16D9"/>
    <w:rsid w:val="007B2019"/>
    <w:rsid w:val="007B28B2"/>
    <w:rsid w:val="007B5C0D"/>
    <w:rsid w:val="007B750B"/>
    <w:rsid w:val="007D3DB5"/>
    <w:rsid w:val="007D4577"/>
    <w:rsid w:val="007F2FD8"/>
    <w:rsid w:val="007F4B7F"/>
    <w:rsid w:val="00802416"/>
    <w:rsid w:val="00802B68"/>
    <w:rsid w:val="00805896"/>
    <w:rsid w:val="00810DC7"/>
    <w:rsid w:val="00813481"/>
    <w:rsid w:val="0081385B"/>
    <w:rsid w:val="008153FA"/>
    <w:rsid w:val="008163B0"/>
    <w:rsid w:val="008212E9"/>
    <w:rsid w:val="00827269"/>
    <w:rsid w:val="00835237"/>
    <w:rsid w:val="00835534"/>
    <w:rsid w:val="00836EA5"/>
    <w:rsid w:val="00837168"/>
    <w:rsid w:val="00841D2D"/>
    <w:rsid w:val="00850830"/>
    <w:rsid w:val="0085407B"/>
    <w:rsid w:val="00854ACD"/>
    <w:rsid w:val="0085524B"/>
    <w:rsid w:val="00861E4D"/>
    <w:rsid w:val="00865B1C"/>
    <w:rsid w:val="00866048"/>
    <w:rsid w:val="0086790A"/>
    <w:rsid w:val="008722B0"/>
    <w:rsid w:val="008847B9"/>
    <w:rsid w:val="00893378"/>
    <w:rsid w:val="00895B18"/>
    <w:rsid w:val="008A0F23"/>
    <w:rsid w:val="008A7701"/>
    <w:rsid w:val="008B367A"/>
    <w:rsid w:val="008B6C09"/>
    <w:rsid w:val="008C5ABE"/>
    <w:rsid w:val="008C6462"/>
    <w:rsid w:val="008C741A"/>
    <w:rsid w:val="008D231D"/>
    <w:rsid w:val="008D415B"/>
    <w:rsid w:val="008D6058"/>
    <w:rsid w:val="008D7F91"/>
    <w:rsid w:val="008E1768"/>
    <w:rsid w:val="008E1B6A"/>
    <w:rsid w:val="008E3900"/>
    <w:rsid w:val="008E51CF"/>
    <w:rsid w:val="008F3060"/>
    <w:rsid w:val="008F40BC"/>
    <w:rsid w:val="009047F2"/>
    <w:rsid w:val="00910210"/>
    <w:rsid w:val="009242C7"/>
    <w:rsid w:val="00930D62"/>
    <w:rsid w:val="00936420"/>
    <w:rsid w:val="009409C6"/>
    <w:rsid w:val="009413A7"/>
    <w:rsid w:val="00944CD4"/>
    <w:rsid w:val="00954798"/>
    <w:rsid w:val="0095560B"/>
    <w:rsid w:val="00955B62"/>
    <w:rsid w:val="00962735"/>
    <w:rsid w:val="00962FED"/>
    <w:rsid w:val="0096314D"/>
    <w:rsid w:val="00970304"/>
    <w:rsid w:val="0097199A"/>
    <w:rsid w:val="00972B15"/>
    <w:rsid w:val="00974654"/>
    <w:rsid w:val="0097655F"/>
    <w:rsid w:val="0098176C"/>
    <w:rsid w:val="009848BF"/>
    <w:rsid w:val="0098612A"/>
    <w:rsid w:val="0099056E"/>
    <w:rsid w:val="00991442"/>
    <w:rsid w:val="0099256E"/>
    <w:rsid w:val="009A7F8F"/>
    <w:rsid w:val="009B4E56"/>
    <w:rsid w:val="009C1DDD"/>
    <w:rsid w:val="009C614A"/>
    <w:rsid w:val="009D3B08"/>
    <w:rsid w:val="009D6AAB"/>
    <w:rsid w:val="009E107E"/>
    <w:rsid w:val="009E19E1"/>
    <w:rsid w:val="009F04FF"/>
    <w:rsid w:val="009F1C5C"/>
    <w:rsid w:val="009F1D3E"/>
    <w:rsid w:val="009F34C9"/>
    <w:rsid w:val="009F592D"/>
    <w:rsid w:val="00A06ADE"/>
    <w:rsid w:val="00A15C25"/>
    <w:rsid w:val="00A20A50"/>
    <w:rsid w:val="00A20E44"/>
    <w:rsid w:val="00A22B7C"/>
    <w:rsid w:val="00A23A70"/>
    <w:rsid w:val="00A27C5C"/>
    <w:rsid w:val="00A30F0D"/>
    <w:rsid w:val="00A31E3E"/>
    <w:rsid w:val="00A3472A"/>
    <w:rsid w:val="00A356C2"/>
    <w:rsid w:val="00A41B71"/>
    <w:rsid w:val="00A435C6"/>
    <w:rsid w:val="00A43CC8"/>
    <w:rsid w:val="00A4484C"/>
    <w:rsid w:val="00A523B0"/>
    <w:rsid w:val="00A52C43"/>
    <w:rsid w:val="00A55309"/>
    <w:rsid w:val="00A6283E"/>
    <w:rsid w:val="00A62FCD"/>
    <w:rsid w:val="00A65166"/>
    <w:rsid w:val="00A6706D"/>
    <w:rsid w:val="00A84300"/>
    <w:rsid w:val="00AA3ADB"/>
    <w:rsid w:val="00AA4673"/>
    <w:rsid w:val="00AA523C"/>
    <w:rsid w:val="00AB2ADD"/>
    <w:rsid w:val="00AB4F89"/>
    <w:rsid w:val="00AC049A"/>
    <w:rsid w:val="00AE246D"/>
    <w:rsid w:val="00AF3932"/>
    <w:rsid w:val="00AF3CD2"/>
    <w:rsid w:val="00AF6F6F"/>
    <w:rsid w:val="00B000B1"/>
    <w:rsid w:val="00B0021E"/>
    <w:rsid w:val="00B066F4"/>
    <w:rsid w:val="00B1198C"/>
    <w:rsid w:val="00B24A19"/>
    <w:rsid w:val="00B24C1B"/>
    <w:rsid w:val="00B26451"/>
    <w:rsid w:val="00B33F23"/>
    <w:rsid w:val="00B358A9"/>
    <w:rsid w:val="00B35977"/>
    <w:rsid w:val="00B37182"/>
    <w:rsid w:val="00B454EE"/>
    <w:rsid w:val="00B646B1"/>
    <w:rsid w:val="00B66F41"/>
    <w:rsid w:val="00B76E3B"/>
    <w:rsid w:val="00B811E6"/>
    <w:rsid w:val="00B8220B"/>
    <w:rsid w:val="00B848C0"/>
    <w:rsid w:val="00BA31E1"/>
    <w:rsid w:val="00BA5B1D"/>
    <w:rsid w:val="00BB1985"/>
    <w:rsid w:val="00BB52B3"/>
    <w:rsid w:val="00BB7DA7"/>
    <w:rsid w:val="00BB7F2D"/>
    <w:rsid w:val="00BC275F"/>
    <w:rsid w:val="00BD0730"/>
    <w:rsid w:val="00BD5539"/>
    <w:rsid w:val="00BE0F14"/>
    <w:rsid w:val="00BE1176"/>
    <w:rsid w:val="00BE163F"/>
    <w:rsid w:val="00BE196D"/>
    <w:rsid w:val="00BE3833"/>
    <w:rsid w:val="00BE553D"/>
    <w:rsid w:val="00BF6DE2"/>
    <w:rsid w:val="00C02668"/>
    <w:rsid w:val="00C05870"/>
    <w:rsid w:val="00C11571"/>
    <w:rsid w:val="00C1275E"/>
    <w:rsid w:val="00C1287E"/>
    <w:rsid w:val="00C21FF7"/>
    <w:rsid w:val="00C3105E"/>
    <w:rsid w:val="00C35FAC"/>
    <w:rsid w:val="00C3682C"/>
    <w:rsid w:val="00C36F59"/>
    <w:rsid w:val="00C40824"/>
    <w:rsid w:val="00C41F04"/>
    <w:rsid w:val="00C455CB"/>
    <w:rsid w:val="00C47657"/>
    <w:rsid w:val="00C50D6E"/>
    <w:rsid w:val="00C549C6"/>
    <w:rsid w:val="00C61CFE"/>
    <w:rsid w:val="00C65DB8"/>
    <w:rsid w:val="00C716FE"/>
    <w:rsid w:val="00C72339"/>
    <w:rsid w:val="00C73FC4"/>
    <w:rsid w:val="00C745D3"/>
    <w:rsid w:val="00C75BF5"/>
    <w:rsid w:val="00C82CD1"/>
    <w:rsid w:val="00C84533"/>
    <w:rsid w:val="00C84950"/>
    <w:rsid w:val="00C95C3A"/>
    <w:rsid w:val="00CA07D3"/>
    <w:rsid w:val="00CB1363"/>
    <w:rsid w:val="00CB492A"/>
    <w:rsid w:val="00CC1C29"/>
    <w:rsid w:val="00CC5024"/>
    <w:rsid w:val="00CC765F"/>
    <w:rsid w:val="00CE058D"/>
    <w:rsid w:val="00CE5342"/>
    <w:rsid w:val="00CE6D3E"/>
    <w:rsid w:val="00CF1AF4"/>
    <w:rsid w:val="00CF35AB"/>
    <w:rsid w:val="00CF4D0D"/>
    <w:rsid w:val="00CF64C7"/>
    <w:rsid w:val="00D048CC"/>
    <w:rsid w:val="00D06369"/>
    <w:rsid w:val="00D1229D"/>
    <w:rsid w:val="00D12FDB"/>
    <w:rsid w:val="00D2286D"/>
    <w:rsid w:val="00D22D54"/>
    <w:rsid w:val="00D2369B"/>
    <w:rsid w:val="00D25B92"/>
    <w:rsid w:val="00D3116B"/>
    <w:rsid w:val="00D312C5"/>
    <w:rsid w:val="00D3221E"/>
    <w:rsid w:val="00D35826"/>
    <w:rsid w:val="00D37019"/>
    <w:rsid w:val="00D41AA6"/>
    <w:rsid w:val="00D44672"/>
    <w:rsid w:val="00D45B0E"/>
    <w:rsid w:val="00D55B67"/>
    <w:rsid w:val="00D62EA2"/>
    <w:rsid w:val="00D67A8E"/>
    <w:rsid w:val="00D81465"/>
    <w:rsid w:val="00D8542E"/>
    <w:rsid w:val="00D87557"/>
    <w:rsid w:val="00D95B1C"/>
    <w:rsid w:val="00D95CC4"/>
    <w:rsid w:val="00D9631D"/>
    <w:rsid w:val="00DA521E"/>
    <w:rsid w:val="00DB0774"/>
    <w:rsid w:val="00DB50F8"/>
    <w:rsid w:val="00DC18FA"/>
    <w:rsid w:val="00DC2C3E"/>
    <w:rsid w:val="00DC38C3"/>
    <w:rsid w:val="00DC70EE"/>
    <w:rsid w:val="00DD57C0"/>
    <w:rsid w:val="00DE324E"/>
    <w:rsid w:val="00DE3E76"/>
    <w:rsid w:val="00DF1948"/>
    <w:rsid w:val="00DF75B3"/>
    <w:rsid w:val="00DF7DAC"/>
    <w:rsid w:val="00E01F60"/>
    <w:rsid w:val="00E0341A"/>
    <w:rsid w:val="00E03BCC"/>
    <w:rsid w:val="00E05213"/>
    <w:rsid w:val="00E11ACE"/>
    <w:rsid w:val="00E15C2E"/>
    <w:rsid w:val="00E2059E"/>
    <w:rsid w:val="00E2253A"/>
    <w:rsid w:val="00E226E3"/>
    <w:rsid w:val="00E23582"/>
    <w:rsid w:val="00E25F2D"/>
    <w:rsid w:val="00E26B23"/>
    <w:rsid w:val="00E32207"/>
    <w:rsid w:val="00E32B01"/>
    <w:rsid w:val="00E36A32"/>
    <w:rsid w:val="00E4256E"/>
    <w:rsid w:val="00E51DFD"/>
    <w:rsid w:val="00E5226F"/>
    <w:rsid w:val="00E53DA6"/>
    <w:rsid w:val="00E5621A"/>
    <w:rsid w:val="00E64E23"/>
    <w:rsid w:val="00E670ED"/>
    <w:rsid w:val="00E67CA9"/>
    <w:rsid w:val="00E67D9C"/>
    <w:rsid w:val="00E7389C"/>
    <w:rsid w:val="00E74092"/>
    <w:rsid w:val="00E74220"/>
    <w:rsid w:val="00E80C69"/>
    <w:rsid w:val="00E826E0"/>
    <w:rsid w:val="00E8387D"/>
    <w:rsid w:val="00E86BB0"/>
    <w:rsid w:val="00E9014B"/>
    <w:rsid w:val="00E95C0F"/>
    <w:rsid w:val="00EA25F0"/>
    <w:rsid w:val="00EA5492"/>
    <w:rsid w:val="00EA7358"/>
    <w:rsid w:val="00EA7BDF"/>
    <w:rsid w:val="00EB1A72"/>
    <w:rsid w:val="00EB2DCB"/>
    <w:rsid w:val="00EB5AB5"/>
    <w:rsid w:val="00EC0087"/>
    <w:rsid w:val="00EC57EF"/>
    <w:rsid w:val="00ED03CB"/>
    <w:rsid w:val="00ED34C5"/>
    <w:rsid w:val="00ED58BB"/>
    <w:rsid w:val="00EE1BB7"/>
    <w:rsid w:val="00EF26F3"/>
    <w:rsid w:val="00EF4E13"/>
    <w:rsid w:val="00F01001"/>
    <w:rsid w:val="00F11BB4"/>
    <w:rsid w:val="00F11F75"/>
    <w:rsid w:val="00F16150"/>
    <w:rsid w:val="00F26D49"/>
    <w:rsid w:val="00F30364"/>
    <w:rsid w:val="00F37FC2"/>
    <w:rsid w:val="00F51248"/>
    <w:rsid w:val="00F53266"/>
    <w:rsid w:val="00F649AE"/>
    <w:rsid w:val="00F77EFD"/>
    <w:rsid w:val="00F807FC"/>
    <w:rsid w:val="00F8157C"/>
    <w:rsid w:val="00F8773A"/>
    <w:rsid w:val="00F931AC"/>
    <w:rsid w:val="00FA5833"/>
    <w:rsid w:val="00FB16B6"/>
    <w:rsid w:val="00FB23C4"/>
    <w:rsid w:val="00FB3744"/>
    <w:rsid w:val="00FB63CA"/>
    <w:rsid w:val="00FB6864"/>
    <w:rsid w:val="00FC5893"/>
    <w:rsid w:val="00FC62FA"/>
    <w:rsid w:val="00FC7537"/>
    <w:rsid w:val="00FC79B5"/>
    <w:rsid w:val="00FD202C"/>
    <w:rsid w:val="00FD3A04"/>
    <w:rsid w:val="00FD3E77"/>
    <w:rsid w:val="00FE741E"/>
    <w:rsid w:val="00FF084C"/>
    <w:rsid w:val="00FF17D3"/>
    <w:rsid w:val="00FF1C43"/>
    <w:rsid w:val="00FF32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BC3BBE-0B7F-410C-AD14-19FEF687E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1084</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7255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Alec Tyson</cp:lastModifiedBy>
  <cp:revision>2</cp:revision>
  <cp:lastPrinted>2011-02-22T13:55:00Z</cp:lastPrinted>
  <dcterms:created xsi:type="dcterms:W3CDTF">2013-05-14T19:57:00Z</dcterms:created>
  <dcterms:modified xsi:type="dcterms:W3CDTF">2013-05-14T19:57:00Z</dcterms:modified>
</cp:coreProperties>
</file>