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Virtual Private Cloud(VPC) with both private and public subnets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Roboto" w:cs="Roboto" w:eastAsia="Roboto" w:hAnsi="Roboto"/>
                <w:b w:val="1"/>
                <w:color w:val="444444"/>
                <w:sz w:val="23"/>
                <w:szCs w:val="23"/>
                <w:highlight w:val="white"/>
              </w:rPr>
              <w:drawing>
                <wp:inline distB="114300" distT="114300" distL="114300" distR="114300">
                  <wp:extent cx="2838450" cy="1054100"/>
                  <wp:effectExtent b="0" l="0" r="0" t="0"/>
                  <wp:docPr id="2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838450" cy="105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986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1498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second private subnet. Two subnets are required for RDS DB Subnet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9525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838450" cy="952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Security Group for a public web server that allows SSH from the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62000"/>
                  <wp:effectExtent b="0" l="0" r="0" t="0"/>
                  <wp:docPr id="4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838450" cy="762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Group is created with correct ports and is linked to the VPC previously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371600"/>
                  <wp:effectExtent b="0" l="0" r="0" t="0"/>
                  <wp:docPr id="3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security group that has private access to an RDS Database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92300"/>
                  <wp:effectExtent b="0" l="0" r="0" t="0"/>
                  <wp:docPr id="38"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2838450" cy="189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Subnet group from previously created Subnets. These will be the designated Database subnets for a DB Instance created under the specified VPC.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97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38450" cy="219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the two private Subnets to the subnet group. Ensure that the availability zone is different for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803400"/>
                  <wp:effectExtent b="0" l="0" r="0" t="0"/>
                  <wp:docPr id="4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838450"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MySQL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667000"/>
                  <wp:effectExtent b="0" l="0" r="0" t="0"/>
                  <wp:docPr id="37"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838450"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DB will be created as “Dev/Test”. As described, this will serve as a development level Database but not intended for production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2606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38450" cy="226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DB instance will set to be large considering the amount of data intended to be loaded. A total of 150 gb of storage will be allocated.</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Launch the DB as a multi-availability zone deployment with a standby instance. Connect the DB to previously created VPC and Subnet Group.</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844800"/>
                  <wp:effectExtent b="0" l="0" r="0" t="0"/>
                  <wp:docPr id="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38450" cy="2844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070100"/>
                  <wp:effectExtent b="0" l="0" r="0" t="0"/>
                  <wp:docPr id="2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838450" cy="207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3749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38450" cy="237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Launch an Ubuntu Instance for DB Access. This instance will be extra large as it will facilitate the loading of very large datasets into the MySQL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drawing>
                <wp:inline distB="114300" distT="114300" distL="114300" distR="114300">
                  <wp:extent cx="2838450" cy="1714500"/>
                  <wp:effectExtent b="0" l="0" r="0" t="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drawing>
                <wp:inline distB="114300" distT="114300" distL="114300" distR="114300">
                  <wp:extent cx="2795588" cy="801402"/>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95588" cy="80140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t xml:space="preserve">Attach Ubuntu Instance to an Auto Scaling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drawing>
                <wp:inline distB="114300" distT="114300" distL="114300" distR="114300">
                  <wp:extent cx="2838450" cy="1358900"/>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838450" cy="135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Modify volume attached to instance to 200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764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838450" cy="167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New" w:cs="Courier New" w:eastAsia="Courier New" w:hAnsi="Courier New"/>
                <w:b w:val="1"/>
                <w:color w:val="1d8102"/>
                <w:shd w:fill="f9f9f9" w:val="clear"/>
              </w:rPr>
            </w:pPr>
            <w:r w:rsidDel="00000000" w:rsidR="00000000" w:rsidRPr="00000000">
              <w:rPr>
                <w:rtl w:val="0"/>
              </w:rPr>
              <w:t xml:space="preserve">Using the following commands, view the distribution of memory across the instance. In order to utilize the additional storage, it must be distributed to the working directory of the instance. “Grow” the xvda1 directory to absorb additional memory</w:t>
            </w:r>
            <w:r w:rsidDel="00000000" w:rsidR="00000000" w:rsidRPr="00000000">
              <w:rPr>
                <w:rtl w:val="0"/>
              </w:rPr>
            </w:r>
          </w:p>
          <w:p w:rsidR="00000000" w:rsidDel="00000000" w:rsidP="00000000" w:rsidRDefault="00000000" w:rsidRPr="00000000" w14:paraId="00000025">
            <w:pPr>
              <w:widowControl w:val="0"/>
              <w:spacing w:line="240" w:lineRule="auto"/>
              <w:rPr>
                <w:rFonts w:ascii="Courier New" w:cs="Courier New" w:eastAsia="Courier New" w:hAnsi="Courier New"/>
                <w:b w:val="1"/>
                <w:color w:val="1d8102"/>
                <w:shd w:fill="f9f9f9" w:val="clear"/>
              </w:rPr>
            </w:pPr>
            <w:r w:rsidDel="00000000" w:rsidR="00000000" w:rsidRPr="00000000">
              <w:rPr>
                <w:rtl w:val="0"/>
              </w:rPr>
            </w:r>
          </w:p>
          <w:p w:rsidR="00000000" w:rsidDel="00000000" w:rsidP="00000000" w:rsidRDefault="00000000" w:rsidRPr="00000000" w14:paraId="00000026">
            <w:pPr>
              <w:widowControl w:val="0"/>
              <w:spacing w:line="240" w:lineRule="auto"/>
              <w:rPr>
                <w:rFonts w:ascii="Courier New" w:cs="Courier New" w:eastAsia="Courier New" w:hAnsi="Courier New"/>
                <w:b w:val="1"/>
                <w:color w:val="1d8102"/>
                <w:shd w:fill="f9f9f9" w:val="clear"/>
              </w:rPr>
            </w:pPr>
            <w:r w:rsidDel="00000000" w:rsidR="00000000" w:rsidRPr="00000000">
              <w:rPr>
                <w:rFonts w:ascii="Courier New" w:cs="Courier New" w:eastAsia="Courier New" w:hAnsi="Courier New"/>
                <w:b w:val="1"/>
                <w:color w:val="1d8102"/>
                <w:shd w:fill="f9f9f9" w:val="clear"/>
                <w:rtl w:val="0"/>
              </w:rPr>
              <w:t xml:space="preserve">lsblk</w:t>
            </w:r>
          </w:p>
          <w:p w:rsidR="00000000" w:rsidDel="00000000" w:rsidP="00000000" w:rsidRDefault="00000000" w:rsidRPr="00000000" w14:paraId="00000027">
            <w:pPr>
              <w:widowControl w:val="0"/>
              <w:spacing w:line="240" w:lineRule="auto"/>
              <w:rPr>
                <w:rFonts w:ascii="Courier New" w:cs="Courier New" w:eastAsia="Courier New" w:hAnsi="Courier New"/>
                <w:b w:val="1"/>
                <w:color w:val="1d8102"/>
                <w:shd w:fill="f9f9f9" w:val="clear"/>
              </w:rPr>
            </w:pPr>
            <w:r w:rsidDel="00000000" w:rsidR="00000000" w:rsidRPr="00000000">
              <w:rPr>
                <w:rFonts w:ascii="Courier New" w:cs="Courier New" w:eastAsia="Courier New" w:hAnsi="Courier New"/>
                <w:b w:val="1"/>
                <w:color w:val="1d8102"/>
                <w:shd w:fill="f9f9f9" w:val="clear"/>
                <w:rtl w:val="0"/>
              </w:rPr>
              <w:t xml:space="preserve">df -h</w:t>
            </w:r>
          </w:p>
          <w:p w:rsidR="00000000" w:rsidDel="00000000" w:rsidP="00000000" w:rsidRDefault="00000000" w:rsidRPr="00000000" w14:paraId="00000028">
            <w:pPr>
              <w:widowControl w:val="0"/>
              <w:spacing w:line="240" w:lineRule="auto"/>
              <w:rPr>
                <w:rFonts w:ascii="Courier New" w:cs="Courier New" w:eastAsia="Courier New" w:hAnsi="Courier New"/>
                <w:b w:val="1"/>
                <w:color w:val="1d8102"/>
                <w:shd w:fill="f9f9f9" w:val="clear"/>
              </w:rPr>
            </w:pPr>
            <w:r w:rsidDel="00000000" w:rsidR="00000000" w:rsidRPr="00000000">
              <w:rPr>
                <w:rFonts w:ascii="Courier New" w:cs="Courier New" w:eastAsia="Courier New" w:hAnsi="Courier New"/>
                <w:b w:val="1"/>
                <w:color w:val="1d8102"/>
                <w:shd w:fill="f9f9f9" w:val="clear"/>
                <w:rtl w:val="0"/>
              </w:rPr>
              <w:t xml:space="preserve">sudo growpart /dev/xvda 1</w:t>
            </w:r>
          </w:p>
          <w:p w:rsidR="00000000" w:rsidDel="00000000" w:rsidP="00000000" w:rsidRDefault="00000000" w:rsidRPr="00000000" w14:paraId="00000029">
            <w:pPr>
              <w:widowControl w:val="0"/>
              <w:spacing w:line="240" w:lineRule="auto"/>
              <w:rPr/>
            </w:pPr>
            <w:r w:rsidDel="00000000" w:rsidR="00000000" w:rsidRPr="00000000">
              <w:rPr>
                <w:rFonts w:ascii="Courier New" w:cs="Courier New" w:eastAsia="Courier New" w:hAnsi="Courier New"/>
                <w:b w:val="1"/>
                <w:color w:val="1d8102"/>
                <w:shd w:fill="f9f9f9" w:val="clear"/>
                <w:rtl w:val="0"/>
              </w:rPr>
              <w:t xml:space="preserve">sudo resize2fs /dev/xvda1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Fonts w:ascii="Courier New" w:cs="Courier New" w:eastAsia="Courier New" w:hAnsi="Courier New"/>
                <w:b w:val="1"/>
                <w:color w:val="1d8102"/>
                <w:shd w:fill="f9f9f9" w:val="clear"/>
              </w:rPr>
              <w:drawing>
                <wp:inline distB="114300" distT="114300" distL="114300" distR="114300">
                  <wp:extent cx="2838450" cy="2019300"/>
                  <wp:effectExtent b="0" l="0" r="0" t="0"/>
                  <wp:docPr id="3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838450" cy="2019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GDELT uploads files daily starting in 2013. We will use the WGET command to download every daily upload csv into our Ubuntu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9080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38450" cy="259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directory to hold GDELT data. Use WGET to download every zip file in the web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drawing>
                <wp:inline distB="114300" distT="114300" distL="114300" distR="114300">
                  <wp:extent cx="2838450" cy="1562100"/>
                  <wp:effectExtent b="0" l="0" r="0" t="0"/>
                  <wp:docPr id="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838450" cy="156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total of 2553 files are uploaded, for a total of 26 gb in zip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drawing>
                <wp:inline distB="114300" distT="114300" distL="114300" distR="114300">
                  <wp:extent cx="2838450" cy="889000"/>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838450" cy="88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Unzip every file and delete the 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ourier New" w:cs="Courier New" w:eastAsia="Courier New" w:hAnsi="Courier New"/>
                <w:b w:val="1"/>
                <w:color w:val="1d8102"/>
                <w:shd w:fill="f9f9f9" w:val="clear"/>
              </w:rPr>
            </w:pPr>
            <w:r w:rsidDel="00000000" w:rsidR="00000000" w:rsidRPr="00000000">
              <w:rPr/>
              <w:drawing>
                <wp:inline distB="114300" distT="114300" distL="114300" distR="114300">
                  <wp:extent cx="2838450" cy="1079500"/>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8384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1d8102"/>
                <w:shd w:fill="f9f9f9" w:val="clear"/>
              </w:rPr>
            </w:pP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After unzipping, the events folder houses nearly 150 gb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7800"/>
                  <wp:effectExtent b="0" l="0" r="0" t="0"/>
                  <wp:docPr id="1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838450" cy="17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Create a shell script that accesses the Database and create a table for every year of events in our events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drawing>
                <wp:inline distB="114300" distT="114300" distL="114300" distR="114300">
                  <wp:extent cx="2838450" cy="660400"/>
                  <wp:effectExtent b="0" l="0" r="0" t="0"/>
                  <wp:docPr id="3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838450" cy="66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 create a shell script that upload all ~2500 csv files into the Database tables by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723900"/>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838450"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460500"/>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838450" cy="146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 all regional curated files from acled and store in local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032000"/>
                  <wp:effectExtent b="0" l="0" r="0" t="0"/>
                  <wp:docPr id="1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838450" cy="2032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an S3 bucket to store ACLED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044700"/>
                  <wp:effectExtent b="0" l="0" r="0" t="0"/>
                  <wp:docPr id="3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Upload all ACLED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079500"/>
                  <wp:effectExtent b="0" l="0" r="0" t="0"/>
                  <wp:docPr id="2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838450" cy="1079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 Fuse in the Instance, access S3 bucket and download ACLED Data into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603500"/>
                  <wp:effectExtent b="0" l="0" r="0" t="0"/>
                  <wp:docPr id="23"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2838450" cy="260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shell script that creates table in ACLED database to store all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81000"/>
                  <wp:effectExtent b="0" l="0" r="0" t="0"/>
                  <wp:docPr id="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838450" cy="38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shell script to upload all ACLED data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82600"/>
                  <wp:effectExtent b="0" l="0" r="0" t="0"/>
                  <wp:docPr id="1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838450" cy="48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now have a database that holds ~ 750,000 ACLED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47925" cy="2028825"/>
                  <wp:effectExtent b="0" l="0" r="0" t="0"/>
                  <wp:docPr id="1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447925" cy="20288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IAM roles for group member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82600"/>
                  <wp:effectExtent b="0" l="0" r="0" t="0"/>
                  <wp:docPr id="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838450" cy="48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user access to EC2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651000"/>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838450" cy="165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Grant password authentication on EC2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drawing>
                <wp:inline distB="114300" distT="114300" distL="114300" distR="114300">
                  <wp:extent cx="2838450" cy="850900"/>
                  <wp:effectExtent b="0" l="0" r="0" t="0"/>
                  <wp:docPr id="22"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838450" cy="850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table from events_2019 where the main actor is the 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457200"/>
                  <wp:effectExtent b="0" l="0" r="0" t="0"/>
                  <wp:docPr id="1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838450" cy="457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838450" cy="2590800"/>
                  <wp:effectExtent b="0" l="0" r="0" t="0"/>
                  <wp:docPr id="2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2838450" cy="2590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number of US events by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27300"/>
                  <wp:effectExtent b="0" l="0" r="0" t="0"/>
                  <wp:docPr id="3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838450" cy="252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new table from US events in 2019 where Afghanistan is the second actor country.</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are ~31,000 interactions captured between the United States and Afghanistan in 2019 with a pretty even monthly distribution throughout the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048000"/>
                  <wp:effectExtent b="0" l="0" r="0" t="0"/>
                  <wp:docPr id="31"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838450" cy="3048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out the average Goldstein Scale per month for the United States/Afghanistan interactions.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540000"/>
                  <wp:effectExtent b="0" l="0" r="0" t="0"/>
                  <wp:docPr id="1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838450" cy="25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6.png"/><Relationship Id="rId42" Type="http://schemas.openxmlformats.org/officeDocument/2006/relationships/image" Target="media/image4.png"/><Relationship Id="rId41" Type="http://schemas.openxmlformats.org/officeDocument/2006/relationships/image" Target="media/image22.png"/><Relationship Id="rId22" Type="http://schemas.openxmlformats.org/officeDocument/2006/relationships/image" Target="media/image7.png"/><Relationship Id="rId44" Type="http://schemas.openxmlformats.org/officeDocument/2006/relationships/image" Target="media/image27.png"/><Relationship Id="rId21" Type="http://schemas.openxmlformats.org/officeDocument/2006/relationships/image" Target="media/image25.png"/><Relationship Id="rId43" Type="http://schemas.openxmlformats.org/officeDocument/2006/relationships/image" Target="media/image30.png"/><Relationship Id="rId24" Type="http://schemas.openxmlformats.org/officeDocument/2006/relationships/image" Target="media/image5.png"/><Relationship Id="rId46" Type="http://schemas.openxmlformats.org/officeDocument/2006/relationships/image" Target="media/image10.png"/><Relationship Id="rId23" Type="http://schemas.openxmlformats.org/officeDocument/2006/relationships/image" Target="media/image34.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3.png"/><Relationship Id="rId25" Type="http://schemas.openxmlformats.org/officeDocument/2006/relationships/image" Target="media/image29.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31.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image" Target="media/image24.png"/><Relationship Id="rId30" Type="http://schemas.openxmlformats.org/officeDocument/2006/relationships/image" Target="media/image13.png"/><Relationship Id="rId11" Type="http://schemas.openxmlformats.org/officeDocument/2006/relationships/image" Target="media/image41.png"/><Relationship Id="rId33" Type="http://schemas.openxmlformats.org/officeDocument/2006/relationships/image" Target="media/image40.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37.png"/><Relationship Id="rId35" Type="http://schemas.openxmlformats.org/officeDocument/2006/relationships/image" Target="media/image39.png"/><Relationship Id="rId12" Type="http://schemas.openxmlformats.org/officeDocument/2006/relationships/image" Target="media/image2.png"/><Relationship Id="rId34" Type="http://schemas.openxmlformats.org/officeDocument/2006/relationships/image" Target="media/image36.png"/><Relationship Id="rId15" Type="http://schemas.openxmlformats.org/officeDocument/2006/relationships/image" Target="media/image17.png"/><Relationship Id="rId37" Type="http://schemas.openxmlformats.org/officeDocument/2006/relationships/image" Target="media/image14.png"/><Relationship Id="rId14" Type="http://schemas.openxmlformats.org/officeDocument/2006/relationships/image" Target="media/image38.png"/><Relationship Id="rId36" Type="http://schemas.openxmlformats.org/officeDocument/2006/relationships/image" Target="media/image11.png"/><Relationship Id="rId17" Type="http://schemas.openxmlformats.org/officeDocument/2006/relationships/image" Target="media/image18.png"/><Relationship Id="rId39" Type="http://schemas.openxmlformats.org/officeDocument/2006/relationships/image" Target="media/image3.png"/><Relationship Id="rId16" Type="http://schemas.openxmlformats.org/officeDocument/2006/relationships/image" Target="media/image20.png"/><Relationship Id="rId38" Type="http://schemas.openxmlformats.org/officeDocument/2006/relationships/image" Target="media/image12.png"/><Relationship Id="rId19" Type="http://schemas.openxmlformats.org/officeDocument/2006/relationships/image" Target="media/image3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