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aleway" w:cs="Raleway" w:eastAsia="Raleway" w:hAnsi="Raleway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sz w:val="44"/>
          <w:szCs w:val="44"/>
          <w:rtl w:val="0"/>
        </w:rPr>
        <w:t xml:space="preserve">Chapter 12: Nonrenewable Energy Resources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795588" cy="23950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395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Can you….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Describe the use of nonrenewable energy in the world and in the United States?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Explain why different forms of energy are best suited for certain purposes?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Understand the primary ways that electricity is generated in the United States?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Discuss the uses of coal and its consequences?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Discuss the uses of petroleum and its consequences?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Discuss the uses of natural gas and its consequences?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Discuss the uses of oil sands and liquefied coal and their consequences?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Describe future prospects for fossil fuel use?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Describe how nuclear energy is used to generate electricity?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Discuss the advantages and disadvantages of using nuclear fuels to generate electricity?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