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aleway" w:cs="Raleway" w:eastAsia="Raleway" w:hAnsi="Raleway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sz w:val="44"/>
          <w:szCs w:val="44"/>
          <w:rtl w:val="0"/>
        </w:rPr>
        <w:t xml:space="preserve">Chapter 13: Achieving Energy Sustainability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867850" cy="29711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850" cy="2971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Can you….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strategies to conserve energy and increase energy efficiency?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differences among the various renewable energy resources?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various forms of biomass?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how energy is harnessed from water?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List the different forms of solar energy and their application?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how wind energy is harnessed and its contemporary uses?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Discuss the methods of harnessing the internal energy from Earth?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the advantages and disadvantages of energy from hydrogen?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Discuss the environmental and economic options we must assess in planning our energy future?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Consider the challenges of a renewable energy strategy?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