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Raleway" w:cs="Raleway" w:eastAsia="Raleway" w:hAnsi="Raleway"/>
          <w:sz w:val="48"/>
          <w:szCs w:val="48"/>
        </w:rPr>
      </w:pPr>
      <w:r w:rsidDel="00000000" w:rsidR="00000000" w:rsidRPr="00000000">
        <w:rPr>
          <w:rFonts w:ascii="Raleway" w:cs="Raleway" w:eastAsia="Raleway" w:hAnsi="Raleway"/>
          <w:sz w:val="48"/>
          <w:szCs w:val="48"/>
          <w:rtl w:val="0"/>
        </w:rPr>
        <w:t xml:space="preserve">Chapter 15: Air Pollution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Can you….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Identify and describe the major air pollutants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the sources of air pollution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how photochemical smog forms and why it is still a problem in the United States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how acid deposition forms and why it has improved in the United States and become worse elsewhere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strategies and techniques for controlling sulfur dioxide, nitrogen oxides, and particulate matter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innovative pollution control measures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the benefits of stratospheric ozone and how it forms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the depletion of stratospheric ozone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efforts to reduce ozone depletion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how indoor air pollution differs in developing and developed countries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the major indoor air pollutants and the risks associated with them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