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B5F53">
      <w:pPr>
        <w:pStyle w:val="berschrift1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Verteilung der Features manuell und </w:t>
      </w:r>
      <w:r>
        <w:rPr>
          <w:lang w:val="de-DE"/>
        </w:rPr>
        <w:t>„</w:t>
      </w:r>
      <w:r>
        <w:rPr>
          <w:lang w:val="de-DE"/>
        </w:rPr>
        <w:t>per Auge</w:t>
      </w:r>
      <w:r>
        <w:rPr>
          <w:lang w:val="de-DE"/>
        </w:rPr>
        <w:t>“</w:t>
      </w:r>
      <w:r>
        <w:rPr>
          <w:lang w:val="de-DE"/>
        </w:rPr>
        <w:t xml:space="preserve"> f</w:t>
      </w:r>
      <w:r>
        <w:rPr>
          <w:lang w:val="de-DE"/>
        </w:rPr>
        <w:t>ü</w:t>
      </w:r>
      <w:r>
        <w:rPr>
          <w:lang w:val="de-DE"/>
        </w:rPr>
        <w:t>r die verschiedenen probierten Features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</w:t>
      </w:r>
      <w:bookmarkStart w:id="0" w:name="_GoBack"/>
      <w:bookmarkEnd w:id="0"/>
      <w:r>
        <w:rPr>
          <w:lang w:val="de-DE"/>
        </w:rPr>
        <w:t>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Pr="00201297" w:rsidRDefault="00447EFD" w:rsidP="00201297">
      <w:pPr>
        <w:rPr>
          <w:lang w:val="de-DE"/>
        </w:rPr>
      </w:pPr>
    </w:p>
    <w:sectPr w:rsidR="00447EFD" w:rsidRPr="00201297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2B5D21"/>
    <w:rsid w:val="00380A70"/>
    <w:rsid w:val="004270A0"/>
    <w:rsid w:val="00447EFD"/>
    <w:rsid w:val="00703B1C"/>
    <w:rsid w:val="008B5F53"/>
    <w:rsid w:val="00965969"/>
    <w:rsid w:val="00D34735"/>
    <w:rsid w:val="00DE236A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F63A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E1274-C17A-4A72-B3FA-9242991B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10</cp:revision>
  <dcterms:created xsi:type="dcterms:W3CDTF">2017-11-16T15:44:00Z</dcterms:created>
  <dcterms:modified xsi:type="dcterms:W3CDTF">2017-11-22T14:16:00Z</dcterms:modified>
</cp:coreProperties>
</file>