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"agent_2481"</w:t>
      </w:r>
      <w:r>
        <w:rPr>
          <w:noProof w:val="true"/>
        </w:rPr>
        <w:t>+seed,</w:t>
      </w:r>
      <w:r>
        <w:rPr>
          <w:color w:val="aa04f9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"rewardMatrix_2481"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"totalRewards_2481"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0.00125;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Xs = @(obs,acts) tileBsFcn2(obs,acts);</w:t>
      </w:r>
    </w:p>
    <w:p>
      <w:pPr>
        <w:pStyle w:val="code"/>
      </w:pPr>
      <w:r>
        <w:rPr>
          <w:noProof w:val="true"/>
        </w:rPr>
        <w:t>    W0 = zeros(1080,1);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bounds1 = 0:500000:18000000;</w:t>
      </w:r>
    </w:p>
    <w:p>
      <w:pPr>
        <w:pStyle w:val="code"/>
      </w:pPr>
      <w:r>
        <w:rPr>
          <w:noProof w:val="true"/>
        </w:rPr>
        <w:t>    bounds2 = 0:500000:18000000;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2022-10-25T03:39:14Z</dcterms:created>
  <dcterms:modified xsi:type="dcterms:W3CDTF">2022-10-25T03:39:14Z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2ae67a74-df47-41a7-abd9-a0cc6888744f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