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55E" w:rsidRDefault="00F4255E">
      <w:pPr>
        <w:jc w:val="both"/>
        <w:rPr>
          <w:rFonts w:ascii="Times New Roman" w:hAnsi="Times New Roman"/>
          <w:b/>
          <w:bCs/>
          <w:caps/>
          <w:color w:val="345385"/>
          <w:spacing w:val="20"/>
        </w:rPr>
      </w:pPr>
      <w:r>
        <w:rPr>
          <w:rFonts w:ascii="Times New Roman" w:hAnsi="Times New Roman"/>
          <w:b/>
          <w:bCs/>
          <w:caps/>
          <w:color w:val="345385"/>
          <w:spacing w:val="20"/>
        </w:rPr>
        <w:t>NOTICE TO RESIDENTS of the United States</w:t>
      </w:r>
    </w:p>
    <w:p w:rsidR="00F4255E" w:rsidRDefault="00F4255E">
      <w:pPr>
        <w:jc w:val="both"/>
        <w:rPr>
          <w:rFonts w:ascii="Times New Roman" w:hAnsi="Times New Roman"/>
          <w:b/>
          <w:bCs/>
          <w:caps/>
          <w:color w:val="345385"/>
          <w:spacing w:val="20"/>
        </w:rPr>
      </w:pPr>
    </w:p>
    <w:p w:rsidR="004F7613" w:rsidRDefault="00CC4F50">
      <w:pPr>
        <w:jc w:val="both"/>
      </w:pPr>
      <w:r>
        <w:t>THE OFFER AND SALE OF THIS</w:t>
      </w:r>
      <w:r w:rsidR="00217ABB">
        <w:t xml:space="preserve"> </w:t>
      </w:r>
      <w:r w:rsidR="00707ABE">
        <w:t xml:space="preserve">SECURITY </w:t>
      </w:r>
      <w:r w:rsidR="00217ABB">
        <w:t>INSTRUMENT HA</w:t>
      </w:r>
      <w:r w:rsidR="00707ABE">
        <w:t>S</w:t>
      </w:r>
      <w:r w:rsidR="00217ABB">
        <w:t xml:space="preserve"> NOT BEEN REGISTERED UNDER THE </w:t>
      </w:r>
      <w:r w:rsidR="001972C4">
        <w:t xml:space="preserve">U.S. </w:t>
      </w:r>
      <w:r w:rsidR="00217ABB">
        <w:t>SECURITIES ACT OF 1933, AS AMENDED (THE “</w:t>
      </w:r>
      <w:r w:rsidR="00217ABB" w:rsidRPr="001972C4">
        <w:rPr>
          <w:b/>
          <w:i/>
        </w:rPr>
        <w:t>SECURITIES ACT</w:t>
      </w:r>
      <w:r w:rsidR="00217ABB">
        <w:t>”), OR UNDER THE SECURITIES LAWS OF CERTAIN STATES.  TH</w:t>
      </w:r>
      <w:r w:rsidR="00707ABE">
        <w:t xml:space="preserve">IS </w:t>
      </w:r>
      <w:r w:rsidR="00217ABB">
        <w:t>SECURIT</w:t>
      </w:r>
      <w:r w:rsidR="00707ABE">
        <w:t>Y</w:t>
      </w:r>
      <w:r w:rsidR="00217ABB">
        <w:t xml:space="preserve"> MAY NOT BE OFFERED, SOLD OR OTHERWISE TRANSFERRED, PLEDGED OR HYPOTHECATED EXCEPT AS PERMITTED UNDER THE ACT AND APPLICABLE STATE SECURITIES LAWS PURSUANT TO AN EFFECTIVE REGISTRATION STATEMENT OR AN EXEMPTION THEREFROM.</w:t>
      </w:r>
    </w:p>
    <w:p w:rsidR="00024C87" w:rsidRDefault="00024C87">
      <w:pPr>
        <w:jc w:val="both"/>
      </w:pPr>
    </w:p>
    <w:p w:rsidR="00024C87" w:rsidRDefault="00024C87" w:rsidP="00024C87">
      <w:pPr>
        <w:jc w:val="both"/>
      </w:pPr>
      <w:r w:rsidRPr="00024C87">
        <w:t>[</w:t>
      </w:r>
      <w:r>
        <w:t>International l</w:t>
      </w:r>
      <w:r w:rsidRPr="00024C87">
        <w:t>egends to be updated as appropriate for the offering]</w:t>
      </w:r>
    </w:p>
    <w:p w:rsidR="00F4255E" w:rsidRDefault="00F4255E">
      <w:pPr>
        <w:jc w:val="both"/>
      </w:pPr>
    </w:p>
    <w:p w:rsidR="00F4255E" w:rsidRDefault="00F4255E" w:rsidP="00F4255E">
      <w:pPr>
        <w:jc w:val="both"/>
      </w:pPr>
      <w:r>
        <w:rPr>
          <w:rFonts w:ascii="Times New Roman" w:hAnsi="Times New Roman"/>
          <w:b/>
          <w:bCs/>
          <w:caps/>
          <w:color w:val="345385"/>
          <w:spacing w:val="20"/>
        </w:rPr>
        <w:t>NOTICE TO RESIDENTS of Canada</w:t>
      </w:r>
    </w:p>
    <w:p w:rsidR="00632E06" w:rsidRDefault="00632E06">
      <w:pPr>
        <w:jc w:val="both"/>
      </w:pPr>
    </w:p>
    <w:p w:rsidR="00632E06" w:rsidRDefault="00632E06">
      <w:pPr>
        <w:jc w:val="both"/>
      </w:pPr>
      <w:r w:rsidRPr="00632E06">
        <w:t xml:space="preserve">UNLESS PERMITTED UNDER SECURITIES LEGISLATION, THE HOLDER OF THIS SECURITY MUST NOT TRADE THE SECURITY BEFORE THE DATE THAT </w:t>
      </w:r>
      <w:r>
        <w:t>THE ISSUER BECO</w:t>
      </w:r>
      <w:r w:rsidRPr="00632E06">
        <w:t>ME</w:t>
      </w:r>
      <w:r>
        <w:t>S</w:t>
      </w:r>
      <w:r w:rsidRPr="00632E06">
        <w:t xml:space="preserve"> A REPORTING ISSUER IN ANY PROVINCE OR TERRITORY.</w:t>
      </w:r>
    </w:p>
    <w:p w:rsidR="00F4255E" w:rsidRDefault="00F4255E">
      <w:pPr>
        <w:jc w:val="both"/>
      </w:pPr>
    </w:p>
    <w:p w:rsidR="00F4255E" w:rsidRDefault="00F4255E" w:rsidP="00F4255E">
      <w:pPr>
        <w:keepNext/>
        <w:autoSpaceDE w:val="0"/>
        <w:autoSpaceDN w:val="0"/>
        <w:spacing w:after="240" w:line="280" w:lineRule="exact"/>
        <w:jc w:val="both"/>
        <w:rPr>
          <w:rFonts w:ascii="Times New Roman" w:hAnsi="Times New Roman"/>
          <w:b/>
          <w:bCs/>
          <w:caps/>
          <w:color w:val="345385"/>
          <w:spacing w:val="20"/>
        </w:rPr>
      </w:pPr>
      <w:r>
        <w:rPr>
          <w:rFonts w:ascii="Times New Roman" w:hAnsi="Times New Roman"/>
          <w:b/>
          <w:bCs/>
          <w:caps/>
          <w:color w:val="345385"/>
          <w:spacing w:val="20"/>
        </w:rPr>
        <w:t>NOTICE TO RESIDENTS OF CHINA</w:t>
      </w:r>
    </w:p>
    <w:p w:rsidR="00F4255E" w:rsidRDefault="00F4255E" w:rsidP="00F4255E">
      <w:pPr>
        <w:jc w:val="both"/>
        <w:rPr>
          <w:rFonts w:ascii="Calibri" w:hAnsi="Calibri"/>
          <w:color w:val="1F497D"/>
        </w:rPr>
      </w:pPr>
      <w:r>
        <w:rPr>
          <w:caps/>
        </w:rPr>
        <w:t>THE RIGHTS ARE NOT BEING OFFERED OR SOLD AND MAY NOT BE OFFERED OR SOLD, DIRECTLY OR INDIRECTLY, WITHIN THE PEOPLE’S REPUBLIC OF CHINA (FOR SUCH PURPOSES, NOT INCLUDING THE HONG KONG AND MACAU SPECIAL ADMINISTRATIVE REGIONS OR TAIWAN), EXCEPT AS PERMITTED BY THE SECURITIES AND OTHER LAWS AND REGULATIONS OF THE PEOPLE’S REPUBLIC OF CHINA</w:t>
      </w:r>
    </w:p>
    <w:p w:rsidR="00F4255E" w:rsidRDefault="00F4255E">
      <w:pPr>
        <w:jc w:val="both"/>
      </w:pPr>
    </w:p>
    <w:p w:rsidR="004F7613" w:rsidRDefault="00F4255E" w:rsidP="00F4255E">
      <w:pPr>
        <w:jc w:val="both"/>
        <w:rPr>
          <w:rFonts w:ascii="Times New Roman" w:hAnsi="Times New Roman"/>
          <w:b/>
          <w:bCs/>
          <w:caps/>
          <w:color w:val="345385"/>
          <w:spacing w:val="20"/>
        </w:rPr>
      </w:pPr>
      <w:r>
        <w:rPr>
          <w:rFonts w:ascii="Times New Roman" w:hAnsi="Times New Roman"/>
          <w:b/>
          <w:bCs/>
          <w:caps/>
          <w:color w:val="345385"/>
          <w:spacing w:val="20"/>
        </w:rPr>
        <w:t>NOTICE TO RESIDENTS of the United Kingdom</w:t>
      </w:r>
    </w:p>
    <w:p w:rsidR="00F4255E" w:rsidRDefault="00F4255E" w:rsidP="00F4255E">
      <w:pPr>
        <w:jc w:val="both"/>
        <w:rPr>
          <w:rFonts w:ascii="Times New Roman" w:hAnsi="Times New Roman"/>
          <w:b/>
          <w:bCs/>
          <w:caps/>
          <w:color w:val="345385"/>
          <w:spacing w:val="20"/>
        </w:rPr>
      </w:pPr>
    </w:p>
    <w:p w:rsidR="00F4255E" w:rsidRPr="00F4255E" w:rsidRDefault="00F4255E" w:rsidP="00F4255E">
      <w:pPr>
        <w:jc w:val="both"/>
        <w:rPr>
          <w:caps/>
        </w:rPr>
      </w:pPr>
      <w:r w:rsidRPr="00F4255E">
        <w:rPr>
          <w:caps/>
        </w:rPr>
        <w:t>In the United Kingdom this document is being distributed only to, and is directed only at (and any investment activity to which it relate</w:t>
      </w:r>
      <w:r>
        <w:rPr>
          <w:caps/>
        </w:rPr>
        <w:t>s will be engaged only with): (</w:t>
      </w:r>
      <w:r>
        <w:t>i</w:t>
      </w:r>
      <w:r w:rsidRPr="00F4255E">
        <w:rPr>
          <w:caps/>
        </w:rPr>
        <w:t>) investment professionals (within the meaning of article 19(5) of The Financial Services and Markets Act 2000 (Financial Promotion) Order 2005 as amended (the ‘‘</w:t>
      </w:r>
      <w:r w:rsidRPr="00F4255E">
        <w:rPr>
          <w:b/>
          <w:i/>
          <w:caps/>
        </w:rPr>
        <w:t>FPO</w:t>
      </w:r>
      <w:r w:rsidRPr="00F4255E">
        <w:rPr>
          <w:caps/>
        </w:rPr>
        <w:t>’’)); (</w:t>
      </w:r>
      <w:r>
        <w:t>ii</w:t>
      </w:r>
      <w:r w:rsidRPr="00F4255E">
        <w:rPr>
          <w:caps/>
        </w:rPr>
        <w:t>) persons or entities of a kind described in article 49 of the FPO; (</w:t>
      </w:r>
      <w:r>
        <w:t>iii</w:t>
      </w:r>
      <w:r w:rsidRPr="00F4255E">
        <w:rPr>
          <w:caps/>
        </w:rPr>
        <w:t>) certified sophisticated investors (within the meaning of article 50(1) of the FPO); and (</w:t>
      </w:r>
      <w:r w:rsidRPr="00F4255E">
        <w:t>iv</w:t>
      </w:r>
      <w:r w:rsidRPr="00F4255E">
        <w:rPr>
          <w:caps/>
        </w:rPr>
        <w:t>) other persons to whom it may otherwise lawfully be communicated (all such persons together being referred to as ‘‘Relevant Persons’’).</w:t>
      </w:r>
    </w:p>
    <w:p w:rsidR="00F4255E" w:rsidRPr="00F4255E" w:rsidRDefault="00F4255E" w:rsidP="00F4255E">
      <w:pPr>
        <w:jc w:val="both"/>
        <w:rPr>
          <w:caps/>
        </w:rPr>
      </w:pPr>
    </w:p>
    <w:p w:rsidR="00F4255E" w:rsidRPr="00F4255E" w:rsidRDefault="00F4255E" w:rsidP="00F4255E">
      <w:pPr>
        <w:jc w:val="both"/>
        <w:rPr>
          <w:caps/>
        </w:rPr>
      </w:pPr>
      <w:r w:rsidRPr="00F4255E">
        <w:rPr>
          <w:caps/>
        </w:rPr>
        <w:t>This document has not been a</w:t>
      </w:r>
      <w:bookmarkStart w:id="0" w:name="_GoBack"/>
      <w:bookmarkEnd w:id="0"/>
      <w:r w:rsidRPr="00F4255E">
        <w:rPr>
          <w:caps/>
        </w:rPr>
        <w:t xml:space="preserve">pproved by an authorised person. Any investment to which this document relates is available only to (and any investment activity to which it relates will be engaged only with) Relevant Persons. This document is directed only at Relevant Persons and persons who are not Relevant Persons should not take any action based upon this document and should not rely on it. It is a condition of </w:t>
      </w:r>
      <w:r w:rsidRPr="00F4255E">
        <w:rPr>
          <w:caps/>
        </w:rPr>
        <w:lastRenderedPageBreak/>
        <w:t xml:space="preserve">you receiving and retaining this document that you warrant to the Company, its directors, and </w:t>
      </w:r>
      <w:r>
        <w:rPr>
          <w:caps/>
        </w:rPr>
        <w:t>its officers</w:t>
      </w:r>
      <w:r w:rsidRPr="00F4255E">
        <w:rPr>
          <w:caps/>
        </w:rPr>
        <w:t xml:space="preserve"> that you are a Relevant Person.</w:t>
      </w:r>
    </w:p>
    <w:p w:rsidR="00F4255E" w:rsidRDefault="00F4255E" w:rsidP="00F4255E">
      <w:pPr>
        <w:jc w:val="both"/>
      </w:pPr>
    </w:p>
    <w:p w:rsidR="00024C87" w:rsidRDefault="00024C87" w:rsidP="00024C87">
      <w:pPr>
        <w:jc w:val="center"/>
      </w:pPr>
      <w:r>
        <w:rPr>
          <w:b/>
        </w:rPr>
        <w:t>[TOKEN NAME]</w:t>
      </w:r>
      <w:r>
        <w:t>, a product of [</w:t>
      </w:r>
      <w:r>
        <w:rPr>
          <w:b/>
        </w:rPr>
        <w:t>COMPANY NAME</w:t>
      </w:r>
      <w:r>
        <w:t>]</w:t>
      </w:r>
    </w:p>
    <w:p w:rsidR="004F7613" w:rsidRDefault="00217ABB">
      <w:pPr>
        <w:jc w:val="both"/>
      </w:pPr>
      <w:r>
        <w:t xml:space="preserve"> </w:t>
      </w:r>
    </w:p>
    <w:p w:rsidR="004F7613" w:rsidRDefault="00217ABB">
      <w:pPr>
        <w:jc w:val="center"/>
        <w:rPr>
          <w:b/>
        </w:rPr>
      </w:pPr>
      <w:r>
        <w:rPr>
          <w:b/>
        </w:rPr>
        <w:t>SAFT</w:t>
      </w:r>
    </w:p>
    <w:p w:rsidR="004F7613" w:rsidRDefault="00217ABB">
      <w:pPr>
        <w:jc w:val="center"/>
        <w:rPr>
          <w:b/>
        </w:rPr>
      </w:pPr>
      <w:r>
        <w:rPr>
          <w:b/>
        </w:rPr>
        <w:t>(Simple Agreement for Future Tokens)</w:t>
      </w:r>
    </w:p>
    <w:p w:rsidR="004F7613" w:rsidRDefault="00217ABB">
      <w:r>
        <w:t xml:space="preserve"> </w:t>
      </w:r>
    </w:p>
    <w:p w:rsidR="004F7613" w:rsidRDefault="00217ABB">
      <w:pPr>
        <w:jc w:val="both"/>
      </w:pPr>
      <w:r>
        <w:t xml:space="preserve">THIS CERTIFIES THAT in exchange for the payment by </w:t>
      </w:r>
      <w:r w:rsidR="002B5C79">
        <w:t xml:space="preserve">the </w:t>
      </w:r>
      <w:r w:rsidR="00526B05">
        <w:t>undersigned purchaser</w:t>
      </w:r>
      <w:r>
        <w:t xml:space="preserve"> (the “</w:t>
      </w:r>
      <w:r w:rsidR="00512410" w:rsidRPr="002B5C79">
        <w:rPr>
          <w:b/>
          <w:i/>
        </w:rPr>
        <w:t>Purchaser</w:t>
      </w:r>
      <w:r>
        <w:t>”) of $[__________] (the “</w:t>
      </w:r>
      <w:r w:rsidRPr="002B5C79">
        <w:rPr>
          <w:b/>
          <w:i/>
        </w:rPr>
        <w:t>Purchase Amount</w:t>
      </w:r>
      <w:r>
        <w:t xml:space="preserve">”) on or about </w:t>
      </w:r>
      <w:r w:rsidR="001D3639">
        <w:t>[DATE</w:t>
      </w:r>
      <w:r w:rsidR="00024C87">
        <w:t>],</w:t>
      </w:r>
      <w:r w:rsidR="00526B05">
        <w:t xml:space="preserve"> 2017</w:t>
      </w:r>
      <w:r>
        <w:t xml:space="preserve">, </w:t>
      </w:r>
      <w:r w:rsidR="00024C87">
        <w:t>[Company Name], a [State of Incorporation] corporation (the “</w:t>
      </w:r>
      <w:r w:rsidR="00024C87">
        <w:rPr>
          <w:b/>
        </w:rPr>
        <w:t>Company</w:t>
      </w:r>
      <w:r w:rsidR="00024C87">
        <w:t xml:space="preserve">”), hereby issues to the Purchaser </w:t>
      </w:r>
      <w:r w:rsidR="00FC57B2">
        <w:t xml:space="preserve">the right </w:t>
      </w:r>
      <w:r w:rsidR="0016354A">
        <w:t>(the “</w:t>
      </w:r>
      <w:r w:rsidR="0016354A" w:rsidRPr="0016354A">
        <w:rPr>
          <w:b/>
          <w:i/>
        </w:rPr>
        <w:t>Right</w:t>
      </w:r>
      <w:r w:rsidR="0016354A">
        <w:t>”)</w:t>
      </w:r>
      <w:r w:rsidR="002B72A2">
        <w:t xml:space="preserve"> </w:t>
      </w:r>
      <w:r>
        <w:t xml:space="preserve">to certain units of </w:t>
      </w:r>
      <w:r w:rsidR="00FC57B2">
        <w:t>[</w:t>
      </w:r>
      <w:r w:rsidR="00024C87">
        <w:t>Token Name]</w:t>
      </w:r>
      <w:r>
        <w:t xml:space="preserve"> (the “</w:t>
      </w:r>
      <w:r w:rsidRPr="002B5C79">
        <w:rPr>
          <w:b/>
          <w:i/>
        </w:rPr>
        <w:t>Token</w:t>
      </w:r>
      <w:r>
        <w:t>”</w:t>
      </w:r>
      <w:r w:rsidR="00CC4F50">
        <w:t xml:space="preserve"> or “</w:t>
      </w:r>
      <w:r w:rsidR="00024C87">
        <w:rPr>
          <w:b/>
          <w:i/>
        </w:rPr>
        <w:t>[Token Name]</w:t>
      </w:r>
      <w:r w:rsidR="00CC4F50">
        <w:t>”</w:t>
      </w:r>
      <w:r>
        <w:t>), subject to the terms set forth below.</w:t>
      </w:r>
    </w:p>
    <w:p w:rsidR="004F7613" w:rsidRDefault="00217ABB">
      <w:pPr>
        <w:spacing w:before="240"/>
        <w:jc w:val="both"/>
        <w:rPr>
          <w:b/>
          <w:i/>
        </w:rPr>
      </w:pPr>
      <w:r>
        <w:rPr>
          <w:b/>
        </w:rPr>
        <w:t xml:space="preserve">1.   </w:t>
      </w:r>
      <w:r>
        <w:rPr>
          <w:b/>
          <w:i/>
        </w:rPr>
        <w:t>Events</w:t>
      </w:r>
    </w:p>
    <w:p w:rsidR="004F7613" w:rsidRDefault="00217ABB">
      <w:pPr>
        <w:jc w:val="both"/>
      </w:pPr>
      <w:r>
        <w:t xml:space="preserve"> </w:t>
      </w:r>
    </w:p>
    <w:p w:rsidR="004F7613" w:rsidRDefault="002B72A2" w:rsidP="002B72A2">
      <w:pPr>
        <w:spacing w:after="240"/>
        <w:ind w:firstLine="720"/>
        <w:jc w:val="both"/>
      </w:pPr>
      <w:r>
        <w:t xml:space="preserve">(a)  </w:t>
      </w:r>
      <w:r w:rsidR="00217ABB">
        <w:rPr>
          <w:b/>
          <w:u w:val="single"/>
        </w:rPr>
        <w:t>Network Launch</w:t>
      </w:r>
      <w:r w:rsidR="00217ABB">
        <w:t xml:space="preserve">. </w:t>
      </w:r>
      <w:r w:rsidR="000900CB">
        <w:rPr>
          <w:color w:val="auto"/>
        </w:rPr>
        <w:t>If there is</w:t>
      </w:r>
      <w:r w:rsidR="00217ABB" w:rsidRPr="00527DBC">
        <w:rPr>
          <w:color w:val="auto"/>
        </w:rPr>
        <w:t xml:space="preserve"> </w:t>
      </w:r>
      <w:r w:rsidR="00217ABB">
        <w:t xml:space="preserve">a Network Launch before the expiration or termination of this instrument, the Company will automatically issue to the </w:t>
      </w:r>
      <w:r w:rsidR="00512410">
        <w:t>Purchaser</w:t>
      </w:r>
      <w:r w:rsidR="00217ABB">
        <w:t xml:space="preserve"> </w:t>
      </w:r>
      <w:proofErr w:type="gramStart"/>
      <w:r w:rsidR="00217ABB">
        <w:t>a number of</w:t>
      </w:r>
      <w:proofErr w:type="gramEnd"/>
      <w:r w:rsidR="00217ABB">
        <w:t xml:space="preserve"> units of the Token equal to the Purchase Amount divided by the </w:t>
      </w:r>
      <w:r w:rsidR="00F87667">
        <w:t>Discount</w:t>
      </w:r>
      <w:r w:rsidR="00217ABB">
        <w:t xml:space="preserve"> Price</w:t>
      </w:r>
      <w:r w:rsidR="00C44BD0">
        <w:t>.</w:t>
      </w:r>
    </w:p>
    <w:p w:rsidR="00C44BD0" w:rsidRDefault="00217ABB" w:rsidP="00C44BD0">
      <w:pPr>
        <w:spacing w:after="240"/>
        <w:jc w:val="both"/>
      </w:pPr>
      <w:proofErr w:type="gramStart"/>
      <w:r>
        <w:t>In connection with</w:t>
      </w:r>
      <w:proofErr w:type="gramEnd"/>
      <w:r>
        <w:t xml:space="preserve"> </w:t>
      </w:r>
      <w:r w:rsidR="003F1677">
        <w:t xml:space="preserve">and prior to </w:t>
      </w:r>
      <w:r>
        <w:t xml:space="preserve">the issuance of Tokens by the Company to the </w:t>
      </w:r>
      <w:r w:rsidR="00512410">
        <w:t>Purchaser</w:t>
      </w:r>
      <w:r>
        <w:t xml:space="preserve"> pursuant to this Section 1(a)</w:t>
      </w:r>
      <w:r w:rsidR="00C44BD0">
        <w:t>:</w:t>
      </w:r>
    </w:p>
    <w:p w:rsidR="00C44BD0" w:rsidRDefault="00C44BD0" w:rsidP="002B72A2">
      <w:pPr>
        <w:spacing w:after="240"/>
        <w:jc w:val="both"/>
      </w:pPr>
      <w:r>
        <w:tab/>
      </w:r>
      <w:r w:rsidR="002B72A2">
        <w:tab/>
      </w:r>
      <w:r>
        <w:t xml:space="preserve">(i) The Purchaser will execute and deliver to the Company </w:t>
      </w:r>
      <w:proofErr w:type="gramStart"/>
      <w:r>
        <w:t>any and all</w:t>
      </w:r>
      <w:proofErr w:type="gramEnd"/>
      <w:r>
        <w:t xml:space="preserve"> other transaction documents related to th</w:t>
      </w:r>
      <w:r w:rsidR="003F1677">
        <w:t>is</w:t>
      </w:r>
      <w:r>
        <w:t xml:space="preserve"> SAFT</w:t>
      </w:r>
      <w:r w:rsidR="00D82EC7">
        <w:t>, including verification of accredited investor status or non-U.S. person status under the applicable securities laws</w:t>
      </w:r>
      <w:r>
        <w:t>; and</w:t>
      </w:r>
    </w:p>
    <w:p w:rsidR="004F7613" w:rsidRDefault="00C44BD0" w:rsidP="002B72A2">
      <w:pPr>
        <w:spacing w:after="240"/>
        <w:ind w:firstLine="1440"/>
        <w:jc w:val="both"/>
      </w:pPr>
      <w:r>
        <w:t>(ii) T</w:t>
      </w:r>
      <w:r w:rsidR="00217ABB">
        <w:t xml:space="preserve">he </w:t>
      </w:r>
      <w:r w:rsidR="00512410">
        <w:t>Purchaser</w:t>
      </w:r>
      <w:r w:rsidR="00217ABB">
        <w:t xml:space="preserve"> will provide to the Company a </w:t>
      </w:r>
      <w:r w:rsidR="009F6FFA">
        <w:t>network</w:t>
      </w:r>
      <w:r w:rsidR="00217ABB">
        <w:t xml:space="preserve"> address for which to allocate </w:t>
      </w:r>
      <w:r w:rsidR="00512410">
        <w:t>Purchaser</w:t>
      </w:r>
      <w:r w:rsidR="00217ABB">
        <w:t>'s Tokens</w:t>
      </w:r>
      <w:r w:rsidR="00131CC5">
        <w:t xml:space="preserve"> upon the Network Launch</w:t>
      </w:r>
      <w:r w:rsidR="00217ABB">
        <w:t>.</w:t>
      </w:r>
    </w:p>
    <w:p w:rsidR="004F7613" w:rsidRPr="002B72A2" w:rsidRDefault="002B72A2" w:rsidP="002B72A2">
      <w:pPr>
        <w:ind w:firstLine="720"/>
        <w:jc w:val="both"/>
        <w:rPr>
          <w:b/>
        </w:rPr>
      </w:pPr>
      <w:r>
        <w:t xml:space="preserve">(b)  </w:t>
      </w:r>
      <w:r w:rsidR="00217ABB">
        <w:rPr>
          <w:b/>
          <w:u w:val="single"/>
        </w:rPr>
        <w:t>Dissolution Event</w:t>
      </w:r>
      <w:r w:rsidR="00217ABB">
        <w:t>. If there is a Dissolution Event before this instrument expires or terminates, the Company will pay an amount equal to the Purchase Amount</w:t>
      </w:r>
      <w:r w:rsidR="00F332AC">
        <w:t xml:space="preserve"> multiplied by the Discount Rate (the “</w:t>
      </w:r>
      <w:r w:rsidR="00F332AC" w:rsidRPr="002B5C79">
        <w:rPr>
          <w:b/>
          <w:i/>
        </w:rPr>
        <w:t>Discounted Purchase Amount</w:t>
      </w:r>
      <w:r w:rsidR="00F332AC">
        <w:t>”)</w:t>
      </w:r>
      <w:r w:rsidR="00217ABB">
        <w:t xml:space="preserve">, due and payable to the </w:t>
      </w:r>
      <w:r w:rsidR="00512410">
        <w:t>Purchaser</w:t>
      </w:r>
      <w:r w:rsidR="00217ABB">
        <w:t xml:space="preserve"> immediately prior to, or concurrent with, the consummation of the Dissolution Event</w:t>
      </w:r>
      <w:r w:rsidR="00024C87">
        <w:t>[</w:t>
      </w:r>
      <w:r w:rsidR="000900CB">
        <w:t>, subject to the rights and preferences of the holders of the Company’s preferred stock, as set forth in the Company’s Certificate of Incorporation, as it may be amended from time to time</w:t>
      </w:r>
      <w:r w:rsidR="00217ABB">
        <w:t>.</w:t>
      </w:r>
      <w:r w:rsidR="00024C87">
        <w:t>]</w:t>
      </w:r>
      <w:r w:rsidR="00024C87">
        <w:rPr>
          <w:rStyle w:val="FootnoteReference"/>
        </w:rPr>
        <w:footnoteReference w:id="1"/>
      </w:r>
      <w:r w:rsidR="00217ABB">
        <w:t xml:space="preserve"> If immediately prior to the consummation of the Dissolution Event, the assets of the Company </w:t>
      </w:r>
      <w:r w:rsidR="000900CB">
        <w:t xml:space="preserve">that remain </w:t>
      </w:r>
      <w:r w:rsidR="00217ABB">
        <w:t xml:space="preserve">legally available for distribution to the </w:t>
      </w:r>
      <w:r w:rsidR="00512410">
        <w:t>Purchaser</w:t>
      </w:r>
      <w:r w:rsidR="00217ABB">
        <w:t xml:space="preserve"> and all holders of all other S</w:t>
      </w:r>
      <w:r w:rsidR="00F87667">
        <w:t>AFT</w:t>
      </w:r>
      <w:r w:rsidR="00217ABB">
        <w:t>s (the “</w:t>
      </w:r>
      <w:r w:rsidR="00217ABB" w:rsidRPr="002B5C79">
        <w:rPr>
          <w:b/>
          <w:i/>
        </w:rPr>
        <w:t xml:space="preserve">Dissolving </w:t>
      </w:r>
      <w:r w:rsidR="00512410" w:rsidRPr="002B5C79">
        <w:rPr>
          <w:b/>
          <w:i/>
        </w:rPr>
        <w:t>Purchaser</w:t>
      </w:r>
      <w:r w:rsidR="00217ABB" w:rsidRPr="002B5C79">
        <w:rPr>
          <w:b/>
          <w:i/>
        </w:rPr>
        <w:t>s</w:t>
      </w:r>
      <w:r w:rsidR="00217ABB">
        <w:t xml:space="preserve">”), as determined in good faith by the Company’s board of directors, are insufficient to permit the payment to the Dissolving </w:t>
      </w:r>
      <w:r w:rsidR="00512410">
        <w:t>Purchaser</w:t>
      </w:r>
      <w:r w:rsidR="00217ABB">
        <w:t xml:space="preserve">s of their respective </w:t>
      </w:r>
      <w:r w:rsidR="00F332AC">
        <w:t xml:space="preserve">Discounted </w:t>
      </w:r>
      <w:r w:rsidR="00217ABB">
        <w:t xml:space="preserve">Purchase Amounts, then the </w:t>
      </w:r>
      <w:r w:rsidR="009E7A32">
        <w:t xml:space="preserve">remaining </w:t>
      </w:r>
      <w:r w:rsidR="00217ABB">
        <w:t>assets of the Company legally available for distribution</w:t>
      </w:r>
      <w:r w:rsidR="009E7A32">
        <w:t>, following all distributions to the holders of the Company’s preferred stock,</w:t>
      </w:r>
      <w:r w:rsidR="00217ABB">
        <w:t xml:space="preserve"> will be distributed with equal priority and pro rata among the Dissolving </w:t>
      </w:r>
      <w:r w:rsidR="00512410">
        <w:t>Purchaser</w:t>
      </w:r>
      <w:r w:rsidR="00217ABB">
        <w:t xml:space="preserve">s in proportion to the </w:t>
      </w:r>
      <w:r w:rsidR="00F332AC">
        <w:lastRenderedPageBreak/>
        <w:t xml:space="preserve">Discounted </w:t>
      </w:r>
      <w:r w:rsidR="00217ABB">
        <w:t>Purchase Amounts they would otherwise be entitled to receive pursuant to this Section 1(b)</w:t>
      </w:r>
      <w:r w:rsidR="00892754">
        <w:t>.</w:t>
      </w:r>
      <w:r>
        <w:t xml:space="preserve">  </w:t>
      </w:r>
      <w:r w:rsidRPr="007028D4">
        <w:t>Any distributed amounts shall be in U.S. Dollars</w:t>
      </w:r>
      <w:r w:rsidR="007028D4" w:rsidRPr="007028D4">
        <w:t>.</w:t>
      </w:r>
    </w:p>
    <w:p w:rsidR="004F7613" w:rsidRDefault="004F7613"/>
    <w:p w:rsidR="004F7613" w:rsidRDefault="00217ABB" w:rsidP="00F3527C">
      <w:pPr>
        <w:spacing w:after="240"/>
        <w:ind w:firstLine="720"/>
        <w:jc w:val="both"/>
      </w:pPr>
      <w:r>
        <w:t xml:space="preserve">(c)  </w:t>
      </w:r>
      <w:r>
        <w:rPr>
          <w:b/>
          <w:u w:val="single"/>
        </w:rPr>
        <w:t>Termination</w:t>
      </w:r>
      <w:r>
        <w:t xml:space="preserve">.  This instrument will expire and terminate upon </w:t>
      </w:r>
      <w:r w:rsidR="0079636C">
        <w:t>the earlier of</w:t>
      </w:r>
      <w:r>
        <w:t xml:space="preserve"> (i) the issuance of Tokens to the </w:t>
      </w:r>
      <w:r w:rsidR="00512410">
        <w:t>Purchaser</w:t>
      </w:r>
      <w:r>
        <w:t xml:space="preserve"> pursuant to Section 1(a); (ii) the payment, or setting aside for payment, of amounts due the </w:t>
      </w:r>
      <w:r w:rsidR="00512410">
        <w:t>Purchaser</w:t>
      </w:r>
      <w:r>
        <w:t xml:space="preserve"> pursuant to Section 1(b)</w:t>
      </w:r>
      <w:r w:rsidR="00F332AC">
        <w:t>; (iii)</w:t>
      </w:r>
      <w:r w:rsidR="0006210F">
        <w:t xml:space="preserve"> </w:t>
      </w:r>
      <w:r w:rsidR="00024C87">
        <w:t>[DATE]</w:t>
      </w:r>
      <w:r w:rsidR="007028D4">
        <w:t xml:space="preserve"> (the “</w:t>
      </w:r>
      <w:r w:rsidR="007028D4" w:rsidRPr="007028D4">
        <w:rPr>
          <w:b/>
          <w:i/>
        </w:rPr>
        <w:t>Deadline</w:t>
      </w:r>
      <w:r w:rsidR="006B2804">
        <w:rPr>
          <w:b/>
          <w:i/>
        </w:rPr>
        <w:t xml:space="preserve"> Date</w:t>
      </w:r>
      <w:r w:rsidR="007028D4">
        <w:t>”)</w:t>
      </w:r>
      <w:r w:rsidR="0079636C">
        <w:t xml:space="preserve">, </w:t>
      </w:r>
      <w:r w:rsidR="00F332AC">
        <w:t>if the Network Launch has not occurred as of such date</w:t>
      </w:r>
      <w:r w:rsidR="006B2804">
        <w:t xml:space="preserve">; provided that, the Company shall have the right to extend the Deadline Date by </w:t>
      </w:r>
      <w:r w:rsidR="00DF2874">
        <w:t>sixty</w:t>
      </w:r>
      <w:r w:rsidR="0006210F">
        <w:t xml:space="preserve"> (</w:t>
      </w:r>
      <w:r w:rsidR="00DF2874">
        <w:t>60</w:t>
      </w:r>
      <w:r w:rsidR="006B2804">
        <w:t>) days, in its sole discretion</w:t>
      </w:r>
      <w:r w:rsidR="00DF2874">
        <w:t>[</w:t>
      </w:r>
      <w:r w:rsidR="00F332AC">
        <w:t xml:space="preserve">; and (iv) </w:t>
      </w:r>
      <w:r w:rsidR="0079636C">
        <w:t>the failure to obtain net proceeds of more than $</w:t>
      </w:r>
      <w:r w:rsidR="007D57A0">
        <w:t>[_______]</w:t>
      </w:r>
      <w:r w:rsidR="0079636C">
        <w:t xml:space="preserve"> from the sale of all </w:t>
      </w:r>
      <w:r w:rsidR="007028D4">
        <w:t xml:space="preserve">rights pursuant to the </w:t>
      </w:r>
      <w:r w:rsidR="0079636C">
        <w:t xml:space="preserve">SAFTs; </w:t>
      </w:r>
      <w:r w:rsidR="0079636C">
        <w:rPr>
          <w:i/>
        </w:rPr>
        <w:t>provided</w:t>
      </w:r>
      <w:r w:rsidR="007028D4">
        <w:t>, that in the case of (</w:t>
      </w:r>
      <w:r w:rsidR="006B2804">
        <w:t>iv</w:t>
      </w:r>
      <w:r w:rsidR="007028D4">
        <w:t>)</w:t>
      </w:r>
      <w:r w:rsidR="0079636C">
        <w:t>, the Company shall have the obligation to repay to the Purchasers the</w:t>
      </w:r>
      <w:r w:rsidR="006B2804">
        <w:t xml:space="preserve"> aggregate amount of all</w:t>
      </w:r>
      <w:r w:rsidR="0079636C">
        <w:t xml:space="preserve"> Purchase </w:t>
      </w:r>
      <w:r w:rsidR="009C0B4B">
        <w:t>Amount</w:t>
      </w:r>
      <w:r w:rsidR="006B2804">
        <w:t>s</w:t>
      </w:r>
      <w:r w:rsidR="0079636C">
        <w:t>.</w:t>
      </w:r>
      <w:r w:rsidR="00DF2874">
        <w:t>]</w:t>
      </w:r>
      <w:r w:rsidR="00DF2874">
        <w:rPr>
          <w:rStyle w:val="FootnoteReference"/>
        </w:rPr>
        <w:footnoteReference w:id="2"/>
      </w:r>
      <w:r>
        <w:t xml:space="preserve"> </w:t>
      </w:r>
    </w:p>
    <w:p w:rsidR="004F7613" w:rsidRDefault="00217ABB">
      <w:pPr>
        <w:jc w:val="both"/>
        <w:rPr>
          <w:b/>
          <w:i/>
        </w:rPr>
      </w:pPr>
      <w:r>
        <w:t xml:space="preserve">2.   </w:t>
      </w:r>
      <w:r>
        <w:rPr>
          <w:b/>
          <w:i/>
        </w:rPr>
        <w:t>Definitions</w:t>
      </w:r>
    </w:p>
    <w:p w:rsidR="004F7613" w:rsidRDefault="00217ABB">
      <w:pPr>
        <w:jc w:val="both"/>
      </w:pPr>
      <w:r>
        <w:t xml:space="preserve"> </w:t>
      </w:r>
    </w:p>
    <w:p w:rsidR="00100D64" w:rsidRDefault="002B5C79">
      <w:pPr>
        <w:ind w:firstLine="720"/>
        <w:jc w:val="both"/>
      </w:pPr>
      <w:r>
        <w:t>“</w:t>
      </w:r>
      <w:r w:rsidR="00100D64" w:rsidRPr="002B5C79">
        <w:rPr>
          <w:b/>
          <w:i/>
        </w:rPr>
        <w:t>Discount Price</w:t>
      </w:r>
      <w:r w:rsidR="00100D64" w:rsidRPr="00100D64">
        <w:t>” means the</w:t>
      </w:r>
      <w:r w:rsidR="00F332AC">
        <w:t xml:space="preserve"> maximum price</w:t>
      </w:r>
      <w:r w:rsidR="00100D64" w:rsidRPr="00100D64">
        <w:t xml:space="preserve"> per </w:t>
      </w:r>
      <w:r w:rsidR="00100D64">
        <w:t xml:space="preserve">Token </w:t>
      </w:r>
      <w:r w:rsidR="00100D64" w:rsidRPr="00100D64">
        <w:t xml:space="preserve">sold </w:t>
      </w:r>
      <w:r w:rsidR="003F1677">
        <w:t xml:space="preserve">by the Company </w:t>
      </w:r>
      <w:r w:rsidR="00100D64">
        <w:t xml:space="preserve">to the </w:t>
      </w:r>
      <w:r w:rsidR="00D82EC7">
        <w:t>public</w:t>
      </w:r>
      <w:r w:rsidR="00100D64">
        <w:t xml:space="preserve"> </w:t>
      </w:r>
      <w:r w:rsidR="00D82EC7">
        <w:t>during the</w:t>
      </w:r>
      <w:r w:rsidR="003F1677">
        <w:t xml:space="preserve"> </w:t>
      </w:r>
      <w:r w:rsidR="00100D64">
        <w:t xml:space="preserve">Network Launch </w:t>
      </w:r>
      <w:r w:rsidR="00100D64" w:rsidRPr="00100D64">
        <w:t xml:space="preserve">multiplied by the Discount Rate. </w:t>
      </w:r>
    </w:p>
    <w:p w:rsidR="002B5C79" w:rsidRDefault="002B5C79">
      <w:pPr>
        <w:ind w:firstLine="720"/>
        <w:jc w:val="both"/>
      </w:pPr>
    </w:p>
    <w:p w:rsidR="002B5C79" w:rsidRDefault="002B5C79">
      <w:pPr>
        <w:ind w:firstLine="720"/>
        <w:jc w:val="both"/>
      </w:pPr>
      <w:r>
        <w:t>“</w:t>
      </w:r>
      <w:r w:rsidRPr="002B5C79">
        <w:rPr>
          <w:b/>
          <w:i/>
        </w:rPr>
        <w:t>Discount Rate</w:t>
      </w:r>
      <w:r>
        <w:t>” is</w:t>
      </w:r>
      <w:r w:rsidR="00AF2E42">
        <w:t xml:space="preserve"> </w:t>
      </w:r>
      <w:r w:rsidR="00D571D4">
        <w:t>[</w:t>
      </w:r>
      <w:r w:rsidR="004C6968">
        <w:t xml:space="preserve"> __</w:t>
      </w:r>
      <w:r>
        <w:t>%</w:t>
      </w:r>
      <w:r w:rsidR="00D571D4">
        <w:t>]</w:t>
      </w:r>
      <w:r>
        <w:t>.</w:t>
      </w:r>
    </w:p>
    <w:p w:rsidR="00100D64" w:rsidRDefault="00100D64">
      <w:pPr>
        <w:ind w:firstLine="720"/>
        <w:jc w:val="both"/>
      </w:pPr>
    </w:p>
    <w:p w:rsidR="004F7613" w:rsidRDefault="00217ABB">
      <w:pPr>
        <w:ind w:firstLine="720"/>
        <w:jc w:val="both"/>
      </w:pPr>
      <w:r>
        <w:t>“</w:t>
      </w:r>
      <w:r w:rsidRPr="002B5C79">
        <w:rPr>
          <w:b/>
          <w:i/>
        </w:rPr>
        <w:t>Dissolution Event</w:t>
      </w:r>
      <w:r>
        <w:t>” means (i) a voluntary termination of operations</w:t>
      </w:r>
      <w:r w:rsidR="00D82EC7">
        <w:t xml:space="preserve"> of the Company</w:t>
      </w:r>
      <w:r>
        <w:t xml:space="preserve">, (ii) a general assignment for the benefit of the Company’s creditors or (iii) any other liquidation, dissolution or winding up of the Company, whether voluntary or involuntary.  </w:t>
      </w:r>
    </w:p>
    <w:p w:rsidR="004F7613" w:rsidRDefault="00217ABB">
      <w:pPr>
        <w:jc w:val="both"/>
      </w:pPr>
      <w:r>
        <w:tab/>
      </w:r>
    </w:p>
    <w:p w:rsidR="004F7613" w:rsidRDefault="00217ABB">
      <w:pPr>
        <w:ind w:firstLine="720"/>
        <w:jc w:val="both"/>
      </w:pPr>
      <w:r>
        <w:t>“</w:t>
      </w:r>
      <w:r w:rsidRPr="002B5C79">
        <w:rPr>
          <w:b/>
          <w:i/>
        </w:rPr>
        <w:t>Network Launch</w:t>
      </w:r>
      <w:r>
        <w:rPr>
          <w:b/>
        </w:rPr>
        <w:t xml:space="preserve">” </w:t>
      </w:r>
      <w:r>
        <w:t xml:space="preserve">means </w:t>
      </w:r>
      <w:r w:rsidR="00DF2874">
        <w:t>[</w:t>
      </w:r>
      <w:r w:rsidR="00CC4F50">
        <w:t xml:space="preserve">a </w:t>
      </w:r>
      <w:r w:rsidR="00CC4F50">
        <w:rPr>
          <w:i/>
        </w:rPr>
        <w:t xml:space="preserve">bona fide </w:t>
      </w:r>
      <w:r w:rsidR="00CC4F50">
        <w:t xml:space="preserve">transaction or series of transactions, pursuant to which the Company </w:t>
      </w:r>
      <w:r w:rsidR="004C6968">
        <w:t>will sell</w:t>
      </w:r>
      <w:r w:rsidR="006929BF">
        <w:t xml:space="preserve"> </w:t>
      </w:r>
      <w:r w:rsidR="00DF2874">
        <w:t>the Tokens</w:t>
      </w:r>
      <w:r w:rsidR="006929BF">
        <w:t xml:space="preserve"> </w:t>
      </w:r>
      <w:r w:rsidR="00CC4F50">
        <w:t xml:space="preserve">to the </w:t>
      </w:r>
      <w:proofErr w:type="gramStart"/>
      <w:r w:rsidR="00B82FD7">
        <w:t>general public</w:t>
      </w:r>
      <w:proofErr w:type="gramEnd"/>
      <w:r w:rsidR="00CC4F50">
        <w:t xml:space="preserve"> in a publicized product launch</w:t>
      </w:r>
      <w:r>
        <w:t>.</w:t>
      </w:r>
      <w:r w:rsidR="00DF2874">
        <w:t>]</w:t>
      </w:r>
      <w:r w:rsidR="00DF2874">
        <w:rPr>
          <w:rStyle w:val="FootnoteReference"/>
        </w:rPr>
        <w:footnoteReference w:id="3"/>
      </w:r>
    </w:p>
    <w:p w:rsidR="004F7613" w:rsidRDefault="00217ABB">
      <w:pPr>
        <w:jc w:val="both"/>
      </w:pPr>
      <w:r>
        <w:t xml:space="preserve"> </w:t>
      </w:r>
    </w:p>
    <w:p w:rsidR="000E6430" w:rsidRDefault="00217ABB">
      <w:pPr>
        <w:jc w:val="both"/>
      </w:pPr>
      <w:r>
        <w:t xml:space="preserve">  </w:t>
      </w:r>
      <w:r>
        <w:tab/>
        <w:t>“</w:t>
      </w:r>
      <w:r w:rsidRPr="002B5C79">
        <w:rPr>
          <w:b/>
          <w:i/>
        </w:rPr>
        <w:t>S</w:t>
      </w:r>
      <w:r w:rsidR="00F87667" w:rsidRPr="002B5C79">
        <w:rPr>
          <w:b/>
          <w:i/>
        </w:rPr>
        <w:t>AFT</w:t>
      </w:r>
      <w:r w:rsidR="00CC4F50">
        <w:t xml:space="preserve">” means an agreement </w:t>
      </w:r>
      <w:r>
        <w:t>contain</w:t>
      </w:r>
      <w:r w:rsidR="00CC4F50">
        <w:t>ing a future right to units of T</w:t>
      </w:r>
      <w:r>
        <w:t xml:space="preserve">okens purchased by </w:t>
      </w:r>
      <w:r w:rsidR="00512410">
        <w:t>Purchaser</w:t>
      </w:r>
      <w:r>
        <w:t>s</w:t>
      </w:r>
      <w:r w:rsidR="00D82EC7">
        <w:t>, similar in form and content to this agreement,</w:t>
      </w:r>
      <w:r>
        <w:t xml:space="preserve"> </w:t>
      </w:r>
      <w:r w:rsidR="0062018D">
        <w:t xml:space="preserve">which </w:t>
      </w:r>
      <w:r w:rsidR="006B2804">
        <w:t>a significant portion of the amount</w:t>
      </w:r>
      <w:r w:rsidR="0062018D">
        <w:t xml:space="preserve"> raised under the SAFT</w:t>
      </w:r>
      <w:r w:rsidR="002B72A2">
        <w:t>s</w:t>
      </w:r>
      <w:r w:rsidR="0062018D">
        <w:t xml:space="preserve"> will be used to fund </w:t>
      </w:r>
      <w:r>
        <w:t>the Company’s</w:t>
      </w:r>
      <w:r w:rsidR="00795289">
        <w:t xml:space="preserve"> </w:t>
      </w:r>
      <w:r w:rsidR="00565117">
        <w:t>development</w:t>
      </w:r>
      <w:r w:rsidR="00D82EC7">
        <w:t xml:space="preserve"> </w:t>
      </w:r>
      <w:r w:rsidR="006B2804">
        <w:t xml:space="preserve">of </w:t>
      </w:r>
      <w:r w:rsidR="00482763" w:rsidRPr="00482763">
        <w:t xml:space="preserve">a </w:t>
      </w:r>
      <w:r w:rsidR="00565117">
        <w:t xml:space="preserve">decentralized </w:t>
      </w:r>
      <w:r w:rsidR="00482763" w:rsidRPr="00482763">
        <w:t xml:space="preserve">blockchain-based computer network (the </w:t>
      </w:r>
      <w:r w:rsidR="001028CB">
        <w:t>“</w:t>
      </w:r>
      <w:r w:rsidR="00DF2874">
        <w:rPr>
          <w:b/>
          <w:i/>
        </w:rPr>
        <w:t>[Network]</w:t>
      </w:r>
      <w:r w:rsidR="001028CB">
        <w:t>”</w:t>
      </w:r>
      <w:r w:rsidR="00482763" w:rsidRPr="00482763">
        <w:t xml:space="preserve">) that enables </w:t>
      </w:r>
      <w:r w:rsidR="00DF2874">
        <w:t>[describe the end goal, function and utility of the proposed Network]</w:t>
      </w:r>
      <w:r w:rsidR="00482763" w:rsidRPr="00482763">
        <w:t xml:space="preserve">.  </w:t>
      </w:r>
    </w:p>
    <w:p w:rsidR="00892754" w:rsidRDefault="00892754">
      <w:pPr>
        <w:jc w:val="both"/>
      </w:pPr>
    </w:p>
    <w:p w:rsidR="00783C38" w:rsidRDefault="00783C38">
      <w:r>
        <w:br w:type="page"/>
      </w:r>
    </w:p>
    <w:p w:rsidR="004F7613" w:rsidRDefault="002B2218">
      <w:pPr>
        <w:jc w:val="both"/>
        <w:rPr>
          <w:b/>
          <w:i/>
        </w:rPr>
      </w:pPr>
      <w:r>
        <w:t>3</w:t>
      </w:r>
      <w:r w:rsidR="00217ABB">
        <w:t xml:space="preserve">.  </w:t>
      </w:r>
      <w:r w:rsidR="00217ABB">
        <w:rPr>
          <w:b/>
          <w:i/>
        </w:rPr>
        <w:t>Company Representations</w:t>
      </w:r>
    </w:p>
    <w:p w:rsidR="004F7613" w:rsidRDefault="00217ABB">
      <w:pPr>
        <w:spacing w:before="240"/>
        <w:jc w:val="both"/>
      </w:pPr>
      <w:r>
        <w:t xml:space="preserve">  </w:t>
      </w:r>
      <w:r>
        <w:tab/>
        <w:t>(a)  The Company is a corporation duly organized, validly existing and in good standing under the laws of</w:t>
      </w:r>
      <w:r w:rsidR="006B2804">
        <w:t xml:space="preserve"> </w:t>
      </w:r>
      <w:r w:rsidR="00DF2874">
        <w:t>[STATE]</w:t>
      </w:r>
      <w:r>
        <w:t>, and has the power and authority to own, lease and operate its properties and carry on its business as now conducted.</w:t>
      </w:r>
    </w:p>
    <w:p w:rsidR="004F7613" w:rsidRDefault="00217ABB">
      <w:pPr>
        <w:spacing w:before="240"/>
        <w:jc w:val="both"/>
      </w:pPr>
      <w:r>
        <w:t xml:space="preserve">  </w:t>
      </w:r>
      <w:r>
        <w:tab/>
        <w:t xml:space="preserve">(b)  The execution, delivery and performance by the Company of this instrument is within the power of the Company and, other than with respect to the actions to be taken when Tokens are to be issued to the </w:t>
      </w:r>
      <w:r w:rsidR="00512410">
        <w:t>Purchaser</w:t>
      </w:r>
      <w:r>
        <w:t xml:space="preserve">, has been duly authorized by all necessary actions on the part of the Company. This instrument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the knowledge of the Company, it is not in violation of (i) its current </w:t>
      </w:r>
      <w:r w:rsidR="0053699A">
        <w:t xml:space="preserve">articles </w:t>
      </w:r>
      <w:r>
        <w:t>of incorporation or bylaws, (ii) any material statute, rule or regulation applicable to the Company</w:t>
      </w:r>
      <w:r w:rsidR="001972C4">
        <w:t>,</w:t>
      </w:r>
      <w:r>
        <w:t xml:space="preserve">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rsidR="004F7613" w:rsidRDefault="00217ABB">
      <w:pPr>
        <w:spacing w:before="240"/>
        <w:jc w:val="both"/>
      </w:pPr>
      <w:r>
        <w:t xml:space="preserve">  </w:t>
      </w:r>
      <w:r>
        <w:tab/>
        <w:t>(c)  T</w:t>
      </w:r>
      <w:r w:rsidR="001972C4">
        <w:t>o the knowledge of the Company, t</w:t>
      </w:r>
      <w:r>
        <w:t>he performance and consummation of the transactions contemplated by this instrument do not and will not: (i)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rsidR="004F7613" w:rsidRDefault="00217ABB">
      <w:pPr>
        <w:spacing w:before="240"/>
        <w:jc w:val="both"/>
      </w:pPr>
      <w:r>
        <w:t xml:space="preserve">  </w:t>
      </w:r>
      <w:r>
        <w:tab/>
        <w:t xml:space="preserve">(d)  No consents or approvals are required </w:t>
      </w:r>
      <w:proofErr w:type="gramStart"/>
      <w:r>
        <w:t>in connection with</w:t>
      </w:r>
      <w:proofErr w:type="gramEnd"/>
      <w:r>
        <w:t xml:space="preserve"> the performance of this instrument, other than: (i) the Company’s corporate approvals; and (ii) any qualifications or filings under applicable securities laws.</w:t>
      </w:r>
    </w:p>
    <w:p w:rsidR="004F7613" w:rsidRDefault="00217ABB">
      <w:pPr>
        <w:spacing w:before="240"/>
        <w:jc w:val="both"/>
      </w:pPr>
      <w:r>
        <w:t xml:space="preserve">  </w:t>
      </w:r>
      <w:r>
        <w:tab/>
      </w:r>
      <w:r w:rsidR="001972C4">
        <w:t>(e)  To its</w:t>
      </w:r>
      <w:r>
        <w:t xml:space="preserve"> knowledge, the Company owns or possesses (or can obtain on commercially reasonable terms) sufficient legal rights to all patents, trademarks, service marks, </w:t>
      </w:r>
      <w:r w:rsidR="00271D20" w:rsidRPr="00271D20">
        <w:t>t</w:t>
      </w:r>
      <w:r w:rsidRPr="00271D20">
        <w:t>rade names</w:t>
      </w:r>
      <w:r>
        <w:t>, copyrights, trade secrets, licenses, information, processes and other intellectual property rights necessary for its business as now conducted and as currently propo</w:t>
      </w:r>
      <w:r w:rsidR="001972C4">
        <w:t>sed to be conducted, without an</w:t>
      </w:r>
      <w:r>
        <w:t xml:space="preserve"> </w:t>
      </w:r>
      <w:r w:rsidR="001972C4">
        <w:t>infringement of the rights of</w:t>
      </w:r>
      <w:r>
        <w:t xml:space="preserve"> others.</w:t>
      </w:r>
      <w:r w:rsidR="00271D20">
        <w:t xml:space="preserve">  </w:t>
      </w:r>
      <w:r w:rsidR="000853CC">
        <w:t>[Token name]</w:t>
      </w:r>
      <w:r w:rsidR="00271D20">
        <w:t xml:space="preserve"> is not a proprietary trade name of the Company.</w:t>
      </w:r>
      <w:r w:rsidR="000853CC">
        <w:rPr>
          <w:rStyle w:val="FootnoteReference"/>
        </w:rPr>
        <w:footnoteReference w:id="4"/>
      </w:r>
    </w:p>
    <w:p w:rsidR="004F7613" w:rsidRDefault="00217ABB">
      <w:pPr>
        <w:jc w:val="both"/>
        <w:rPr>
          <w:b/>
          <w:i/>
        </w:rPr>
      </w:pPr>
      <w:r>
        <w:rPr>
          <w:b/>
          <w:i/>
        </w:rPr>
        <w:t xml:space="preserve"> </w:t>
      </w:r>
    </w:p>
    <w:p w:rsidR="004F7613" w:rsidRDefault="002B2218">
      <w:pPr>
        <w:jc w:val="both"/>
        <w:rPr>
          <w:b/>
          <w:i/>
        </w:rPr>
      </w:pPr>
      <w:r>
        <w:t>4</w:t>
      </w:r>
      <w:r w:rsidR="0016354A">
        <w:t xml:space="preserve">.   </w:t>
      </w:r>
      <w:r w:rsidR="00512410">
        <w:rPr>
          <w:b/>
          <w:i/>
        </w:rPr>
        <w:t>Purchaser</w:t>
      </w:r>
      <w:r w:rsidR="00217ABB">
        <w:rPr>
          <w:b/>
          <w:i/>
        </w:rPr>
        <w:t xml:space="preserve"> Representations</w:t>
      </w:r>
    </w:p>
    <w:p w:rsidR="004F7613" w:rsidRDefault="00217ABB">
      <w:pPr>
        <w:spacing w:before="240"/>
        <w:jc w:val="both"/>
      </w:pPr>
      <w:r>
        <w:t xml:space="preserve">  </w:t>
      </w:r>
      <w:r>
        <w:tab/>
        <w:t xml:space="preserve">(a)  The </w:t>
      </w:r>
      <w:r w:rsidR="00512410">
        <w:t>Purchaser</w:t>
      </w:r>
      <w:r>
        <w:t xml:space="preserve"> has full legal capacity, power and authority to execute and deliver this instrument and to perform its obligations hereunder. This instrument constitutes valid and binding obligation of the </w:t>
      </w:r>
      <w:r w:rsidR="00512410">
        <w:t>Purchaser</w:t>
      </w:r>
      <w:r>
        <w:t xml:space="preserve">, enforceable in accordance with its terms, except as limited </w:t>
      </w:r>
      <w:r>
        <w:lastRenderedPageBreak/>
        <w:t>by bankruptcy, insolvency or other laws of general application relating to or affecting the enforcement of creditors’ rights generally and general principles of equity.</w:t>
      </w:r>
    </w:p>
    <w:p w:rsidR="004F7613" w:rsidRDefault="00217ABB">
      <w:pPr>
        <w:spacing w:before="240"/>
        <w:jc w:val="both"/>
      </w:pPr>
      <w:r>
        <w:t xml:space="preserve">  </w:t>
      </w:r>
      <w:r>
        <w:tab/>
        <w:t xml:space="preserve">(b)  The </w:t>
      </w:r>
      <w:r w:rsidR="00512410">
        <w:t>Purchaser</w:t>
      </w:r>
      <w:r w:rsidR="001972C4">
        <w:t xml:space="preserve"> has been advised that this</w:t>
      </w:r>
      <w:r>
        <w:t xml:space="preserve"> instrument </w:t>
      </w:r>
      <w:r w:rsidR="00707ABE">
        <w:t xml:space="preserve">is a security </w:t>
      </w:r>
      <w:r w:rsidR="001972C4">
        <w:t xml:space="preserve">and </w:t>
      </w:r>
      <w:r w:rsidR="00707ABE">
        <w:t xml:space="preserve">that </w:t>
      </w:r>
      <w:r w:rsidR="001972C4">
        <w:t>the offers and sales of this instrument have</w:t>
      </w:r>
      <w:r w:rsidR="00707ABE">
        <w:t xml:space="preserve"> </w:t>
      </w:r>
      <w:r>
        <w:t xml:space="preserve">not been registered under </w:t>
      </w:r>
      <w:r w:rsidR="003279F1">
        <w:t xml:space="preserve">any country’s </w:t>
      </w:r>
      <w:r>
        <w:t>securities laws and, therefore, cannot be resold</w:t>
      </w:r>
      <w:r w:rsidR="003279F1">
        <w:t xml:space="preserve"> except in compliance with the applicable country’s laws</w:t>
      </w:r>
      <w:r>
        <w:t>.</w:t>
      </w:r>
      <w:r w:rsidR="001972C4">
        <w:t xml:space="preserve">  </w:t>
      </w:r>
      <w:r>
        <w:t xml:space="preserve">The </w:t>
      </w:r>
      <w:r w:rsidR="00512410">
        <w:t>Purchaser</w:t>
      </w:r>
      <w:r>
        <w:t xml:space="preserve"> is purchasing this instrument for its own account for investment, not as a nominee or agent, and not with a view to, or for resale </w:t>
      </w:r>
      <w:proofErr w:type="gramStart"/>
      <w:r>
        <w:t>in connection with</w:t>
      </w:r>
      <w:proofErr w:type="gramEnd"/>
      <w:r>
        <w:t xml:space="preserve">, the distribution thereof, and the </w:t>
      </w:r>
      <w:r w:rsidR="00512410">
        <w:t>Purchaser</w:t>
      </w:r>
      <w:r>
        <w:t xml:space="preserve"> has no present intention of selling, granting any participation in, or otherwise distributing the same. The </w:t>
      </w:r>
      <w:r w:rsidR="00512410">
        <w:t>Purchaser</w:t>
      </w:r>
      <w:r>
        <w:t xml:space="preserve"> has such knowledge and experience in financial and business matters that the </w:t>
      </w:r>
      <w:r w:rsidR="00512410">
        <w:t>Purchaser</w:t>
      </w:r>
      <w:r>
        <w:t xml:space="preserve"> </w:t>
      </w:r>
      <w:proofErr w:type="gramStart"/>
      <w:r>
        <w:t>is capable of evaluating</w:t>
      </w:r>
      <w:proofErr w:type="gramEnd"/>
      <w:r>
        <w:t xml:space="preserve"> the merits and risks of such investment, is able to incur a complete loss of such investment without impairing the </w:t>
      </w:r>
      <w:r w:rsidR="00512410">
        <w:t>Purchaser</w:t>
      </w:r>
      <w:r>
        <w:t>’s financial condition and is able to bear the economic risk of such investment for an indefinite period of time</w:t>
      </w:r>
      <w:r w:rsidR="007059AB">
        <w:t>.</w:t>
      </w:r>
    </w:p>
    <w:p w:rsidR="009C0B4B" w:rsidRPr="006B2804" w:rsidRDefault="009C0B4B">
      <w:pPr>
        <w:spacing w:before="240"/>
        <w:jc w:val="both"/>
        <w:rPr>
          <w:rStyle w:val="FootnoteReference"/>
        </w:rPr>
      </w:pPr>
      <w:r>
        <w:tab/>
        <w:t xml:space="preserve">(c)  </w:t>
      </w:r>
      <w:r w:rsidRPr="006B2804">
        <w:t xml:space="preserve">The Purchaser enters into this </w:t>
      </w:r>
      <w:r w:rsidR="00980F8F" w:rsidRPr="00980F8F">
        <w:t>SAFT with the</w:t>
      </w:r>
      <w:r w:rsidR="00565117">
        <w:t xml:space="preserve"> predominant</w:t>
      </w:r>
      <w:r w:rsidR="00980F8F" w:rsidRPr="00980F8F">
        <w:t xml:space="preserve"> expectation that </w:t>
      </w:r>
      <w:r w:rsidR="00980F8F">
        <w:t>he, she or it</w:t>
      </w:r>
      <w:proofErr w:type="gramStart"/>
      <w:r w:rsidR="00980F8F">
        <w:t xml:space="preserve">, as the case may be, </w:t>
      </w:r>
      <w:r w:rsidR="00980F8F" w:rsidRPr="00980F8F">
        <w:t>will</w:t>
      </w:r>
      <w:proofErr w:type="gramEnd"/>
      <w:r w:rsidR="00980F8F" w:rsidRPr="00980F8F">
        <w:t xml:space="preserve"> profit upon the successful development and Network </w:t>
      </w:r>
      <w:r w:rsidR="009B75C1">
        <w:t xml:space="preserve">Launch </w:t>
      </w:r>
      <w:r w:rsidR="00980F8F" w:rsidRPr="00980F8F">
        <w:t xml:space="preserve">arising from the efforts of </w:t>
      </w:r>
      <w:r w:rsidR="000853CC">
        <w:t>the Company</w:t>
      </w:r>
      <w:r w:rsidR="00980F8F" w:rsidRPr="00980F8F">
        <w:t xml:space="preserve"> and its employees to develop and market the </w:t>
      </w:r>
      <w:r w:rsidR="000853CC">
        <w:t>[Network]</w:t>
      </w:r>
      <w:r w:rsidR="009B75C1">
        <w:t xml:space="preserve"> </w:t>
      </w:r>
      <w:r w:rsidR="00980F8F" w:rsidRPr="00980F8F">
        <w:t xml:space="preserve">and the </w:t>
      </w:r>
      <w:r w:rsidR="000853CC">
        <w:t>[Network Launch] and related sale of the Tokens</w:t>
      </w:r>
      <w:r w:rsidR="00980F8F" w:rsidRPr="00980F8F">
        <w:t>.</w:t>
      </w:r>
    </w:p>
    <w:p w:rsidR="0016354A" w:rsidRDefault="002B2218">
      <w:pPr>
        <w:spacing w:before="240"/>
        <w:jc w:val="both"/>
      </w:pPr>
      <w:r>
        <w:t>5</w:t>
      </w:r>
      <w:r w:rsidR="00217ABB">
        <w:t>.</w:t>
      </w:r>
      <w:r w:rsidR="0016354A">
        <w:t xml:space="preserve">   </w:t>
      </w:r>
      <w:r w:rsidR="0016354A" w:rsidRPr="00DC4C5F">
        <w:rPr>
          <w:b/>
          <w:i/>
        </w:rPr>
        <w:t>Procedures for Purchase of Rights and</w:t>
      </w:r>
      <w:r w:rsidR="0016354A" w:rsidRPr="00DC4C5F">
        <w:rPr>
          <w:i/>
        </w:rPr>
        <w:t xml:space="preserve"> </w:t>
      </w:r>
      <w:r w:rsidR="0016354A" w:rsidRPr="00DC4C5F">
        <w:rPr>
          <w:b/>
          <w:i/>
        </w:rPr>
        <w:t>Valuation of Purchase Amount</w:t>
      </w:r>
      <w:r w:rsidR="0016354A" w:rsidRPr="00DC4C5F">
        <w:rPr>
          <w:i/>
        </w:rPr>
        <w:t>.</w:t>
      </w:r>
      <w:r w:rsidR="00217ABB">
        <w:t xml:space="preserve"> </w:t>
      </w:r>
    </w:p>
    <w:p w:rsidR="0016354A" w:rsidRDefault="0016354A">
      <w:pPr>
        <w:spacing w:before="240"/>
        <w:jc w:val="both"/>
      </w:pPr>
      <w:r>
        <w:tab/>
        <w:t xml:space="preserve">(a)   The Company will accept payment for the Right purchased under this SAFT in </w:t>
      </w:r>
      <w:r w:rsidR="00DF2874">
        <w:t>[</w:t>
      </w:r>
      <w:r w:rsidRPr="006B2804">
        <w:t>U.S. Dollars</w:t>
      </w:r>
      <w:r w:rsidR="00DF2874">
        <w:t>/Bitcoin/</w:t>
      </w:r>
      <w:r w:rsidRPr="006B2804">
        <w:t>Ether</w:t>
      </w:r>
      <w:r w:rsidR="00DF2874">
        <w:t>]</w:t>
      </w:r>
      <w:r w:rsidR="00DC4C5F">
        <w:t xml:space="preserve">.  Purchaser shall make the required payment to the Company in consideration for Purchaser’s purchase of the Right </w:t>
      </w:r>
      <w:r w:rsidR="006B2804">
        <w:t xml:space="preserve">pursuant to the SAFT </w:t>
      </w:r>
      <w:r w:rsidR="00DC4C5F">
        <w:t xml:space="preserve">through the procedures set forth on </w:t>
      </w:r>
      <w:r w:rsidR="00DC4C5F" w:rsidRPr="00DC4C5F">
        <w:rPr>
          <w:i/>
          <w:u w:val="single"/>
        </w:rPr>
        <w:t>Exhibit A</w:t>
      </w:r>
      <w:r w:rsidR="00DC4C5F">
        <w:t xml:space="preserve"> hereof.</w:t>
      </w:r>
      <w:r w:rsidR="00217ABB">
        <w:t xml:space="preserve"> </w:t>
      </w:r>
    </w:p>
    <w:p w:rsidR="0016354A" w:rsidRDefault="00DC4C5F" w:rsidP="00DF2874">
      <w:pPr>
        <w:spacing w:before="240"/>
        <w:jc w:val="both"/>
      </w:pPr>
      <w:r>
        <w:tab/>
        <w:t>(b)   For purposes of this instrument, the value of the Purchase A</w:t>
      </w:r>
      <w:r w:rsidR="00A516F8">
        <w:t xml:space="preserve">mount shall be deemed in </w:t>
      </w:r>
      <w:r w:rsidR="00DF2874">
        <w:t>[</w:t>
      </w:r>
      <w:r>
        <w:t>Ether</w:t>
      </w:r>
      <w:r w:rsidR="00DF2874">
        <w:t>]</w:t>
      </w:r>
      <w:r w:rsidR="00A516F8">
        <w:t xml:space="preserve"> whether the Purchaser pays in </w:t>
      </w:r>
      <w:r w:rsidR="00DF2874">
        <w:t>[</w:t>
      </w:r>
      <w:r w:rsidR="00A516F8">
        <w:t>U.S. Dollars</w:t>
      </w:r>
      <w:r w:rsidR="00DF2874">
        <w:t>/Bitcoin/[or]</w:t>
      </w:r>
      <w:r w:rsidR="00A516F8">
        <w:t xml:space="preserve"> Ether</w:t>
      </w:r>
      <w:r w:rsidR="00DF2874">
        <w:t>]</w:t>
      </w:r>
      <w:r>
        <w:t xml:space="preserve">, </w:t>
      </w:r>
      <w:r w:rsidR="009B75C1">
        <w:t>valued at the Applicable Exchange Rate</w:t>
      </w:r>
      <w:r>
        <w:t xml:space="preserve"> for </w:t>
      </w:r>
      <w:r w:rsidR="00DF2874">
        <w:t>[</w:t>
      </w:r>
      <w:r>
        <w:t>Ether</w:t>
      </w:r>
      <w:r w:rsidR="00DF2874">
        <w:t>]</w:t>
      </w:r>
      <w:r w:rsidR="009B75C1">
        <w:t>. The term</w:t>
      </w:r>
      <w:r>
        <w:t xml:space="preserve"> </w:t>
      </w:r>
      <w:r w:rsidR="009B75C1">
        <w:t>“</w:t>
      </w:r>
      <w:r w:rsidR="009B75C1" w:rsidRPr="00AC77FA">
        <w:rPr>
          <w:b/>
          <w:i/>
        </w:rPr>
        <w:t>Applicable Exchange Rate</w:t>
      </w:r>
      <w:r w:rsidR="009B75C1">
        <w:t>” shall mean the</w:t>
      </w:r>
      <w:r w:rsidR="009B75C1" w:rsidRPr="009B75C1">
        <w:t xml:space="preserve"> volume-weighted average daily price</w:t>
      </w:r>
      <w:r w:rsidR="00AC77FA">
        <w:t xml:space="preserve"> of </w:t>
      </w:r>
      <w:r w:rsidR="00DF2874">
        <w:t>[</w:t>
      </w:r>
      <w:r w:rsidR="00AC77FA">
        <w:t>Ether</w:t>
      </w:r>
      <w:r w:rsidR="00DF2874">
        <w:t>]</w:t>
      </w:r>
      <w:r w:rsidR="00AC77FA">
        <w:t xml:space="preserve"> </w:t>
      </w:r>
      <w:r w:rsidR="00565117">
        <w:t>[</w:t>
      </w:r>
      <w:r w:rsidR="00E5589B">
        <w:t>across/on] [</w:t>
      </w:r>
      <w:r w:rsidR="00565117">
        <w:t>exchange</w:t>
      </w:r>
      <w:r w:rsidR="00E5589B">
        <w:t>(s)</w:t>
      </w:r>
      <w:r w:rsidR="00565117">
        <w:t>/index</w:t>
      </w:r>
      <w:r w:rsidR="00E5589B">
        <w:t>(</w:t>
      </w:r>
      <w:proofErr w:type="spellStart"/>
      <w:r w:rsidR="00565117">
        <w:t>es</w:t>
      </w:r>
      <w:proofErr w:type="spellEnd"/>
      <w:r w:rsidR="00E5589B">
        <w:t>)</w:t>
      </w:r>
      <w:r w:rsidR="00565117">
        <w:t xml:space="preserve">] </w:t>
      </w:r>
      <w:r w:rsidR="009B75C1">
        <w:t>in the 24-</w:t>
      </w:r>
      <w:r w:rsidR="009B75C1" w:rsidRPr="009B75C1">
        <w:t>hour</w:t>
      </w:r>
      <w:r w:rsidR="00AC77FA">
        <w:t xml:space="preserve"> period (Eastern Time)</w:t>
      </w:r>
      <w:r w:rsidR="009B75C1" w:rsidRPr="009B75C1">
        <w:t xml:space="preserve"> </w:t>
      </w:r>
      <w:r w:rsidR="00AC77FA">
        <w:t>following the day and time that the Company notifies the Purchaser, in writing, that the Company has accepted Purchaser’s offer to purchase the Right under this SAFT.</w:t>
      </w:r>
      <w:r w:rsidR="00DF2874" w:rsidRPr="00DF2874">
        <w:rPr>
          <w:rStyle w:val="FootnoteReference"/>
        </w:rPr>
        <w:t xml:space="preserve"> </w:t>
      </w:r>
      <w:r w:rsidR="00DF2874">
        <w:rPr>
          <w:rStyle w:val="FootnoteReference"/>
        </w:rPr>
        <w:footnoteReference w:id="5"/>
      </w:r>
    </w:p>
    <w:p w:rsidR="004F7613" w:rsidRDefault="002B2218">
      <w:pPr>
        <w:spacing w:before="240"/>
        <w:jc w:val="both"/>
        <w:rPr>
          <w:b/>
          <w:i/>
        </w:rPr>
      </w:pPr>
      <w:r>
        <w:t>6</w:t>
      </w:r>
      <w:r w:rsidR="0016354A">
        <w:t xml:space="preserve">.   </w:t>
      </w:r>
      <w:r w:rsidR="00217ABB">
        <w:rPr>
          <w:b/>
          <w:i/>
        </w:rPr>
        <w:t>Miscellaneous</w:t>
      </w:r>
    </w:p>
    <w:p w:rsidR="004F7613" w:rsidRPr="0016354A" w:rsidRDefault="00217ABB">
      <w:pPr>
        <w:spacing w:before="240"/>
        <w:jc w:val="both"/>
        <w:rPr>
          <w:b/>
        </w:rPr>
      </w:pPr>
      <w:r>
        <w:t xml:space="preserve">  </w:t>
      </w:r>
      <w:r>
        <w:tab/>
        <w:t>(a)</w:t>
      </w:r>
      <w:r>
        <w:rPr>
          <w:b/>
          <w:i/>
        </w:rPr>
        <w:t xml:space="preserve">  </w:t>
      </w:r>
      <w:r w:rsidR="00F91ADC">
        <w:t>This instrument sets forth the entire agreement and understanding of the parties relating to the subject matter herein and supersedes all prior or contemporaneous disclosures, discussions, understandings and agreements, whether oral of written, between them</w:t>
      </w:r>
      <w:r w:rsidR="00D571D4">
        <w:t xml:space="preserve">. </w:t>
      </w:r>
      <w:r w:rsidR="00F91ADC" w:rsidRPr="00D571D4">
        <w:t xml:space="preserve">This instrument is one of a series of similar instruments </w:t>
      </w:r>
      <w:proofErr w:type="gramStart"/>
      <w:r w:rsidR="00F91ADC" w:rsidRPr="00D571D4">
        <w:t>entered into</w:t>
      </w:r>
      <w:proofErr w:type="gramEnd"/>
      <w:r w:rsidR="00F91ADC" w:rsidRPr="00D571D4">
        <w:t xml:space="preserve"> by the Company from time to time.  Any pr</w:t>
      </w:r>
      <w:r w:rsidR="0016354A" w:rsidRPr="00D571D4">
        <w:t xml:space="preserve">ovision of this instrument may </w:t>
      </w:r>
      <w:r w:rsidR="00F91ADC" w:rsidRPr="00D571D4">
        <w:t>be amended, waived or modified only upon the written consent of the Company and the holders of a majority</w:t>
      </w:r>
      <w:r w:rsidR="0016354A" w:rsidRPr="00D571D4">
        <w:t>,</w:t>
      </w:r>
      <w:r w:rsidR="00F91ADC" w:rsidRPr="00D571D4">
        <w:t xml:space="preserve"> in the aggregate</w:t>
      </w:r>
      <w:r w:rsidR="0016354A" w:rsidRPr="00D571D4">
        <w:t>,</w:t>
      </w:r>
      <w:r w:rsidR="00F91ADC" w:rsidRPr="00D571D4">
        <w:t xml:space="preserve"> of the Purchase </w:t>
      </w:r>
      <w:r w:rsidR="00F91ADC" w:rsidRPr="00D571D4">
        <w:lastRenderedPageBreak/>
        <w:t>Amounts paid to the Company with respect to all SAFTs outstanding at the time of such amendment, waiver or modification</w:t>
      </w:r>
      <w:r w:rsidR="00107409" w:rsidRPr="00D571D4">
        <w:t>.</w:t>
      </w:r>
    </w:p>
    <w:p w:rsidR="004F7613" w:rsidRDefault="00217ABB">
      <w:pPr>
        <w:spacing w:before="240"/>
        <w:jc w:val="both"/>
      </w:pPr>
      <w:r>
        <w:t xml:space="preserve">  </w:t>
      </w:r>
      <w:r>
        <w:tab/>
        <w:t>(b)  Any notice required or permi</w:t>
      </w:r>
      <w:r w:rsidR="005C2795">
        <w:t xml:space="preserve">tted by this instrument will be </w:t>
      </w:r>
      <w:r>
        <w:t>deemed sufficient when sent by email to the relevant address listed on the signature page, as subsequently modified by written notice</w:t>
      </w:r>
      <w:r w:rsidR="0016354A">
        <w:t xml:space="preserve"> received by the appropriate party</w:t>
      </w:r>
      <w:r>
        <w:t>.</w:t>
      </w:r>
    </w:p>
    <w:p w:rsidR="004F7613" w:rsidRDefault="00217ABB">
      <w:pPr>
        <w:spacing w:before="240"/>
        <w:jc w:val="both"/>
      </w:pPr>
      <w:r>
        <w:t xml:space="preserve">  </w:t>
      </w:r>
      <w:r>
        <w:tab/>
        <w:t xml:space="preserve">(c)  The </w:t>
      </w:r>
      <w:r w:rsidR="00512410">
        <w:t>Purchaser</w:t>
      </w:r>
      <w:r>
        <w:t xml:space="preserve"> is not entitled, as a holder of this instrument, to vote or receive dividends or be deemed the holder of </w:t>
      </w:r>
      <w:r w:rsidR="006314D1">
        <w:t>c</w:t>
      </w:r>
      <w:r>
        <w:t xml:space="preserve">apital </w:t>
      </w:r>
      <w:r w:rsidR="006314D1">
        <w:t>s</w:t>
      </w:r>
      <w:r>
        <w:t xml:space="preserve">tock </w:t>
      </w:r>
      <w:r w:rsidR="006314D1">
        <w:t xml:space="preserve">of the Company </w:t>
      </w:r>
      <w:r>
        <w:t xml:space="preserve">for any purpose, nor will anything contained herein be construed to confer on the </w:t>
      </w:r>
      <w:r w:rsidR="00512410">
        <w:t>Purchaser</w:t>
      </w:r>
      <w:r>
        <w:t>,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w:t>
      </w:r>
    </w:p>
    <w:p w:rsidR="004F7613" w:rsidRDefault="00217ABB">
      <w:pPr>
        <w:spacing w:before="240"/>
        <w:jc w:val="both"/>
      </w:pPr>
      <w:r>
        <w:t xml:space="preserve">  </w:t>
      </w:r>
      <w:r>
        <w:tab/>
        <w:t xml:space="preserve">(d)  Neither this instrument nor the rights contained herein may be assigned, by operation of law or otherwise, by either party without the prior written consent of the other; </w:t>
      </w:r>
      <w:r>
        <w:rPr>
          <w:i/>
        </w:rPr>
        <w:t>provided, however</w:t>
      </w:r>
      <w:r>
        <w:t xml:space="preserve">, that this instrument and/or the rights contained herein may be assigned without the Company’s consent by the </w:t>
      </w:r>
      <w:r w:rsidR="00512410">
        <w:t>Purchaser</w:t>
      </w:r>
      <w:r>
        <w:t xml:space="preserve"> to any other entity who directly or indirectly, controls, is controlled by or is under common control with the </w:t>
      </w:r>
      <w:r w:rsidR="00512410">
        <w:t>Purchaser</w:t>
      </w:r>
      <w:r>
        <w:t xml:space="preserve">, including, without limitation, any general partner, managing member, officer or director of the </w:t>
      </w:r>
      <w:r w:rsidR="00512410">
        <w:t>Purchaser</w:t>
      </w:r>
      <w:r>
        <w:t xml:space="preserve">, or any venture capital fund now or hereafter existing which is controlled by one or more general partners or managing members of, or shares the same management company with, the </w:t>
      </w:r>
      <w:r w:rsidR="00512410">
        <w:t>Purchaser</w:t>
      </w:r>
      <w:r>
        <w:t xml:space="preserve">; and </w:t>
      </w:r>
      <w:r>
        <w:rPr>
          <w:i/>
        </w:rPr>
        <w:t>provided, further</w:t>
      </w:r>
      <w:r>
        <w:t xml:space="preserve">, that the Company may assign this instrument in whole, without the consent of the </w:t>
      </w:r>
      <w:r w:rsidR="00512410">
        <w:t>Purchaser</w:t>
      </w:r>
      <w:r>
        <w:t xml:space="preserve">, in connection with a reincorporation to change the Company’s domicile. </w:t>
      </w:r>
    </w:p>
    <w:p w:rsidR="004F7613" w:rsidRDefault="00217ABB">
      <w:pPr>
        <w:jc w:val="both"/>
      </w:pPr>
      <w:r>
        <w:t xml:space="preserve"> </w:t>
      </w:r>
    </w:p>
    <w:p w:rsidR="004F7613" w:rsidRDefault="00217ABB">
      <w:pPr>
        <w:jc w:val="both"/>
      </w:pPr>
      <w:r>
        <w:t xml:space="preserve">  </w:t>
      </w:r>
      <w:r>
        <w:tab/>
        <w:t>(e)  In the event any one or more of the provisions of this instrument is for any reason held to be invalid, illegal or unenforceable, in whole or in part or in any respect, or in the event that any one or more of the provisions of this instrument operate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w:t>
      </w:r>
    </w:p>
    <w:p w:rsidR="004F7613" w:rsidRDefault="00217ABB">
      <w:pPr>
        <w:jc w:val="both"/>
      </w:pPr>
      <w:r>
        <w:t xml:space="preserve"> </w:t>
      </w:r>
    </w:p>
    <w:p w:rsidR="004F7613" w:rsidRDefault="00FF195A" w:rsidP="00FF195A">
      <w:pPr>
        <w:tabs>
          <w:tab w:val="left" w:pos="720"/>
          <w:tab w:val="left" w:pos="7470"/>
        </w:tabs>
        <w:jc w:val="both"/>
      </w:pPr>
      <w:r>
        <w:tab/>
      </w:r>
      <w:r w:rsidR="00217ABB">
        <w:t xml:space="preserve">(f)  All rights and obligations hereunder will be governed by the laws of </w:t>
      </w:r>
      <w:r w:rsidR="00E5589B">
        <w:t>[_____]</w:t>
      </w:r>
      <w:r w:rsidR="00217ABB">
        <w:t>, without regard to the conflicts of law provisions of such jurisdiction.</w:t>
      </w:r>
    </w:p>
    <w:p w:rsidR="004F7613" w:rsidRDefault="00217ABB">
      <w:r>
        <w:t xml:space="preserve"> </w:t>
      </w:r>
    </w:p>
    <w:p w:rsidR="004F7613" w:rsidRDefault="00217ABB">
      <w:pPr>
        <w:jc w:val="center"/>
      </w:pPr>
      <w:r>
        <w:t>(</w:t>
      </w:r>
      <w:r>
        <w:rPr>
          <w:i/>
        </w:rPr>
        <w:t>Signature page follows</w:t>
      </w:r>
      <w:r>
        <w:t>)</w:t>
      </w:r>
    </w:p>
    <w:p w:rsidR="004F7613" w:rsidRDefault="00217ABB">
      <w:r>
        <w:t xml:space="preserve"> </w:t>
      </w:r>
    </w:p>
    <w:p w:rsidR="004F7613" w:rsidRDefault="004F7613"/>
    <w:p w:rsidR="00A37710" w:rsidRDefault="00A37710">
      <w:r>
        <w:br w:type="page"/>
      </w:r>
    </w:p>
    <w:p w:rsidR="004F7613" w:rsidRDefault="00217ABB">
      <w:r>
        <w:t>IN WITNESS WHEREOF, the undersigned have caused this instrument to be duly executed and delivered.</w:t>
      </w:r>
    </w:p>
    <w:p w:rsidR="004F7613" w:rsidRDefault="00217ABB">
      <w:pPr>
        <w:ind w:left="5220"/>
      </w:pPr>
      <w:r>
        <w:t xml:space="preserve"> </w:t>
      </w:r>
    </w:p>
    <w:p w:rsidR="004F7613" w:rsidRDefault="00024C87">
      <w:pPr>
        <w:rPr>
          <w:b/>
        </w:rPr>
      </w:pPr>
      <w:r>
        <w:rPr>
          <w:b/>
        </w:rPr>
        <w:t>[Company]</w:t>
      </w:r>
    </w:p>
    <w:p w:rsidR="004F7613" w:rsidRDefault="00217ABB">
      <w:pPr>
        <w:ind w:left="5220"/>
      </w:pPr>
      <w:r>
        <w:t xml:space="preserve"> </w:t>
      </w:r>
    </w:p>
    <w:p w:rsidR="0056307B" w:rsidRDefault="00217ABB" w:rsidP="0056307B">
      <w:r>
        <w:t>By:</w:t>
      </w:r>
      <w:r>
        <w:rPr>
          <w:u w:val="single"/>
        </w:rPr>
        <w:t xml:space="preserve">                                                   </w:t>
      </w:r>
      <w:r>
        <w:rPr>
          <w:u w:val="single"/>
        </w:rPr>
        <w:tab/>
      </w:r>
      <w:r>
        <w:t xml:space="preserve">     </w:t>
      </w:r>
      <w:r>
        <w:tab/>
      </w:r>
    </w:p>
    <w:p w:rsidR="00024C87" w:rsidRDefault="00024C87" w:rsidP="0056307B">
      <w:r>
        <w:t>[Name]</w:t>
      </w:r>
    </w:p>
    <w:p w:rsidR="004F7613" w:rsidRDefault="00024C87" w:rsidP="0056307B">
      <w:r>
        <w:t>[Title]</w:t>
      </w:r>
      <w:r w:rsidR="0056307B">
        <w:br/>
      </w:r>
    </w:p>
    <w:p w:rsidR="004F7613" w:rsidRDefault="00217ABB" w:rsidP="0056307B">
      <w:pPr>
        <w:rPr>
          <w:u w:val="single"/>
        </w:rPr>
      </w:pPr>
      <w:r>
        <w:t>Address:</w:t>
      </w:r>
      <w:r w:rsidR="00677EB4">
        <w:br/>
      </w:r>
      <w:r>
        <w:rPr>
          <w:u w:val="single"/>
        </w:rPr>
        <w:t xml:space="preserve">   </w:t>
      </w:r>
      <w:r w:rsidR="00024C87">
        <w:rPr>
          <w:u w:val="single"/>
        </w:rPr>
        <w:tab/>
      </w:r>
      <w:r w:rsidR="00024C87">
        <w:rPr>
          <w:u w:val="single"/>
        </w:rPr>
        <w:tab/>
      </w:r>
      <w:r w:rsidR="00024C87">
        <w:rPr>
          <w:u w:val="single"/>
        </w:rPr>
        <w:tab/>
      </w:r>
      <w:r w:rsidR="00024C87">
        <w:rPr>
          <w:u w:val="single"/>
        </w:rPr>
        <w:tab/>
      </w:r>
      <w:r>
        <w:rPr>
          <w:u w:val="single"/>
        </w:rPr>
        <w:t xml:space="preserve">                </w:t>
      </w:r>
      <w:r>
        <w:rPr>
          <w:u w:val="single"/>
        </w:rPr>
        <w:tab/>
      </w:r>
      <w:r w:rsidR="0056307B">
        <w:rPr>
          <w:u w:val="single"/>
        </w:rPr>
        <w:br/>
      </w:r>
    </w:p>
    <w:p w:rsidR="004F7613" w:rsidRDefault="00217ABB">
      <w:pPr>
        <w:rPr>
          <w:u w:val="single"/>
        </w:rPr>
      </w:pPr>
      <w:r>
        <w:rPr>
          <w:u w:val="single"/>
        </w:rPr>
        <w:t xml:space="preserve">   </w:t>
      </w:r>
      <w:r w:rsidR="00024C87">
        <w:rPr>
          <w:u w:val="single"/>
        </w:rPr>
        <w:tab/>
      </w:r>
      <w:r w:rsidR="00024C87">
        <w:rPr>
          <w:u w:val="single"/>
        </w:rPr>
        <w:tab/>
      </w:r>
      <w:r w:rsidR="00024C87">
        <w:rPr>
          <w:u w:val="single"/>
        </w:rPr>
        <w:tab/>
      </w:r>
      <w:r w:rsidR="00024C87">
        <w:rPr>
          <w:u w:val="single"/>
        </w:rPr>
        <w:tab/>
      </w:r>
      <w:r w:rsidR="00024C87">
        <w:rPr>
          <w:u w:val="single"/>
        </w:rPr>
        <w:tab/>
      </w:r>
      <w:r w:rsidR="00677EB4">
        <w:rPr>
          <w:u w:val="single"/>
        </w:rPr>
        <w:t xml:space="preserve">  </w:t>
      </w:r>
      <w:r>
        <w:rPr>
          <w:u w:val="single"/>
        </w:rPr>
        <w:tab/>
      </w:r>
    </w:p>
    <w:p w:rsidR="004F7613" w:rsidRDefault="0056307B" w:rsidP="0056307B">
      <w:pPr>
        <w:rPr>
          <w:u w:val="single"/>
        </w:rPr>
      </w:pPr>
      <w:r>
        <w:br/>
      </w:r>
      <w:r w:rsidR="00217ABB">
        <w:t>Email</w:t>
      </w:r>
      <w:r w:rsidR="00217ABB" w:rsidRPr="005C2795">
        <w:t>:</w:t>
      </w:r>
      <w:r w:rsidR="005C2795" w:rsidRPr="005C2795">
        <w:t xml:space="preserve">  </w:t>
      </w:r>
      <w:r w:rsidR="00217ABB" w:rsidRPr="005C2795">
        <w:t xml:space="preserve">    </w:t>
      </w:r>
    </w:p>
    <w:p w:rsidR="004F7613" w:rsidRDefault="00217ABB">
      <w:pPr>
        <w:spacing w:before="480"/>
        <w:rPr>
          <w:b/>
        </w:rPr>
      </w:pPr>
      <w:r>
        <w:t xml:space="preserve">                                                                                </w:t>
      </w:r>
      <w:r>
        <w:tab/>
      </w:r>
      <w:r w:rsidR="00512410">
        <w:rPr>
          <w:b/>
        </w:rPr>
        <w:t>PURCHASER</w:t>
      </w:r>
      <w:r>
        <w:rPr>
          <w:b/>
        </w:rPr>
        <w:t>:</w:t>
      </w:r>
    </w:p>
    <w:p w:rsidR="0079636C" w:rsidRDefault="0079636C">
      <w:pPr>
        <w:spacing w:before="480"/>
        <w:rPr>
          <w:b/>
        </w:rPr>
      </w:pPr>
    </w:p>
    <w:p w:rsidR="004F7613" w:rsidRDefault="00217ABB">
      <w:pPr>
        <w:spacing w:line="360" w:lineRule="auto"/>
        <w:rPr>
          <w:u w:val="single"/>
        </w:rPr>
      </w:pPr>
      <w:r>
        <w:t xml:space="preserve">                                                                                </w:t>
      </w:r>
      <w:r>
        <w:tab/>
        <w:t>By:</w:t>
      </w:r>
      <w:r>
        <w:rPr>
          <w:u w:val="single"/>
        </w:rPr>
        <w:t xml:space="preserve">                                </w:t>
      </w:r>
      <w:r w:rsidR="00677EB4">
        <w:rPr>
          <w:u w:val="single"/>
        </w:rPr>
        <w:t xml:space="preserve">                              </w:t>
      </w:r>
      <w:r>
        <w:rPr>
          <w:u w:val="single"/>
        </w:rPr>
        <w:t xml:space="preserve"> </w:t>
      </w:r>
      <w:r>
        <w:rPr>
          <w:u w:val="single"/>
        </w:rPr>
        <w:tab/>
      </w:r>
    </w:p>
    <w:p w:rsidR="0079636C" w:rsidRDefault="0079636C" w:rsidP="00677EB4">
      <w:pPr>
        <w:spacing w:line="360" w:lineRule="auto"/>
        <w:ind w:left="5040"/>
      </w:pPr>
    </w:p>
    <w:p w:rsidR="004F7613" w:rsidRDefault="00217ABB" w:rsidP="00677EB4">
      <w:pPr>
        <w:spacing w:line="360" w:lineRule="auto"/>
        <w:ind w:left="5040"/>
        <w:rPr>
          <w:u w:val="single"/>
        </w:rPr>
      </w:pPr>
      <w:r>
        <w:t>Name:</w:t>
      </w:r>
      <w:r w:rsidR="0079636C">
        <w:t xml:space="preserve"> </w:t>
      </w:r>
      <w:r>
        <w:rPr>
          <w:u w:val="single"/>
        </w:rPr>
        <w:t xml:space="preserve">                                                           </w:t>
      </w:r>
      <w:r>
        <w:rPr>
          <w:u w:val="single"/>
        </w:rPr>
        <w:tab/>
      </w:r>
    </w:p>
    <w:p w:rsidR="0079636C" w:rsidRDefault="0079636C" w:rsidP="00677EB4">
      <w:pPr>
        <w:spacing w:line="360" w:lineRule="auto"/>
        <w:ind w:left="5040"/>
      </w:pPr>
    </w:p>
    <w:p w:rsidR="004F7613" w:rsidRDefault="00217ABB" w:rsidP="00677EB4">
      <w:pPr>
        <w:spacing w:line="360" w:lineRule="auto"/>
        <w:ind w:left="5040"/>
        <w:rPr>
          <w:u w:val="single"/>
        </w:rPr>
      </w:pPr>
      <w:r>
        <w:t>Title:</w:t>
      </w:r>
      <w:r>
        <w:rPr>
          <w:u w:val="single"/>
        </w:rPr>
        <w:t xml:space="preserve">                                                    </w:t>
      </w:r>
      <w:r>
        <w:rPr>
          <w:u w:val="single"/>
        </w:rPr>
        <w:tab/>
      </w:r>
    </w:p>
    <w:p w:rsidR="004F7613" w:rsidRDefault="00217ABB">
      <w:pPr>
        <w:rPr>
          <w:u w:val="single"/>
        </w:rPr>
      </w:pPr>
      <w:r>
        <w:rPr>
          <w:u w:val="single"/>
        </w:rPr>
        <w:t xml:space="preserve"> </w:t>
      </w:r>
    </w:p>
    <w:p w:rsidR="004F7613" w:rsidRDefault="003279F1" w:rsidP="00677EB4">
      <w:pPr>
        <w:ind w:left="5040" w:right="-260"/>
        <w:rPr>
          <w:u w:val="single"/>
        </w:rPr>
      </w:pPr>
      <w:r>
        <w:t>Email:</w:t>
      </w:r>
      <w:r>
        <w:rPr>
          <w:u w:val="single"/>
        </w:rPr>
        <w:t xml:space="preserve">                                                    </w:t>
      </w:r>
      <w:r>
        <w:rPr>
          <w:u w:val="single"/>
        </w:rPr>
        <w:tab/>
      </w:r>
      <w:r w:rsidR="0079636C">
        <w:t xml:space="preserve"> </w:t>
      </w:r>
    </w:p>
    <w:p w:rsidR="004F7613" w:rsidRDefault="00217ABB">
      <w:r>
        <w:t xml:space="preserve"> </w:t>
      </w:r>
    </w:p>
    <w:p w:rsidR="004F7613" w:rsidRDefault="004F7613"/>
    <w:p w:rsidR="00E5589B" w:rsidRDefault="00E5589B" w:rsidP="00E5589B">
      <w:pPr>
        <w:jc w:val="center"/>
      </w:pPr>
      <w:r>
        <w:br w:type="page"/>
      </w:r>
      <w:r>
        <w:lastRenderedPageBreak/>
        <w:t>Exhibit A</w:t>
      </w:r>
    </w:p>
    <w:p w:rsidR="00E5589B" w:rsidRDefault="00E5589B" w:rsidP="00E5589B">
      <w:pPr>
        <w:jc w:val="center"/>
      </w:pPr>
    </w:p>
    <w:sectPr w:rsidR="00E5589B">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A84" w:rsidRDefault="00161A84" w:rsidP="00143FBD">
      <w:pPr>
        <w:spacing w:line="240" w:lineRule="auto"/>
      </w:pPr>
      <w:r>
        <w:separator/>
      </w:r>
    </w:p>
  </w:endnote>
  <w:endnote w:type="continuationSeparator" w:id="0">
    <w:p w:rsidR="00161A84" w:rsidRDefault="00161A84" w:rsidP="00143F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AE4" w:rsidRDefault="00C32AE4">
    <w:pPr>
      <w:pStyle w:val="Footer"/>
      <w:jc w:val="center"/>
    </w:pPr>
    <w:r>
      <w:fldChar w:fldCharType="begin"/>
    </w:r>
    <w:r>
      <w:instrText xml:space="preserve"> PAGE   \* MERGEFORMAT </w:instrText>
    </w:r>
    <w:r>
      <w:fldChar w:fldCharType="separate"/>
    </w:r>
    <w:r w:rsidR="00B9713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A84" w:rsidRDefault="00161A84" w:rsidP="00143FBD">
      <w:pPr>
        <w:spacing w:line="240" w:lineRule="auto"/>
      </w:pPr>
      <w:r>
        <w:separator/>
      </w:r>
    </w:p>
  </w:footnote>
  <w:footnote w:type="continuationSeparator" w:id="0">
    <w:p w:rsidR="00161A84" w:rsidRDefault="00161A84" w:rsidP="00143FBD">
      <w:pPr>
        <w:spacing w:line="240" w:lineRule="auto"/>
      </w:pPr>
      <w:r>
        <w:continuationSeparator/>
      </w:r>
    </w:p>
  </w:footnote>
  <w:footnote w:id="1">
    <w:p w:rsidR="00024C87" w:rsidRDefault="00024C87">
      <w:pPr>
        <w:pStyle w:val="FootnoteText"/>
      </w:pPr>
      <w:r>
        <w:rPr>
          <w:rStyle w:val="FootnoteReference"/>
        </w:rPr>
        <w:footnoteRef/>
      </w:r>
      <w:r>
        <w:t xml:space="preserve"> Review Company’s Certificate of Incorporation for liquidation preferences of preferred stockholders if any series of preferred stock is issued and outstanding.</w:t>
      </w:r>
    </w:p>
  </w:footnote>
  <w:footnote w:id="2">
    <w:p w:rsidR="00DF2874" w:rsidRDefault="00DF2874">
      <w:pPr>
        <w:pStyle w:val="FootnoteText"/>
      </w:pPr>
      <w:r>
        <w:rPr>
          <w:rStyle w:val="FootnoteReference"/>
        </w:rPr>
        <w:footnoteRef/>
      </w:r>
      <w:r>
        <w:t xml:space="preserve"> Include if there will be a minimum offering amount.</w:t>
      </w:r>
    </w:p>
  </w:footnote>
  <w:footnote w:id="3">
    <w:p w:rsidR="00DF2874" w:rsidRDefault="00DF2874">
      <w:pPr>
        <w:pStyle w:val="FootnoteText"/>
      </w:pPr>
      <w:r>
        <w:rPr>
          <w:rStyle w:val="FootnoteReference"/>
        </w:rPr>
        <w:footnoteRef/>
      </w:r>
      <w:r>
        <w:t xml:space="preserve"> Customize to the launch event the Company anticipates.</w:t>
      </w:r>
    </w:p>
  </w:footnote>
  <w:footnote w:id="4">
    <w:p w:rsidR="000853CC" w:rsidRDefault="000853CC">
      <w:pPr>
        <w:pStyle w:val="FootnoteText"/>
      </w:pPr>
      <w:r>
        <w:rPr>
          <w:rStyle w:val="FootnoteReference"/>
        </w:rPr>
        <w:footnoteRef/>
      </w:r>
      <w:r>
        <w:t xml:space="preserve"> Review with IP counsel.</w:t>
      </w:r>
    </w:p>
  </w:footnote>
  <w:footnote w:id="5">
    <w:p w:rsidR="00DF2874" w:rsidRDefault="00DF2874" w:rsidP="00DF2874">
      <w:pPr>
        <w:pStyle w:val="FootnoteText"/>
      </w:pPr>
      <w:r>
        <w:rPr>
          <w:rStyle w:val="FootnoteReference"/>
        </w:rPr>
        <w:footnoteRef/>
      </w:r>
      <w:r>
        <w:t xml:space="preserve"> Update based on the types of digital assets or fiat currency Company will accept for the SAFTs.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132" w:rsidRPr="00BC05A1" w:rsidRDefault="00B97132" w:rsidP="00B97132">
    <w:pPr>
      <w:pStyle w:val="Header"/>
      <w:jc w:val="center"/>
      <w:rPr>
        <w:sz w:val="20"/>
      </w:rPr>
    </w:pPr>
  </w:p>
  <w:p w:rsidR="00A677B0" w:rsidRPr="00BC05A1" w:rsidRDefault="00A677B0" w:rsidP="00E706C3">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0DAA"/>
    <w:multiLevelType w:val="hybridMultilevel"/>
    <w:tmpl w:val="D00A87B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51237C03"/>
    <w:multiLevelType w:val="hybridMultilevel"/>
    <w:tmpl w:val="85602A2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doNotTrackMoves/>
  <w:defaultTabStop w:val="72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7613"/>
    <w:rsid w:val="00024C87"/>
    <w:rsid w:val="0006210F"/>
    <w:rsid w:val="000853CC"/>
    <w:rsid w:val="000900CB"/>
    <w:rsid w:val="000E6430"/>
    <w:rsid w:val="00100D64"/>
    <w:rsid w:val="001028CB"/>
    <w:rsid w:val="00107409"/>
    <w:rsid w:val="00120AFD"/>
    <w:rsid w:val="00131CC5"/>
    <w:rsid w:val="001355CC"/>
    <w:rsid w:val="00143FBD"/>
    <w:rsid w:val="00154114"/>
    <w:rsid w:val="00161A84"/>
    <w:rsid w:val="0016354A"/>
    <w:rsid w:val="001972C4"/>
    <w:rsid w:val="001D3639"/>
    <w:rsid w:val="001E2F81"/>
    <w:rsid w:val="002172A9"/>
    <w:rsid w:val="00217ABB"/>
    <w:rsid w:val="00223AEA"/>
    <w:rsid w:val="002716FC"/>
    <w:rsid w:val="00271D20"/>
    <w:rsid w:val="002B2218"/>
    <w:rsid w:val="002B5C79"/>
    <w:rsid w:val="002B72A2"/>
    <w:rsid w:val="002C1ECA"/>
    <w:rsid w:val="00302510"/>
    <w:rsid w:val="003279F1"/>
    <w:rsid w:val="003A5EB3"/>
    <w:rsid w:val="003C458C"/>
    <w:rsid w:val="003F1677"/>
    <w:rsid w:val="00457EC3"/>
    <w:rsid w:val="00482763"/>
    <w:rsid w:val="0049566C"/>
    <w:rsid w:val="004C6968"/>
    <w:rsid w:val="004D220A"/>
    <w:rsid w:val="004F7613"/>
    <w:rsid w:val="00512410"/>
    <w:rsid w:val="00524512"/>
    <w:rsid w:val="00526B05"/>
    <w:rsid w:val="00527DBC"/>
    <w:rsid w:val="0053699A"/>
    <w:rsid w:val="00555611"/>
    <w:rsid w:val="0056307B"/>
    <w:rsid w:val="00565117"/>
    <w:rsid w:val="005C2795"/>
    <w:rsid w:val="005C63D5"/>
    <w:rsid w:val="005F6064"/>
    <w:rsid w:val="0062018D"/>
    <w:rsid w:val="006314D1"/>
    <w:rsid w:val="00632E06"/>
    <w:rsid w:val="00677EB4"/>
    <w:rsid w:val="0069207B"/>
    <w:rsid w:val="006929BF"/>
    <w:rsid w:val="006936B3"/>
    <w:rsid w:val="006B2804"/>
    <w:rsid w:val="006B55FE"/>
    <w:rsid w:val="006E6255"/>
    <w:rsid w:val="006F73BF"/>
    <w:rsid w:val="007028D4"/>
    <w:rsid w:val="007059AB"/>
    <w:rsid w:val="00707ABE"/>
    <w:rsid w:val="00783C38"/>
    <w:rsid w:val="007930C9"/>
    <w:rsid w:val="00795289"/>
    <w:rsid w:val="0079636C"/>
    <w:rsid w:val="007B5E12"/>
    <w:rsid w:val="007D57A0"/>
    <w:rsid w:val="007E3ACE"/>
    <w:rsid w:val="007E596E"/>
    <w:rsid w:val="007F7FBD"/>
    <w:rsid w:val="00820B4E"/>
    <w:rsid w:val="0084594D"/>
    <w:rsid w:val="00892754"/>
    <w:rsid w:val="008B4990"/>
    <w:rsid w:val="00912A23"/>
    <w:rsid w:val="00946D30"/>
    <w:rsid w:val="00980F8F"/>
    <w:rsid w:val="009B75C1"/>
    <w:rsid w:val="009C0B4B"/>
    <w:rsid w:val="009E7A32"/>
    <w:rsid w:val="009F6FFA"/>
    <w:rsid w:val="00A12EF5"/>
    <w:rsid w:val="00A37710"/>
    <w:rsid w:val="00A516F8"/>
    <w:rsid w:val="00A677B0"/>
    <w:rsid w:val="00A76A86"/>
    <w:rsid w:val="00A95D2A"/>
    <w:rsid w:val="00AC77FA"/>
    <w:rsid w:val="00AF2E42"/>
    <w:rsid w:val="00AF7103"/>
    <w:rsid w:val="00B060EB"/>
    <w:rsid w:val="00B82FD7"/>
    <w:rsid w:val="00B97132"/>
    <w:rsid w:val="00BC05A1"/>
    <w:rsid w:val="00BF42CE"/>
    <w:rsid w:val="00C1581D"/>
    <w:rsid w:val="00C32AE4"/>
    <w:rsid w:val="00C44BD0"/>
    <w:rsid w:val="00C75423"/>
    <w:rsid w:val="00CC4F50"/>
    <w:rsid w:val="00D026A8"/>
    <w:rsid w:val="00D571D4"/>
    <w:rsid w:val="00D82EC7"/>
    <w:rsid w:val="00D93175"/>
    <w:rsid w:val="00DC4C5F"/>
    <w:rsid w:val="00DF2874"/>
    <w:rsid w:val="00E04799"/>
    <w:rsid w:val="00E12A38"/>
    <w:rsid w:val="00E2313E"/>
    <w:rsid w:val="00E5589B"/>
    <w:rsid w:val="00E706C3"/>
    <w:rsid w:val="00ED3833"/>
    <w:rsid w:val="00F12834"/>
    <w:rsid w:val="00F332AC"/>
    <w:rsid w:val="00F3527C"/>
    <w:rsid w:val="00F4255E"/>
    <w:rsid w:val="00F51E4D"/>
    <w:rsid w:val="00F87667"/>
    <w:rsid w:val="00F91ADC"/>
    <w:rsid w:val="00FC57B2"/>
    <w:rsid w:val="00FF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FC3A"/>
  <w15:docId w15:val="{6232B479-489D-4E29-80FD-C959B220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line="276" w:lineRule="auto"/>
    </w:pPr>
    <w:rPr>
      <w:color w:val="000000"/>
      <w:sz w:val="22"/>
      <w:szCs w:val="22"/>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143FBD"/>
    <w:pPr>
      <w:tabs>
        <w:tab w:val="center" w:pos="4680"/>
        <w:tab w:val="right" w:pos="9360"/>
      </w:tabs>
      <w:spacing w:line="240" w:lineRule="auto"/>
    </w:pPr>
  </w:style>
  <w:style w:type="character" w:customStyle="1" w:styleId="HeaderChar">
    <w:name w:val="Header Char"/>
    <w:basedOn w:val="DefaultParagraphFont"/>
    <w:link w:val="Header"/>
    <w:uiPriority w:val="99"/>
    <w:rsid w:val="00143FBD"/>
  </w:style>
  <w:style w:type="paragraph" w:styleId="Footer">
    <w:name w:val="footer"/>
    <w:basedOn w:val="Normal"/>
    <w:link w:val="FooterChar"/>
    <w:uiPriority w:val="99"/>
    <w:unhideWhenUsed/>
    <w:rsid w:val="00143FBD"/>
    <w:pPr>
      <w:tabs>
        <w:tab w:val="center" w:pos="4680"/>
        <w:tab w:val="right" w:pos="9360"/>
      </w:tabs>
      <w:spacing w:line="240" w:lineRule="auto"/>
    </w:pPr>
  </w:style>
  <w:style w:type="character" w:customStyle="1" w:styleId="FooterChar">
    <w:name w:val="Footer Char"/>
    <w:basedOn w:val="DefaultParagraphFont"/>
    <w:link w:val="Footer"/>
    <w:uiPriority w:val="99"/>
    <w:rsid w:val="00143FBD"/>
  </w:style>
  <w:style w:type="character" w:customStyle="1" w:styleId="zzmpTrailerItem">
    <w:name w:val="zzmpTrailerItem"/>
    <w:rsid w:val="00DF2874"/>
    <w:rPr>
      <w:rFonts w:ascii="Arial" w:hAnsi="Arial" w:cs="Arial"/>
      <w:dstrike w:val="0"/>
      <w:noProof/>
      <w:color w:val="000000"/>
      <w:spacing w:val="0"/>
      <w:position w:val="0"/>
      <w:sz w:val="16"/>
      <w:szCs w:val="16"/>
      <w:u w:val="none"/>
      <w:effect w:val="none"/>
      <w:vertAlign w:val="baseline"/>
    </w:rPr>
  </w:style>
  <w:style w:type="paragraph" w:styleId="FootnoteText">
    <w:name w:val="footnote text"/>
    <w:basedOn w:val="Normal"/>
    <w:link w:val="FootnoteTextChar"/>
    <w:uiPriority w:val="99"/>
    <w:unhideWhenUsed/>
    <w:rsid w:val="00512410"/>
    <w:pPr>
      <w:spacing w:line="240" w:lineRule="auto"/>
    </w:pPr>
    <w:rPr>
      <w:sz w:val="20"/>
      <w:szCs w:val="20"/>
    </w:rPr>
  </w:style>
  <w:style w:type="character" w:customStyle="1" w:styleId="FootnoteTextChar">
    <w:name w:val="Footnote Text Char"/>
    <w:link w:val="FootnoteText"/>
    <w:uiPriority w:val="99"/>
    <w:rsid w:val="00512410"/>
    <w:rPr>
      <w:sz w:val="20"/>
      <w:szCs w:val="20"/>
    </w:rPr>
  </w:style>
  <w:style w:type="character" w:styleId="FootnoteReference">
    <w:name w:val="footnote reference"/>
    <w:uiPriority w:val="99"/>
    <w:semiHidden/>
    <w:unhideWhenUsed/>
    <w:rsid w:val="00512410"/>
    <w:rPr>
      <w:vertAlign w:val="superscript"/>
    </w:rPr>
  </w:style>
  <w:style w:type="paragraph" w:styleId="BalloonText">
    <w:name w:val="Balloon Text"/>
    <w:basedOn w:val="Normal"/>
    <w:link w:val="BalloonTextChar"/>
    <w:uiPriority w:val="99"/>
    <w:semiHidden/>
    <w:unhideWhenUsed/>
    <w:rsid w:val="00677EB4"/>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677EB4"/>
    <w:rPr>
      <w:rFonts w:ascii="Segoe UI" w:hAnsi="Segoe UI" w:cs="Segoe UI"/>
      <w:sz w:val="18"/>
      <w:szCs w:val="18"/>
    </w:rPr>
  </w:style>
  <w:style w:type="character" w:styleId="CommentReference">
    <w:name w:val="annotation reference"/>
    <w:uiPriority w:val="99"/>
    <w:semiHidden/>
    <w:unhideWhenUsed/>
    <w:rsid w:val="00C44BD0"/>
    <w:rPr>
      <w:sz w:val="16"/>
      <w:szCs w:val="16"/>
    </w:rPr>
  </w:style>
  <w:style w:type="paragraph" w:styleId="CommentText">
    <w:name w:val="annotation text"/>
    <w:basedOn w:val="Normal"/>
    <w:link w:val="CommentTextChar"/>
    <w:uiPriority w:val="99"/>
    <w:semiHidden/>
    <w:unhideWhenUsed/>
    <w:rsid w:val="00C44BD0"/>
    <w:pPr>
      <w:spacing w:line="240" w:lineRule="auto"/>
    </w:pPr>
    <w:rPr>
      <w:sz w:val="20"/>
      <w:szCs w:val="20"/>
    </w:rPr>
  </w:style>
  <w:style w:type="character" w:customStyle="1" w:styleId="CommentTextChar">
    <w:name w:val="Comment Text Char"/>
    <w:link w:val="CommentText"/>
    <w:uiPriority w:val="99"/>
    <w:semiHidden/>
    <w:rsid w:val="00C44BD0"/>
    <w:rPr>
      <w:sz w:val="20"/>
      <w:szCs w:val="20"/>
    </w:rPr>
  </w:style>
  <w:style w:type="paragraph" w:styleId="CommentSubject">
    <w:name w:val="annotation subject"/>
    <w:basedOn w:val="CommentText"/>
    <w:next w:val="CommentText"/>
    <w:link w:val="CommentSubjectChar"/>
    <w:uiPriority w:val="99"/>
    <w:semiHidden/>
    <w:unhideWhenUsed/>
    <w:rsid w:val="00C44BD0"/>
    <w:rPr>
      <w:b/>
      <w:bCs/>
    </w:rPr>
  </w:style>
  <w:style w:type="character" w:customStyle="1" w:styleId="CommentSubjectChar">
    <w:name w:val="Comment Subject Char"/>
    <w:link w:val="CommentSubject"/>
    <w:uiPriority w:val="99"/>
    <w:semiHidden/>
    <w:rsid w:val="00C44BD0"/>
    <w:rPr>
      <w:b/>
      <w:bCs/>
      <w:sz w:val="20"/>
      <w:szCs w:val="20"/>
    </w:rPr>
  </w:style>
  <w:style w:type="character" w:styleId="Hyperlink">
    <w:name w:val="Hyperlink"/>
    <w:uiPriority w:val="99"/>
    <w:unhideWhenUsed/>
    <w:rsid w:val="00AC77F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006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Relationships xmlns="http://schemas.openxmlformats.org/package/2006/relationships"><Relationship Target="header1.xml" Type="http://schemas.openxmlformats.org/officeDocument/2006/relationships/header" Id="rId8"></Relationship><Relationship Target="styles.xml" Type="http://schemas.openxmlformats.org/officeDocument/2006/relationships/styles" Id="rId3"></Relationship><Relationship Target="endnotes.xml" Type="http://schemas.openxmlformats.org/officeDocument/2006/relationships/endnotes" Id="rId7"></Relationship><Relationship Target="numbering.xml" Type="http://schemas.openxmlformats.org/officeDocument/2006/relationships/numbering" Id="rId2"></Relationship><Relationship Target="footnotes.xml" Type="http://schemas.openxmlformats.org/officeDocument/2006/relationships/footnotes" Id="rId6"></Relationship><Relationship Target="theme/theme1.xml" Type="http://schemas.openxmlformats.org/officeDocument/2006/relationships/theme" Id="rId11"></Relationship><Relationship Target="webSettings.xml" Type="http://schemas.openxmlformats.org/officeDocument/2006/relationships/webSettings" Id="rId5"></Relationship><Relationship Target="fontTable.xml" Type="http://schemas.openxmlformats.org/officeDocument/2006/relationships/fontTable" Id="rId10"></Relationship><Relationship Target="settings.xml" Type="http://schemas.openxmlformats.org/officeDocument/2006/relationships/settings" Id="rId4"></Relationship><Relationship Target="footer1.xml" Type="http://schemas.openxmlformats.org/officeDocument/2006/relationships/footer" Id="rId9"></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itlesOfParts>
    <vt:vector size="1" baseType="lpstr">
      <vt:lpstr/>
    </vt:vector>
  </TitlesOfPart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coreProperties>
</file>