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lang w:val="de-CH"/>
        </w:rPr>
        <w:t>Forschungsprogramm</w:t>
      </w:r>
    </w:p>
    <w:p>
      <w:pPr>
        <w:pStyle w:val="Title"/>
      </w:pPr>
      <w:r>
        <w:rPr>
          <w:color w:val="000000"/>
          <w:lang w:val="de-CH"/>
        </w:rPr>
        <w:t>RAX Relationales Forschungsprogramm</w:t>
      </w:r>
    </w:p>
    <w:p>
      <w:pPr>
        <w:pStyle w:val="Subtitle"/>
      </w:pPr>
      <w:r>
        <w:rPr>
          <w:color w:val="000000"/>
          <w:lang w:val="de-CH"/>
        </w:rPr>
        <w:t>Universalität und Identifizierbarkeit effektiver Strukturen</w:t>
      </w:r>
    </w:p>
    <w:p>
      <w:pPr>
        <w:widowControl/>
      </w:pPr>
      <w:r>
        <w:rPr>
          <w:b w:val="0"/>
          <w:lang w:val="de-CH"/>
        </w:rPr>
        <w:t>Version 0.1  |  14. Oktober 2026  |  Projektverantwortung Thomas Gfeller</w:t>
      </w:r>
    </w:p>
    <w:p>
      <w:pPr>
        <w:widowControl/>
      </w:pPr>
      <w:r>
        <w:rPr>
          <w:b w:val="0"/>
          <w:lang w:val="de-CH"/>
        </w:rPr>
        <w:t>RAX untersucht, ob unterschiedliche relationale Mikrostrukturen eine gemeinsame reduzierte Beschreibung erlauben, die neue Beobachtungen und kontrollierte Interventionsantworten zuverlässig vorhersagt. Ein solcher Destillationsrückstand ist ein Kandidat für eine effektive Struktur. Seine Existenz und physikalische Bedeutung werden geprüft.</w:t>
      </w:r>
    </w:p>
    <w:p>
      <w:pPr>
        <w:widowControl/>
      </w:pPr>
      <w:r>
        <w:rPr>
          <w:b/>
          <w:lang w:val="de-CH"/>
        </w:rPr>
        <w:t>Leitfrage: Welche nächste zulässige Intervention maximiert den erwarteten Informationsgewinn zwischen den noch möglichen Erklärungsklassen?</w:t>
      </w:r>
    </w:p>
    <w:p>
      <w:pPr>
        <w:pStyle w:val="Heading2"/>
      </w:pPr>
      <w:r>
        <w:rPr>
          <w:color w:val="000000"/>
          <w:lang w:val="de-CH"/>
        </w:rPr>
        <w:t>Ziel und erster überprüfbarer Schritt</w:t>
      </w:r>
    </w:p>
    <w:p>
      <w:pPr>
        <w:widowControl/>
      </w:pPr>
      <w:r>
        <w:rPr>
          <w:b w:val="0"/>
          <w:lang w:val="de-CH"/>
        </w:rPr>
        <w:t>Das Programm verbindet Gesetzeskandidaten, konkurrierende Generatoren, mögliche geometrische Rekonstruktionen und ein separates Widerlegungsgate. Der erste Versuch RAX-U1 qualifiziert diese Methodik an endlichen Markov-Netzen mit analytisch bekannter Reduktion. RAX-U2 öffnet danach die Suche nach unbekannten prädiktiven Reduktionen. Aussagen über Raumzeit oder Singularitäten benötigen weitere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trPr>
        <w:tc>
          <w:tcPr>
            <w:tcW w:type="dxa" w:w="2160"/>
            <w:vAlign w:val="center"/>
            <w:shd w:fill="233D50"/>
            <w:tcMar>
              <w:top w:w="95" w:type="dxa"/>
              <w:left w:w="95" w:type="dxa"/>
              <w:bottom w:w="95" w:type="dxa"/>
              <w:right w:w="95" w:type="dxa"/>
            </w:tcMar>
          </w:tcPr>
          <w:p>
            <w:pPr>
              <w:spacing w:after="0" w:line="245" w:lineRule="auto"/>
            </w:pPr>
            <w:r>
              <w:rPr>
                <w:b/>
                <w:color w:val="FFFFFF"/>
                <w:sz w:val="20"/>
              </w:rPr>
              <w:t>Evidenzbereich</w:t>
            </w:r>
          </w:p>
        </w:tc>
        <w:tc>
          <w:tcPr>
            <w:tcW w:type="dxa" w:w="7632"/>
            <w:vAlign w:val="center"/>
            <w:shd w:fill="233D50"/>
            <w:tcMar>
              <w:top w:w="95" w:type="dxa"/>
              <w:left w:w="95" w:type="dxa"/>
              <w:bottom w:w="95" w:type="dxa"/>
              <w:right w:w="95" w:type="dxa"/>
            </w:tcMar>
          </w:tcPr>
          <w:p>
            <w:pPr>
              <w:spacing w:after="0" w:line="245" w:lineRule="auto"/>
            </w:pPr>
            <w:r>
              <w:rPr>
                <w:b/>
                <w:color w:val="FFFFFF"/>
                <w:sz w:val="20"/>
              </w:rPr>
              <w:t>Stand dieser Fassung</w:t>
            </w:r>
          </w:p>
        </w:tc>
      </w:tr>
      <w:tr>
        <w:trPr>
          <w:cantSplit/>
        </w:trPr>
        <w:tc>
          <w:tcPr>
            <w:tcW w:type="dxa" w:w="2160"/>
            <w:vAlign w:val="center"/>
            <w:shd w:fill="FFFFFF"/>
            <w:tcMar>
              <w:top w:w="95" w:type="dxa"/>
              <w:left w:w="95" w:type="dxa"/>
              <w:bottom w:w="95" w:type="dxa"/>
              <w:right w:w="95" w:type="dxa"/>
            </w:tcMar>
          </w:tcPr>
          <w:p>
            <w:pPr>
              <w:spacing w:after="0" w:line="245" w:lineRule="auto"/>
            </w:pPr>
            <w:r>
              <w:rPr>
                <w:b w:val="0"/>
                <w:color w:val="000000"/>
                <w:sz w:val="20"/>
              </w:rPr>
              <w:t>Methodische Grundlage</w:t>
            </w:r>
          </w:p>
        </w:tc>
        <w:tc>
          <w:tcPr>
            <w:tcW w:type="dxa" w:w="7632"/>
            <w:vAlign w:val="center"/>
            <w:shd w:fill="FFFFFF"/>
            <w:tcMar>
              <w:top w:w="95" w:type="dxa"/>
              <w:left w:w="95" w:type="dxa"/>
              <w:bottom w:w="95" w:type="dxa"/>
              <w:right w:w="95" w:type="dxa"/>
            </w:tcMar>
          </w:tcPr>
          <w:p>
            <w:pPr>
              <w:spacing w:after="0" w:line="245" w:lineRule="auto"/>
            </w:pPr>
            <w:r>
              <w:rPr>
                <w:b w:val="0"/>
                <w:color w:val="000000"/>
                <w:sz w:val="20"/>
              </w:rPr>
              <w:t>Anschluss an Renormierung, prädiktive Zustände und kontrollierte Modelltrennung.</w:t>
            </w:r>
          </w:p>
        </w:tc>
      </w:tr>
      <w:tr>
        <w:trPr>
          <w:cantSplit/>
        </w:trPr>
        <w:tc>
          <w:tcPr>
            <w:tcW w:type="dxa" w:w="2160"/>
            <w:vAlign w:val="center"/>
            <w:shd w:fill="F3F6F8"/>
            <w:tcMar>
              <w:top w:w="95" w:type="dxa"/>
              <w:left w:w="95" w:type="dxa"/>
              <w:bottom w:w="95" w:type="dxa"/>
              <w:right w:w="95" w:type="dxa"/>
            </w:tcMar>
          </w:tcPr>
          <w:p>
            <w:pPr>
              <w:spacing w:after="0" w:line="245" w:lineRule="auto"/>
            </w:pPr>
            <w:r>
              <w:rPr>
                <w:b w:val="0"/>
                <w:color w:val="000000"/>
                <w:sz w:val="20"/>
              </w:rPr>
              <w:t>X6 Referenz</w:t>
            </w:r>
          </w:p>
        </w:tc>
        <w:tc>
          <w:tcPr>
            <w:tcW w:type="dxa" w:w="7632"/>
            <w:vAlign w:val="center"/>
            <w:shd w:fill="F3F6F8"/>
            <w:tcMar>
              <w:top w:w="95" w:type="dxa"/>
              <w:left w:w="95" w:type="dxa"/>
              <w:bottom w:w="95" w:type="dxa"/>
              <w:right w:w="95" w:type="dxa"/>
            </w:tcMar>
          </w:tcPr>
          <w:p>
            <w:pPr>
              <w:spacing w:after="0" w:line="245" w:lineRule="auto"/>
            </w:pPr>
            <w:r>
              <w:rPr>
                <w:b w:val="0"/>
                <w:color w:val="000000"/>
                <w:sz w:val="20"/>
              </w:rPr>
              <w:t>Eine veröffentlichte logische Kontrolle trennt drei Generatoren und besitzt ein separates Widerlegungsgate.</w:t>
            </w:r>
          </w:p>
        </w:tc>
      </w:tr>
      <w:tr>
        <w:trPr>
          <w:cantSplit/>
        </w:trPr>
        <w:tc>
          <w:tcPr>
            <w:tcW w:type="dxa" w:w="2160"/>
            <w:vAlign w:val="center"/>
            <w:shd w:fill="FFFFFF"/>
            <w:tcMar>
              <w:top w:w="95" w:type="dxa"/>
              <w:left w:w="95" w:type="dxa"/>
              <w:bottom w:w="95" w:type="dxa"/>
              <w:right w:w="95" w:type="dxa"/>
            </w:tcMar>
          </w:tcPr>
          <w:p>
            <w:pPr>
              <w:spacing w:after="0" w:line="245" w:lineRule="auto"/>
            </w:pPr>
            <w:r>
              <w:rPr>
                <w:b w:val="0"/>
                <w:color w:val="000000"/>
                <w:sz w:val="20"/>
              </w:rPr>
              <w:t>RAX Experimente</w:t>
            </w:r>
          </w:p>
        </w:tc>
        <w:tc>
          <w:tcPr>
            <w:tcW w:type="dxa" w:w="7632"/>
            <w:vAlign w:val="center"/>
            <w:shd w:fill="FFFFFF"/>
            <w:tcMar>
              <w:top w:w="95" w:type="dxa"/>
              <w:left w:w="95" w:type="dxa"/>
              <w:bottom w:w="95" w:type="dxa"/>
              <w:right w:w="95" w:type="dxa"/>
            </w:tcMar>
          </w:tcPr>
          <w:p>
            <w:pPr>
              <w:spacing w:after="0" w:line="245" w:lineRule="auto"/>
            </w:pPr>
            <w:r>
              <w:rPr>
                <w:b w:val="0"/>
                <w:color w:val="000000"/>
                <w:sz w:val="20"/>
              </w:rPr>
              <w:t>U1, U2, Geometrie- und Singularitätstests sind geplant. Dieses Dokument berichtet keine ausgeführten RAX-Datenläufe.</w:t>
            </w:r>
          </w:p>
        </w:tc>
      </w:tr>
      <w:tr>
        <w:trPr>
          <w:cantSplit/>
        </w:trPr>
        <w:tc>
          <w:tcPr>
            <w:tcW w:type="dxa" w:w="2160"/>
            <w:vAlign w:val="center"/>
            <w:shd w:fill="F3F6F8"/>
            <w:tcMar>
              <w:top w:w="95" w:type="dxa"/>
              <w:left w:w="95" w:type="dxa"/>
              <w:bottom w:w="95" w:type="dxa"/>
              <w:right w:w="95" w:type="dxa"/>
            </w:tcMar>
          </w:tcPr>
          <w:p>
            <w:pPr>
              <w:spacing w:after="0" w:line="245" w:lineRule="auto"/>
            </w:pPr>
            <w:r>
              <w:rPr>
                <w:b w:val="0"/>
                <w:color w:val="000000"/>
                <w:sz w:val="20"/>
              </w:rPr>
              <w:t>Physikalische Evidenz</w:t>
            </w:r>
          </w:p>
        </w:tc>
        <w:tc>
          <w:tcPr>
            <w:tcW w:type="dxa" w:w="7632"/>
            <w:vAlign w:val="center"/>
            <w:shd w:fill="F3F6F8"/>
            <w:tcMar>
              <w:top w:w="95" w:type="dxa"/>
              <w:left w:w="95" w:type="dxa"/>
              <w:bottom w:w="95" w:type="dxa"/>
              <w:right w:w="95" w:type="dxa"/>
            </w:tcMar>
          </w:tcPr>
          <w:p>
            <w:pPr>
              <w:spacing w:after="0" w:line="245" w:lineRule="auto"/>
            </w:pPr>
            <w:r>
              <w:rPr>
                <w:b w:val="0"/>
                <w:color w:val="000000"/>
                <w:sz w:val="20"/>
              </w:rPr>
              <w:t>Keine neue Geometrie, Lorentz-Symmetrie, Fraktalität oder Raumzeitsingularität nachgewiesen.</w:t>
            </w:r>
          </w:p>
        </w:tc>
      </w:tr>
    </w:tbl>
    <w:p>
      <w:pPr>
        <w:spacing w:after="0"/>
      </w:pPr>
    </w:p>
    <w:p>
      <w:pPr>
        <w:widowControl/>
      </w:pPr>
      <w:r>
        <w:rPr>
          <w:b w:val="0"/>
          <w:lang w:val="de-CH"/>
        </w:rPr>
        <w:t>Ergebnisoffenheit ist verbindlich. Lorentz, andere Geometrien, Selbstähnlichkeit und nicht geometrische Erklärungen unterliegen denselben vorab festgelegten Evidenzregeln. Kein Kandidat erhält einen Zielbonus.</w:t>
      </w:r>
    </w:p>
    <w:p>
      <w:pPr>
        <w:widowControl/>
      </w:pPr>
      <w:r>
        <w:rPr>
          <w:b w:val="0"/>
          <w:lang w:val="de-CH"/>
        </w:rPr>
        <w:t>Lesefolge: Grundlagen und Begriffe auf Seiten 2 bis 4; erster Versuch auf Seiten 5 bis 7; Entdeckung und X6 auf Seiten 8 bis 9; Geometrie und Singularitäten auf Seiten 10 bis 11; Umsetzung und Quellen auf Seiten 12 bis 14.</w:t>
      </w:r>
    </w:p>
    <w:p>
      <w:r>
        <w:rPr>
          <w:lang w:val="de-CH"/>
        </w:rPr>
        <w:br w:type="page"/>
      </w:r>
    </w:p>
    <w:p>
      <w:pPr>
        <w:pStyle w:val="Heading1"/>
      </w:pPr>
      <w:r>
        <w:rPr>
          <w:color w:val="000000"/>
          <w:lang w:val="de-CH"/>
        </w:rPr>
        <w:t>1 Forschungsfragen und neutrale Regeln</w:t>
      </w:r>
    </w:p>
    <w:p>
      <w:pPr>
        <w:widowControl/>
      </w:pPr>
      <w:r>
        <w:rPr>
          <w:b w:val="0"/>
          <w:lang w:val="de-CH"/>
        </w:rPr>
        <w:t>RAX ist zunächst ein Forschungsrahmen mit expliziten Hypothesen. Definitionen legen fest, was geprüft wird. Modellannahmen begrenzen den Prüfbereich. Ein empirisches Ergebnis darf keine Voraussetzung nachträglich als Entdeckung ausgeben.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824"/>
        <w:gridCol w:w="3960"/>
      </w:tblGrid>
      <w:tr>
        <w:trPr>
          <w:cantSplit/>
          <w:tblHeader/>
        </w:trPr>
        <w:tc>
          <w:tcPr>
            <w:tcW w:type="dxa" w:w="1008"/>
            <w:vAlign w:val="center"/>
            <w:shd w:fill="233D50"/>
            <w:tcMar>
              <w:top w:w="95" w:type="dxa"/>
              <w:left w:w="95" w:type="dxa"/>
              <w:bottom w:w="95" w:type="dxa"/>
              <w:right w:w="95" w:type="dxa"/>
            </w:tcMar>
          </w:tcPr>
          <w:p>
            <w:pPr>
              <w:spacing w:after="0" w:line="245" w:lineRule="auto"/>
              <w:jc w:val="center"/>
            </w:pPr>
            <w:r>
              <w:rPr>
                <w:b/>
                <w:color w:val="FFFFFF"/>
                <w:sz w:val="20"/>
              </w:rPr>
              <w:t>Kennung</w:t>
            </w:r>
          </w:p>
        </w:tc>
        <w:tc>
          <w:tcPr>
            <w:tcW w:type="dxa" w:w="4824"/>
            <w:vAlign w:val="center"/>
            <w:shd w:fill="233D50"/>
            <w:tcMar>
              <w:top w:w="95" w:type="dxa"/>
              <w:left w:w="95" w:type="dxa"/>
              <w:bottom w:w="95" w:type="dxa"/>
              <w:right w:w="95" w:type="dxa"/>
            </w:tcMar>
          </w:tcPr>
          <w:p>
            <w:pPr>
              <w:spacing w:after="0" w:line="245" w:lineRule="auto"/>
            </w:pPr>
            <w:r>
              <w:rPr>
                <w:b/>
                <w:color w:val="FFFFFF"/>
                <w:sz w:val="20"/>
              </w:rPr>
              <w:t>Prüfbare Hypothese</w:t>
            </w:r>
          </w:p>
        </w:tc>
        <w:tc>
          <w:tcPr>
            <w:tcW w:type="dxa" w:w="3960"/>
            <w:vAlign w:val="center"/>
            <w:shd w:fill="233D50"/>
            <w:tcMar>
              <w:top w:w="95" w:type="dxa"/>
              <w:left w:w="95" w:type="dxa"/>
              <w:bottom w:w="95" w:type="dxa"/>
              <w:right w:w="95" w:type="dxa"/>
            </w:tcMar>
          </w:tcPr>
          <w:p>
            <w:pPr>
              <w:spacing w:after="0" w:line="245" w:lineRule="auto"/>
            </w:pPr>
            <w:r>
              <w:rPr>
                <w:b/>
                <w:color w:val="FFFFFF"/>
                <w:sz w:val="20"/>
              </w:rPr>
              <w:t>Geltungsgrenze</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H1</w:t>
            </w:r>
          </w:p>
        </w:tc>
        <w:tc>
          <w:tcPr>
            <w:tcW w:type="dxa" w:w="4824"/>
            <w:vAlign w:val="center"/>
            <w:shd w:fill="FFFFFF"/>
            <w:tcMar>
              <w:top w:w="95" w:type="dxa"/>
              <w:left w:w="95" w:type="dxa"/>
              <w:bottom w:w="95" w:type="dxa"/>
              <w:right w:w="95" w:type="dxa"/>
            </w:tcMar>
          </w:tcPr>
          <w:p>
            <w:pPr>
              <w:spacing w:after="0" w:line="245" w:lineRule="auto"/>
            </w:pPr>
            <w:r>
              <w:rPr>
                <w:b w:val="0"/>
                <w:color w:val="000000"/>
                <w:sz w:val="20"/>
              </w:rPr>
              <w:t>Verschiedene Mikroensembles teilen eine vorhersagefähige Reduktion.</w:t>
            </w:r>
          </w:p>
        </w:tc>
        <w:tc>
          <w:tcPr>
            <w:tcW w:type="dxa" w:w="3960"/>
            <w:vAlign w:val="center"/>
            <w:shd w:fill="FFFFFF"/>
            <w:tcMar>
              <w:top w:w="95" w:type="dxa"/>
              <w:left w:w="95" w:type="dxa"/>
              <w:bottom w:w="95" w:type="dxa"/>
              <w:right w:w="95" w:type="dxa"/>
            </w:tcMar>
          </w:tcPr>
          <w:p>
            <w:pPr>
              <w:spacing w:after="0" w:line="245" w:lineRule="auto"/>
            </w:pPr>
            <w:r>
              <w:rPr>
                <w:b w:val="0"/>
                <w:color w:val="000000"/>
                <w:sz w:val="20"/>
              </w:rPr>
              <w:t>Nur registrierte Präparationen, Messkanäle und Eingriffe.</w:t>
            </w:r>
          </w:p>
        </w:tc>
      </w:tr>
      <w:tr>
        <w:trPr>
          <w:cantSplit/>
        </w:trPr>
        <w:tc>
          <w:tcPr>
            <w:tcW w:type="dxa" w:w="1008"/>
            <w:vAlign w:val="center"/>
            <w:shd w:fill="F3F6F8"/>
            <w:tcMar>
              <w:top w:w="95" w:type="dxa"/>
              <w:left w:w="95" w:type="dxa"/>
              <w:bottom w:w="95" w:type="dxa"/>
              <w:right w:w="95" w:type="dxa"/>
            </w:tcMar>
          </w:tcPr>
          <w:p>
            <w:pPr>
              <w:spacing w:after="0" w:line="245" w:lineRule="auto"/>
              <w:jc w:val="center"/>
            </w:pPr>
            <w:r>
              <w:rPr>
                <w:b w:val="0"/>
                <w:color w:val="000000"/>
                <w:sz w:val="20"/>
              </w:rPr>
              <w:t>H2</w:t>
            </w:r>
          </w:p>
        </w:tc>
        <w:tc>
          <w:tcPr>
            <w:tcW w:type="dxa" w:w="4824"/>
            <w:vAlign w:val="center"/>
            <w:shd w:fill="F3F6F8"/>
            <w:tcMar>
              <w:top w:w="95" w:type="dxa"/>
              <w:left w:w="95" w:type="dxa"/>
              <w:bottom w:w="95" w:type="dxa"/>
              <w:right w:w="95" w:type="dxa"/>
            </w:tcMar>
          </w:tcPr>
          <w:p>
            <w:pPr>
              <w:spacing w:after="0" w:line="245" w:lineRule="auto"/>
            </w:pPr>
            <w:r>
              <w:rPr>
                <w:b w:val="0"/>
                <w:color w:val="000000"/>
                <w:sz w:val="20"/>
              </w:rPr>
              <w:t>Die Reduktion bleibt unter zulässigen Vergröberungsverfahren stabil.</w:t>
            </w:r>
          </w:p>
        </w:tc>
        <w:tc>
          <w:tcPr>
            <w:tcW w:type="dxa" w:w="3960"/>
            <w:vAlign w:val="center"/>
            <w:shd w:fill="F3F6F8"/>
            <w:tcMar>
              <w:top w:w="95" w:type="dxa"/>
              <w:left w:w="95" w:type="dxa"/>
              <w:bottom w:w="95" w:type="dxa"/>
              <w:right w:w="95" w:type="dxa"/>
            </w:tcMar>
          </w:tcPr>
          <w:p>
            <w:pPr>
              <w:spacing w:after="0" w:line="245" w:lineRule="auto"/>
            </w:pPr>
            <w:r>
              <w:rPr>
                <w:b w:val="0"/>
                <w:color w:val="000000"/>
                <w:sz w:val="20"/>
              </w:rPr>
              <w:t>Vergleich nach deklarierter Ausrichtung und Reskalierung.</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H3</w:t>
            </w:r>
          </w:p>
        </w:tc>
        <w:tc>
          <w:tcPr>
            <w:tcW w:type="dxa" w:w="4824"/>
            <w:vAlign w:val="center"/>
            <w:shd w:fill="FFFFFF"/>
            <w:tcMar>
              <w:top w:w="95" w:type="dxa"/>
              <w:left w:w="95" w:type="dxa"/>
              <w:bottom w:w="95" w:type="dxa"/>
              <w:right w:w="95" w:type="dxa"/>
            </w:tcMar>
          </w:tcPr>
          <w:p>
            <w:pPr>
              <w:spacing w:after="0" w:line="245" w:lineRule="auto"/>
            </w:pPr>
            <w:r>
              <w:rPr>
                <w:b w:val="0"/>
                <w:color w:val="000000"/>
                <w:sz w:val="20"/>
              </w:rPr>
              <w:t>Ein zusätzlicher Eingriff trennt bisher kollidierende Generatoren.</w:t>
            </w:r>
          </w:p>
        </w:tc>
        <w:tc>
          <w:tcPr>
            <w:tcW w:type="dxa" w:w="3960"/>
            <w:vAlign w:val="center"/>
            <w:shd w:fill="FFFFFF"/>
            <w:tcMar>
              <w:top w:w="95" w:type="dxa"/>
              <w:left w:w="95" w:type="dxa"/>
              <w:bottom w:w="95" w:type="dxa"/>
              <w:right w:w="95" w:type="dxa"/>
            </w:tcMar>
          </w:tcPr>
          <w:p>
            <w:pPr>
              <w:spacing w:after="0" w:line="245" w:lineRule="auto"/>
            </w:pPr>
            <w:r>
              <w:rPr>
                <w:b w:val="0"/>
                <w:color w:val="000000"/>
                <w:sz w:val="20"/>
              </w:rPr>
              <w:t>Ein verbleibender Gleichstand ist ein zulässiges Ergebnis.</w:t>
            </w:r>
          </w:p>
        </w:tc>
      </w:tr>
      <w:tr>
        <w:trPr>
          <w:cantSplit/>
        </w:trPr>
        <w:tc>
          <w:tcPr>
            <w:tcW w:type="dxa" w:w="1008"/>
            <w:vAlign w:val="center"/>
            <w:shd w:fill="F3F6F8"/>
            <w:tcMar>
              <w:top w:w="95" w:type="dxa"/>
              <w:left w:w="95" w:type="dxa"/>
              <w:bottom w:w="95" w:type="dxa"/>
              <w:right w:w="95" w:type="dxa"/>
            </w:tcMar>
          </w:tcPr>
          <w:p>
            <w:pPr>
              <w:spacing w:after="0" w:line="245" w:lineRule="auto"/>
              <w:jc w:val="center"/>
            </w:pPr>
            <w:r>
              <w:rPr>
                <w:b w:val="0"/>
                <w:color w:val="000000"/>
                <w:sz w:val="20"/>
              </w:rPr>
              <w:t>H4</w:t>
            </w:r>
          </w:p>
        </w:tc>
        <w:tc>
          <w:tcPr>
            <w:tcW w:type="dxa" w:w="4824"/>
            <w:vAlign w:val="center"/>
            <w:shd w:fill="F3F6F8"/>
            <w:tcMar>
              <w:top w:w="95" w:type="dxa"/>
              <w:left w:w="95" w:type="dxa"/>
              <w:bottom w:w="95" w:type="dxa"/>
              <w:right w:w="95" w:type="dxa"/>
            </w:tcMar>
          </w:tcPr>
          <w:p>
            <w:pPr>
              <w:spacing w:after="0" w:line="245" w:lineRule="auto"/>
            </w:pPr>
            <w:r>
              <w:rPr>
                <w:b w:val="0"/>
                <w:color w:val="000000"/>
                <w:sz w:val="20"/>
              </w:rPr>
              <w:t>Die effektive Struktur trägt eine überprüfbare geometrische Repräsentation.</w:t>
            </w:r>
          </w:p>
        </w:tc>
        <w:tc>
          <w:tcPr>
            <w:tcW w:type="dxa" w:w="3960"/>
            <w:vAlign w:val="center"/>
            <w:shd w:fill="F3F6F8"/>
            <w:tcMar>
              <w:top w:w="95" w:type="dxa"/>
              <w:left w:w="95" w:type="dxa"/>
              <w:bottom w:w="95" w:type="dxa"/>
              <w:right w:w="95" w:type="dxa"/>
            </w:tcMar>
          </w:tcPr>
          <w:p>
            <w:pPr>
              <w:spacing w:after="0" w:line="245" w:lineRule="auto"/>
            </w:pPr>
            <w:r>
              <w:rPr>
                <w:b w:val="0"/>
                <w:color w:val="000000"/>
                <w:sz w:val="20"/>
              </w:rPr>
              <w:t>Geometrie muss neue Vorhersagen liefern.</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H5</w:t>
            </w:r>
          </w:p>
        </w:tc>
        <w:tc>
          <w:tcPr>
            <w:tcW w:type="dxa" w:w="4824"/>
            <w:vAlign w:val="center"/>
            <w:shd w:fill="FFFFFF"/>
            <w:tcMar>
              <w:top w:w="95" w:type="dxa"/>
              <w:left w:w="95" w:type="dxa"/>
              <w:bottom w:w="95" w:type="dxa"/>
              <w:right w:w="95" w:type="dxa"/>
            </w:tcMar>
          </w:tcPr>
          <w:p>
            <w:pPr>
              <w:spacing w:after="0" w:line="245" w:lineRule="auto"/>
            </w:pPr>
            <w:r>
              <w:rPr>
                <w:b w:val="0"/>
                <w:color w:val="000000"/>
                <w:sz w:val="20"/>
              </w:rPr>
              <w:t>Informations- und Algebraänderungen stehen mit geometrischen Änderungen in reproduzierbarem Zusammenhang.</w:t>
            </w:r>
          </w:p>
        </w:tc>
        <w:tc>
          <w:tcPr>
            <w:tcW w:type="dxa" w:w="3960"/>
            <w:vAlign w:val="center"/>
            <w:shd w:fill="FFFFFF"/>
            <w:tcMar>
              <w:top w:w="95" w:type="dxa"/>
              <w:left w:w="95" w:type="dxa"/>
              <w:bottom w:w="95" w:type="dxa"/>
              <w:right w:w="95" w:type="dxa"/>
            </w:tcMar>
          </w:tcPr>
          <w:p>
            <w:pPr>
              <w:spacing w:after="0" w:line="245" w:lineRule="auto"/>
            </w:pPr>
            <w:r>
              <w:rPr>
                <w:b w:val="0"/>
                <w:color w:val="000000"/>
                <w:sz w:val="20"/>
              </w:rPr>
              <w:t>Eine gerichtete Ursachenbehauptung braucht zusätzliche Interventionsbelege.</w:t>
            </w:r>
          </w:p>
        </w:tc>
      </w:tr>
    </w:tbl>
    <w:p>
      <w:pPr>
        <w:spacing w:after="0"/>
      </w:pPr>
    </w:p>
    <w:p>
      <w:pPr>
        <w:pStyle w:val="Heading2"/>
      </w:pPr>
      <w:r>
        <w:rPr>
          <w:color w:val="000000"/>
          <w:lang w:val="de-CH"/>
        </w:rPr>
        <w:t>Verbindlicher Neutralitätsvertrag</w:t>
      </w:r>
    </w:p>
    <w:p>
      <w:pPr>
        <w:widowControl/>
      </w:pPr>
      <w:r>
        <w:rPr>
          <w:b w:val="0"/>
          <w:lang w:val="de-CH"/>
        </w:rPr>
        <w:t>Vor jedem Bestätigungslauf werden Kandidatengrammatik, Zulassung, Komplexitätsmass, Klassenprioren, Messkanäle, zulässige Eingriffe, Kosten, Abbruchregeln und Fehlerbudget versioniert. Die Auswahl nutzt prädiktive Verteilungen unter diesen Regeln. Kandidatennamen und gewünschte Signaturen gehen nicht in die Zielfunktion ein.</w:t>
      </w:r>
    </w:p>
    <w:p>
      <w:pPr>
        <w:widowControl/>
      </w:pPr>
      <w:r>
        <w:rPr>
          <w:b w:val="0"/>
          <w:lang w:val="de-CH"/>
        </w:rPr>
        <w:t>Identische Schreibweisen derselben Erklärung erhöhen ihre Priorwahrscheinlichkeit nicht. Exakte Vorhersagegleichheit auf einem registrierten Katalog kann Klassen definieren; empirische Nähe wird gesondert ausgewiesen. Ein neuer Modellraum oder eine nachträglich geänderte Toleranz eröffnet eine neue Kampagne und erhält neue Prüfdaten.</w:t>
      </w:r>
    </w:p>
    <w:p>
      <w:pPr>
        <w:widowControl/>
      </w:pPr>
      <w:r>
        <w:rPr>
          <w:b w:val="0"/>
          <w:lang w:val="de-CH"/>
        </w:rPr>
        <w:t>Kausalordnung, Ladungen und Dimension dürfen bekannte Eingangsbedingungen eines Kontrollmodells sein. In diesem Fall kann ihr späteres Fortbestehen als Erhaltung geprüft werden. Ihre Entstehung wurde dadurch nicht gezeigt. Eine behauptete Emergenz braucht ein Profil, das die betreffende Struktur nicht bereits erzwingt.</w:t>
      </w:r>
    </w:p>
    <w:p>
      <w:pPr>
        <w:pStyle w:val="Heading2"/>
      </w:pPr>
      <w:r>
        <w:rPr>
          <w:color w:val="000000"/>
          <w:lang w:val="de-CH"/>
        </w:rPr>
        <w:t>Anschluss an bestehende Forschung</w:t>
      </w:r>
    </w:p>
    <w:p>
      <w:pPr>
        <w:widowControl/>
      </w:pPr>
      <w:r>
        <w:rPr>
          <w:b w:val="0"/>
          <w:lang w:val="de-CH"/>
        </w:rPr>
        <w:t>Renormierung untersucht effektive Beschreibungen und Universalität bei Skalenänderungen. Prädiktive Zustände gruppieren Vorgeschichten nach ihren Zukunftsvorhersagen. Information Bottleneck untersucht den Zielkonflikt zwischen Kompression und relevanter Information. RAX übernimmt diese methodischen Anknüpfungen, ohne daraus bereits eine neue fundamentale Theorie abzuleiten. [1–3]</w:t>
      </w:r>
    </w:p>
    <w:p>
      <w:r>
        <w:rPr>
          <w:lang w:val="de-CH"/>
        </w:rPr>
        <w:br w:type="page"/>
      </w:r>
    </w:p>
    <w:p>
      <w:pPr>
        <w:pStyle w:val="Heading1"/>
      </w:pPr>
      <w:r>
        <w:rPr>
          <w:color w:val="000000"/>
          <w:lang w:val="de-CH"/>
        </w:rPr>
        <w:t>2 Relationale Modelle und operationale Äquivalenz</w:t>
      </w:r>
    </w:p>
    <w:p>
      <w:pPr>
        <w:widowControl/>
      </w:pPr>
      <w:r>
        <w:rPr>
          <w:b w:val="0"/>
          <w:lang w:val="de-CH"/>
        </w:rPr>
        <w:t>Eine Mikrorealisation besteht aus einer Menge V und benannten Relationen auf V, ergänzt um die für das jeweilige Modell ausdrücklich registrierten Daten. Eine Relation ist zunächst weder Abstand noch Kausalordnung. Gewichte, Orientierung, Zustand und Dynamik sind zusätzliche Strukturen, sobald das Experiment sie verwendet.</w:t>
      </w:r>
    </w:p>
    <w:p>
      <w:pPr>
        <w:widowControl/>
      </w:pPr>
      <w:r>
        <w:rPr>
          <w:b w:val="0"/>
          <w:lang w:val="de-CH"/>
        </w:rPr>
        <w:t>Ein Ensemble benötigt eine Wahrscheinlichkeitsverteilung über Realisationen und eine Erzeugungsregel. Eine physikalische oder simulierte Vorhersage benötigt ausserdem eine Präparation, einen Eingriff und einen Messkanal. Die Bezeichnungen UV und IR stehen zunächst nur für feine und gröbere Beschreibung; eine physische Längen- oder Energieskala muss eigens zugeordnet werden.</w:t>
      </w:r>
    </w:p>
    <w:p>
      <w:pPr>
        <w:pStyle w:val="Heading2"/>
      </w:pPr>
      <w:r>
        <w:rPr>
          <w:color w:val="000000"/>
          <w:lang w:val="de-CH"/>
        </w:rPr>
        <w:t>Ein Messvertrag definiert die Vergleichbarkeit</w:t>
      </w:r>
    </w:p>
    <w:p>
      <w:pPr>
        <w:widowControl/>
      </w:pPr>
      <w:r>
        <w:rPr>
          <w:b w:val="0"/>
          <w:lang w:val="de-CH"/>
        </w:rPr>
        <w:t>Für jedes Protokoll e wird eine Verteilung über kalibrierte, gleich bezeichnete Ausgänge festgelegt. Bei Auflösung ℓ definieren wir exakte operationale Äquivalenz durch:</w:t>
      </w:r>
    </w:p>
    <w:p>
      <w:pPr>
        <w:spacing w:before="80" w:after="180"/>
        <w:jc w:val="center"/>
      </w:pPr>
      <m:oMathPara>
        <m:oMath>
          <m:r>
            <m:t>x </m:t>
          </m:r>
          <m:sSub>
            <m:e>
              <m:r>
                <m:t>∼</m:t>
              </m:r>
            </m:e>
            <m:sub>
              <m:r>
                <m:t>ℓ,ℰ</m:t>
              </m:r>
            </m:sub>
          </m:sSub>
          <m:r>
            <m:t> y  ⇔  </m:t>
          </m:r>
          <m:sSup>
            <m:e>
              <m:sSub>
                <m:e>
                  <m:r>
                    <m:t>P</m:t>
                  </m:r>
                </m:e>
                <m:sub>
                  <m:r>
                    <m:t>x,ℓ</m:t>
                  </m:r>
                </m:sub>
              </m:sSub>
            </m:e>
            <m:sup>
              <m:r>
                <m:t>e</m:t>
              </m:r>
            </m:sup>
          </m:sSup>
          <m:r>
            <m:t> = </m:t>
          </m:r>
          <m:sSup>
            <m:e>
              <m:sSub>
                <m:e>
                  <m:r>
                    <m:t>P</m:t>
                  </m:r>
                </m:e>
                <m:sub>
                  <m:r>
                    <m:t>y,ℓ</m:t>
                  </m:r>
                </m:sub>
              </m:sSub>
            </m:e>
            <m:sup>
              <m:r>
                <m:t>e</m:t>
              </m:r>
            </m:sup>
          </m:sSup>
          <m:r>
            <m:t>   für alle e ∈ </m:t>
          </m:r>
          <m:sSub>
            <m:e>
              <m:r>
                <m:t>ℰ</m:t>
              </m:r>
            </m:e>
            <m:sub>
              <m:r>
                <m:t>ℓ</m:t>
              </m:r>
            </m:sub>
          </m:sSub>
        </m:oMath>
      </m:oMathPara>
    </w:p>
    <w:p>
      <w:pPr>
        <w:widowControl/>
      </w:pPr>
      <w:r>
        <w:rPr>
          <w:b w:val="0"/>
          <w:lang w:val="de-CH"/>
        </w:rPr>
        <w:t>Diese Definition liefert eine Äquivalenzrelation. Sie ist relativ zum Protokollkatalog und zur Auflösung. Ein zusätzlicher Messkanal oder Eingriff kann die Klassen verfeinern. Gleiche Spektren sind nur ein möglicher Spezialfall dieses Vertrags.</w:t>
      </w:r>
    </w:p>
    <w:p>
      <w:pPr>
        <w:widowControl/>
      </w:pPr>
      <w:r>
        <w:rPr>
          <w:b w:val="0"/>
          <w:lang w:val="de-CH"/>
        </w:rPr>
        <w:t>Bei endlichen Stichproben wird keine exakte Gleichheit behauptet. Ein Bestätigungstest beurteilt vorab festgelegte Fehlergrenzen mit simultanen Unsicherheitsintervallen. Nichtverwerfung eines Unterschiedstests ist kein Äquivalenznachweis. Epsilon-Nähe ist im Allgemeinen nicht transitiv; eine darauf aufbauende Clusterpartition benötigt eine gesonderte Regel.</w:t>
      </w:r>
    </w:p>
    <w:p>
      <w:pPr>
        <w:pStyle w:val="Heading2"/>
      </w:pPr>
      <w:r>
        <w:rPr>
          <w:color w:val="000000"/>
          <w:lang w:val="de-CH"/>
        </w:rPr>
        <w:t>Der Rückstand enthält die Messbedeutung</w:t>
      </w:r>
    </w:p>
    <w:p>
      <w:pPr>
        <w:spacing w:before="80" w:after="180"/>
        <w:jc w:val="center"/>
      </w:pPr>
      <m:oMathPara>
        <m:oMath>
          <m:sSub>
            <m:e>
              <m:r>
                <m:t>ℜ</m:t>
              </m:r>
            </m:e>
            <m:sub>
              <m:r>
                <m:t>ℓ</m:t>
              </m:r>
            </m:sub>
          </m:sSub>
          <m:r>
            <m:t> = (</m:t>
          </m:r>
          <m:sSub>
            <m:e>
              <m:r>
                <m:t>𝒜</m:t>
              </m:r>
            </m:e>
            <m:sub>
              <m:r>
                <m:t>ℓ</m:t>
              </m:r>
            </m:sub>
          </m:sSub>
          <m:r>
            <m:t>, </m:t>
          </m:r>
          <m:sSub>
            <m:e>
              <m:r>
                <m:t>𝒮</m:t>
              </m:r>
            </m:e>
            <m:sub>
              <m:r>
                <m:t>ℓ</m:t>
              </m:r>
            </m:sub>
          </m:sSub>
          <m:r>
            <m:t>, </m:t>
          </m:r>
          <m:sSub>
            <m:e>
              <m:r>
                <m:t>𝒯</m:t>
              </m:r>
            </m:e>
            <m:sub>
              <m:r>
                <m:t>ℓ</m:t>
              </m:r>
            </m:sub>
          </m:sSub>
          <m:r>
            <m:t>, </m:t>
          </m:r>
          <m:sSub>
            <m:e>
              <m:r>
                <m:t>ℐ</m:t>
              </m:r>
            </m:e>
            <m:sub>
              <m:r>
                <m:t>ℓ</m:t>
              </m:r>
            </m:sub>
          </m:sSub>
          <m:r>
            <m:t>, </m:t>
          </m:r>
          <m:sSub>
            <m:e>
              <m:r>
                <m:t>ℳ</m:t>
              </m:r>
            </m:e>
            <m:sub>
              <m:r>
                <m:t>ℓ</m:t>
              </m:r>
            </m:sub>
          </m:sSub>
          <m:r>
            <m:t>)</m:t>
          </m:r>
        </m:oMath>
      </m:oMathPara>
    </w:p>
    <w:p>
      <w:pPr>
        <w:widowControl/>
      </w:pPr>
      <w:r>
        <w:rPr>
          <w:b w:val="0"/>
          <w:lang w:val="de-CH"/>
        </w:rPr>
        <w:t>Das Paket enthält Observablenalgebra 𝒜, zugelassene Zustände 𝒮, Dynamik 𝒯, Eingriffe ℐ und Messabbildungen ℳ. Strukturelle Äquivalenz verlangt kompatible Abbildungen dieser Daten. Eine blosse Algebra-Isomorphie reicht nicht: dieselbe Matrixalgebra kann verschiedene Dynamiken und Messvorhersagen tragen.</w:t>
      </w:r>
    </w:p>
    <w:p>
      <w:pPr>
        <w:widowControl/>
      </w:pPr>
      <w:r>
        <w:rPr>
          <w:b w:val="0"/>
          <w:lang w:val="de-CH"/>
        </w:rPr>
        <w:t>Das erste Profil ist klassisch und stochastisch. Seine kommutative Observablenalgebra ist kein Nachweis von Quantenstruktur. Eine spätere quantenmechanische Variante muss nichtkommutative Operatoren, Zustände und zulässige Kanäle eigenständig definieren.</w:t>
      </w:r>
    </w:p>
    <w:p>
      <w:r>
        <w:rPr>
          <w:lang w:val="de-CH"/>
        </w:rPr>
        <w:br w:type="page"/>
      </w:r>
    </w:p>
    <w:p>
      <w:pPr>
        <w:pStyle w:val="Heading1"/>
      </w:pPr>
      <w:r>
        <w:rPr>
          <w:color w:val="000000"/>
          <w:lang w:val="de-CH"/>
        </w:rPr>
        <w:t>3 Vergröberung und prädiktiver Rückstand</w:t>
      </w:r>
    </w:p>
    <w:p>
      <w:pPr>
        <w:widowControl/>
      </w:pPr>
      <w:r>
        <w:rPr>
          <w:b w:val="0"/>
          <w:lang w:val="de-CH"/>
        </w:rPr>
        <w:t>Destillation bezeichnet im Programm eine registrierte Vergröberung C. Sie kann eine deterministische Abbildung oder ein stochastischer Kanal sein. Ihr Ein- und Ausgangsraum, ihre Parameter und ihre Anpassungsdaten gehören zum Vertrag. Für aufeinander abgestimmte Skalen ist Kompositionsverträglichkeit zu prüfen:</w:t>
      </w:r>
    </w:p>
    <w:p>
      <w:pPr>
        <w:spacing w:before="80" w:after="180"/>
        <w:jc w:val="center"/>
      </w:pPr>
      <m:oMathPara>
        <m:oMath>
          <m:sSub>
            <m:e>
              <m:r>
                <m:t>C</m:t>
              </m:r>
            </m:e>
            <m:sub>
              <m:r>
                <m:t>ℓ₃←ℓ₁</m:t>
              </m:r>
            </m:sub>
          </m:sSub>
          <m:r>
            <m:t> = </m:t>
          </m:r>
          <m:sSub>
            <m:e>
              <m:r>
                <m:t>C</m:t>
              </m:r>
            </m:e>
            <m:sub>
              <m:r>
                <m:t>ℓ₃←ℓ₂</m:t>
              </m:r>
            </m:sub>
          </m:sSub>
          <m:r>
            <m:t> ∘ </m:t>
          </m:r>
          <m:sSub>
            <m:e>
              <m:r>
                <m:t>C</m:t>
              </m:r>
            </m:e>
            <m:sub>
              <m:r>
                <m:t>ℓ₂←ℓ₁</m:t>
              </m:r>
            </m:sub>
          </m:sSub>
        </m:oMath>
      </m:oMathPara>
    </w:p>
    <w:p>
      <w:pPr>
        <w:widowControl/>
      </w:pPr>
      <w:r>
        <w:rPr>
          <w:b w:val="0"/>
          <w:lang w:val="de-CH"/>
        </w:rPr>
        <w:t>Falls eine Implementierung diese Identität nur näherungsweise erfüllt, erhält der Abweichungsfehler eine eigene Schranke. Gewöhnliches Informationsverwerfen ist noch keine Renormierung. Ein RG-Profil muss insbesondere die Reskalierung von Variablen, Kopplungen und Beobachtungsfenstern angeben.</w:t>
      </w:r>
    </w:p>
    <w:p>
      <w:pPr>
        <w:pStyle w:val="Heading2"/>
      </w:pPr>
      <w:r>
        <w:rPr>
          <w:color w:val="000000"/>
          <w:lang w:val="de-CH"/>
        </w:rPr>
        <w:t>Nichttrivialität als zwingendes Gate</w:t>
      </w:r>
    </w:p>
    <w:p>
      <w:pPr>
        <w:widowControl/>
      </w:pPr>
      <w:r>
        <w:rPr>
          <w:b w:val="0"/>
          <w:lang w:val="de-CH"/>
        </w:rPr>
        <w:t>Ein konstanter Rückstand würde sämtliche Mikrorealisationen gleich aussehen lassen. Deshalb muss jede zugelassene Reduktion auf neuen Daten relevante Vorhersagen erhalten und eine bedeutungsvolle Negativkontrolle weiterhin trennen. Der zulässige Fehler wird vor der Auswertung festgelegt:</w:t>
      </w:r>
    </w:p>
    <w:p>
      <w:pPr>
        <w:spacing w:before="80" w:after="180"/>
        <w:jc w:val="center"/>
      </w:pPr>
      <m:oMathPara>
        <m:oMath>
          <m:sSub>
            <m:e>
              <m:r>
                <m:t>d</m:t>
              </m:r>
            </m:e>
            <m:sub>
              <m:r>
                <m:t>TV</m:t>
              </m:r>
            </m:sub>
          </m:sSub>
          <m:r>
            <m:t>(</m:t>
          </m:r>
          <m:sSup>
            <m:e>
              <m:r>
                <m:t>P</m:t>
              </m:r>
            </m:e>
            <m:sup>
              <m:r>
                <m:t>e</m:t>
              </m:r>
            </m:sup>
          </m:sSup>
          <m:r>
            <m:t>, </m:t>
          </m:r>
          <m:sSup>
            <m:e>
              <m:r>
                <m:t>P̂</m:t>
              </m:r>
            </m:e>
            <m:sup>
              <m:r>
                <m:t>e</m:t>
              </m:r>
            </m:sup>
          </m:sSup>
          <m:r>
            <m:t>) ≤ </m:t>
          </m:r>
          <m:sSub>
            <m:e>
              <m:r>
                <m:t>δ</m:t>
              </m:r>
            </m:e>
            <m:sub>
              <m:r>
                <m:t>pred</m:t>
              </m:r>
            </m:sub>
          </m:sSub>
        </m:oMath>
      </m:oMathPara>
    </w:p>
    <w:p>
      <w:pPr>
        <w:widowControl/>
      </w:pPr>
      <w:r>
        <w:rPr>
          <w:b w:val="0"/>
          <w:lang w:val="de-CH"/>
        </w:rPr>
        <w:t>Die Schranke gilt für die ausdrücklich registrierten Protokolle. Bei Bernoulli-Ausgängen ist die totale Variationsdistanz die absolute Differenz der Erfolgswahrscheinlichkeiten. Ein Ergebnis für Ein-Schritt-Antworten wird nicht auf beliebig lange Zeitreihen übertragen.</w:t>
      </w:r>
    </w:p>
    <w:p>
      <w:pPr>
        <w:widowControl/>
      </w:pPr>
      <w:r>
        <w:rPr>
          <w:b w:val="0"/>
          <w:lang w:val="de-CH"/>
        </w:rPr>
        <w:t>Der Prädiktor erhält nur den reduzierten Zustand C(x) und das Eingriffsprotokoll e. Rohzustände und zusätzliche Block- oder Präparationskennungen dürfen ihm keine verworfene Information zuführen. Der unabhängige Prüfer darf diese Daten für die Bewertung verwenden.</w:t>
      </w:r>
    </w:p>
    <w:p>
      <w:pPr>
        <w:widowControl/>
      </w:pPr>
      <w:r>
        <w:rPr>
          <w:b w:val="0"/>
          <w:lang w:val="de-CH"/>
        </w:rPr>
        <w:t>Die Kompression wird relativ zu einem festgelegten Code oder einer Modellbeschreibung berichtet, zusammen mit dem Vorhersageverlust. Im ersten Kontrollversuch ist die Reduktion der Zustandszahl von 2m auf 2 nur eine Grössenangabe; sie misst keine Shannon- oder Kolmogorov-Komplexität.</w:t>
      </w:r>
    </w:p>
    <w:p>
      <w:pPr>
        <w:pStyle w:val="Heading2"/>
      </w:pPr>
      <w:r>
        <w:rPr>
          <w:color w:val="000000"/>
          <w:lang w:val="de-CH"/>
        </w:rPr>
        <w:t>Existenz und Stabilität bleiben offen</w:t>
      </w:r>
    </w:p>
    <w:p>
      <w:pPr>
        <w:widowControl/>
      </w:pPr>
      <w:r>
        <w:rPr>
          <w:b w:val="0"/>
          <w:lang w:val="de-CH"/>
        </w:rPr>
        <w:t>Ein stabiler Rückstand wird erst nach Angabe des Vergleichsraums, der Ausrichtung zwischen Repräsentationen und der Grenzfolge definiert. Systemgrösse, Vergröberungstiefe und physische Beobachtungsskala dürfen nicht vermischt werden. Wiederholtes Zusammenfassen eines endlichen Systems bis auf einen Zustand genügt nicht.</w:t>
      </w:r>
    </w:p>
    <w:p>
      <w:pPr>
        <w:widowControl/>
      </w:pPr>
      <w:r>
        <w:rPr>
          <w:b w:val="0"/>
          <w:lang w:val="de-CH"/>
        </w:rPr>
        <w:t>U1 prüft eine endliche, bekannte Reduktion. U2 untersucht stabile prädiktive Beschreibungen auf neuen Ensembles. Ein späteres asymptotisches Universalitätsprofil benötigt eine geeignete Grössenfolge und kontrollierte Korrekturen. Zyklische oder nicht konvergierende Flüsse werden als eigene Ergebnisse untersucht; Fixpunkte sind keine allgemeine Definition physikalischer Gesetze. [1,7]</w:t>
      </w:r>
    </w:p>
    <w:p>
      <w:r>
        <w:rPr>
          <w:lang w:val="de-CH"/>
        </w:rPr>
        <w:br w:type="page"/>
      </w:r>
    </w:p>
    <w:p>
      <w:pPr>
        <w:pStyle w:val="Heading1"/>
      </w:pPr>
      <w:r>
        <w:rPr>
          <w:color w:val="000000"/>
          <w:lang w:val="de-CH"/>
        </w:rPr>
        <w:t>4 RAX U1 als analytische Softwarekontrolle</w:t>
      </w:r>
    </w:p>
    <w:p>
      <w:pPr>
        <w:widowControl/>
      </w:pPr>
      <w:r>
        <w:rPr>
          <w:b w:val="0"/>
          <w:lang w:val="de-CH"/>
        </w:rPr>
        <w:t>U1 qualifiziert den Detektor an einem bekannten Fall starker Lumpbarkeit: Eine Projektion einer Markov-Kette besitzt für jede Anfangsverteilung dieselbe reduzierte Markov-Dynamik, wenn die Übergangssummen in jeden Zielblock innerhalb eines Ausgangsblocks gleich sind. [4]</w:t>
      </w:r>
    </w:p>
    <w:p>
      <w:pPr>
        <w:widowControl/>
      </w:pPr>
      <w:r>
        <w:rPr>
          <w:b w:val="0"/>
          <w:lang w:val="de-CH"/>
        </w:rPr>
        <w:t>Wir verwenden 2m Zustände (a,i), mit a in {0,1} und i von 1 bis m. Die bekannte Messprojektion π(a,i)=a liefert den binären Makrozustand Y. Der diskrete Schrittindex und die Markov-Annahme werden hier vorgegeben. Ihre Emergenz wird nicht untersucht.</w:t>
      </w:r>
    </w:p>
    <w:p>
      <w:pPr>
        <w:widowControl/>
      </w:pPr>
      <w:r>
        <w:rPr>
          <w:b w:val="0"/>
          <w:lang w:val="de-CH"/>
        </w:rPr>
        <w:t>Jedes Mikromodell wird durch vier zeilenstochastische m-mal-m-Matrizen K und zwei Wechselwahrscheinlichkeiten r beschrieben:</w:t>
      </w:r>
    </w:p>
    <w:p>
      <w:pPr>
        <w:spacing w:before="80" w:after="180"/>
        <w:jc w:val="center"/>
      </w:pPr>
      <m:oMathPara>
        <m:oMath>
          <m:sSub>
            <m:e>
              <m:r>
                <m:t>P</m:t>
              </m:r>
            </m:e>
            <m:sub>
              <m:r>
                <m:t>(a,i),(a,j)</m:t>
              </m:r>
            </m:sub>
          </m:sSub>
          <m:r>
            <m:t> = (1 − </m:t>
          </m:r>
          <m:sSub>
            <m:e>
              <m:r>
                <m:t>r</m:t>
              </m:r>
            </m:e>
            <m:sub>
              <m:r>
                <m:t>a,i</m:t>
              </m:r>
            </m:sub>
          </m:sSub>
          <m:r>
            <m:t>) </m:t>
          </m:r>
          <m:sSub>
            <m:e>
              <m:r>
                <m:t>K</m:t>
              </m:r>
            </m:e>
            <m:sub>
              <m:r>
                <m:t>aa</m:t>
              </m:r>
            </m:sub>
          </m:sSub>
          <m:r>
            <m:t>(i,j)</m:t>
          </m:r>
        </m:oMath>
      </m:oMathPara>
    </w:p>
    <w:p>
      <w:pPr>
        <w:spacing w:before="80" w:after="180"/>
        <w:jc w:val="center"/>
      </w:pPr>
      <m:oMathPara>
        <m:oMath>
          <m:sSub>
            <m:e>
              <m:r>
                <m:t>P</m:t>
              </m:r>
            </m:e>
            <m:sub>
              <m:r>
                <m:t>(a,i),(1−a,j)</m:t>
              </m:r>
            </m:sub>
          </m:sSub>
          <m:r>
            <m:t> = </m:t>
          </m:r>
          <m:sSub>
            <m:e>
              <m:r>
                <m:t>r</m:t>
              </m:r>
            </m:e>
            <m:sub>
              <m:r>
                <m:t>a,i</m:t>
              </m:r>
            </m:sub>
          </m:sSub>
          <m:r>
            <m:t> </m:t>
          </m:r>
          <m:sSub>
            <m:e>
              <m:r>
                <m:t>K</m:t>
              </m:r>
            </m:e>
            <m:sub>
              <m:r>
                <m:t>a,1−a</m:t>
              </m:r>
            </m:sub>
          </m:sSub>
          <m:r>
            <m:t>(i,j)</m:t>
          </m:r>
        </m:oMath>
      </m:oMathPara>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392"/>
        <w:gridCol w:w="4392"/>
      </w:tblGrid>
      <w:tr>
        <w:trPr>
          <w:cantSplit/>
          <w:tblHeader/>
        </w:trPr>
        <w:tc>
          <w:tcPr>
            <w:tcW w:type="dxa" w:w="1008"/>
            <w:vAlign w:val="center"/>
            <w:shd w:fill="233D50"/>
            <w:tcMar>
              <w:top w:w="95" w:type="dxa"/>
              <w:left w:w="95" w:type="dxa"/>
              <w:bottom w:w="95" w:type="dxa"/>
              <w:right w:w="95" w:type="dxa"/>
            </w:tcMar>
          </w:tcPr>
          <w:p>
            <w:pPr>
              <w:spacing w:after="0" w:line="245" w:lineRule="auto"/>
              <w:jc w:val="center"/>
            </w:pPr>
            <w:r>
              <w:rPr>
                <w:b/>
                <w:color w:val="FFFFFF"/>
                <w:sz w:val="20"/>
              </w:rPr>
              <w:t>Familie</w:t>
            </w:r>
          </w:p>
        </w:tc>
        <w:tc>
          <w:tcPr>
            <w:tcW w:type="dxa" w:w="4392"/>
            <w:vAlign w:val="center"/>
            <w:shd w:fill="233D50"/>
            <w:tcMar>
              <w:top w:w="95" w:type="dxa"/>
              <w:left w:w="95" w:type="dxa"/>
              <w:bottom w:w="95" w:type="dxa"/>
              <w:right w:w="95" w:type="dxa"/>
            </w:tcMar>
          </w:tcPr>
          <w:p>
            <w:pPr>
              <w:spacing w:after="0" w:line="245" w:lineRule="auto"/>
            </w:pPr>
            <w:r>
              <w:rPr>
                <w:b/>
                <w:color w:val="FFFFFF"/>
                <w:sz w:val="20"/>
              </w:rPr>
              <w:t>Interne Übergänge</w:t>
            </w:r>
          </w:p>
        </w:tc>
        <w:tc>
          <w:tcPr>
            <w:tcW w:type="dxa" w:w="4392"/>
            <w:vAlign w:val="center"/>
            <w:shd w:fill="233D50"/>
            <w:tcMar>
              <w:top w:w="95" w:type="dxa"/>
              <w:left w:w="95" w:type="dxa"/>
              <w:bottom w:w="95" w:type="dxa"/>
              <w:right w:w="95" w:type="dxa"/>
            </w:tcMar>
          </w:tcPr>
          <w:p>
            <w:pPr>
              <w:spacing w:after="0" w:line="245" w:lineRule="auto"/>
            </w:pPr>
            <w:r>
              <w:rPr>
                <w:b/>
                <w:color w:val="FFFFFF"/>
                <w:sz w:val="20"/>
              </w:rPr>
              <w:t>Übergänge zum anderen Block</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A</w:t>
            </w:r>
          </w:p>
        </w:tc>
        <w:tc>
          <w:tcPr>
            <w:tcW w:type="dxa" w:w="4392"/>
            <w:vAlign w:val="center"/>
            <w:shd w:fill="FFFFFF"/>
            <w:tcMar>
              <w:top w:w="95" w:type="dxa"/>
              <w:left w:w="95" w:type="dxa"/>
              <w:bottom w:w="95" w:type="dxa"/>
              <w:right w:w="95" w:type="dxa"/>
            </w:tcMar>
          </w:tcPr>
          <w:p>
            <w:pPr>
              <w:spacing w:after="0" w:line="245" w:lineRule="auto"/>
            </w:pPr>
            <w:r>
              <w:rPr>
                <w:b w:val="0"/>
                <w:color w:val="000000"/>
                <w:sz w:val="20"/>
              </w:rPr>
              <w:t>Gerichteter Zyklus mit Selbstschleife. Zeilenweise Selbstschleifengewichte aus {1/3, 1/2, 2/3}.</w:t>
            </w:r>
          </w:p>
        </w:tc>
        <w:tc>
          <w:tcPr>
            <w:tcW w:type="dxa" w:w="4392"/>
            <w:vAlign w:val="center"/>
            <w:shd w:fill="FFFFFF"/>
            <w:tcMar>
              <w:top w:w="95" w:type="dxa"/>
              <w:left w:w="95" w:type="dxa"/>
              <w:bottom w:w="95" w:type="dxa"/>
              <w:right w:w="95" w:type="dxa"/>
            </w:tcMar>
          </w:tcPr>
          <w:p>
            <w:pPr>
              <w:spacing w:after="0" w:line="245" w:lineRule="auto"/>
            </w:pPr>
            <w:r>
              <w:rPr>
                <w:b w:val="0"/>
                <w:color w:val="000000"/>
                <w:sz w:val="20"/>
              </w:rPr>
              <w:t>Eine registrierte zufällige Permutationsmatrix je Richtung.</w:t>
            </w:r>
          </w:p>
        </w:tc>
      </w:tr>
      <w:tr>
        <w:trPr>
          <w:cantSplit/>
        </w:trPr>
        <w:tc>
          <w:tcPr>
            <w:tcW w:type="dxa" w:w="1008"/>
            <w:vAlign w:val="center"/>
            <w:shd w:fill="F3F6F8"/>
            <w:tcMar>
              <w:top w:w="95" w:type="dxa"/>
              <w:left w:w="95" w:type="dxa"/>
              <w:bottom w:w="95" w:type="dxa"/>
              <w:right w:w="95" w:type="dxa"/>
            </w:tcMar>
          </w:tcPr>
          <w:p>
            <w:pPr>
              <w:spacing w:after="0" w:line="245" w:lineRule="auto"/>
              <w:jc w:val="center"/>
            </w:pPr>
            <w:r>
              <w:rPr>
                <w:b w:val="0"/>
                <w:color w:val="000000"/>
                <w:sz w:val="20"/>
              </w:rPr>
              <w:t>B</w:t>
            </w:r>
          </w:p>
        </w:tc>
        <w:tc>
          <w:tcPr>
            <w:tcW w:type="dxa" w:w="4392"/>
            <w:vAlign w:val="center"/>
            <w:shd w:fill="F3F6F8"/>
            <w:tcMar>
              <w:top w:w="95" w:type="dxa"/>
              <w:left w:w="95" w:type="dxa"/>
              <w:bottom w:w="95" w:type="dxa"/>
              <w:right w:w="95" w:type="dxa"/>
            </w:tcMar>
          </w:tcPr>
          <w:p>
            <w:pPr>
              <w:spacing w:after="0" w:line="245" w:lineRule="auto"/>
            </w:pPr>
            <w:r>
              <w:rPr>
                <w:b w:val="0"/>
                <w:color w:val="000000"/>
                <w:sz w:val="20"/>
              </w:rPr>
              <w:t>Dichte positive Matrix aus unabhängigen Ganzzahlgewichten 1 bis 9, danach Zeilennormierung.</w:t>
            </w:r>
          </w:p>
        </w:tc>
        <w:tc>
          <w:tcPr>
            <w:tcW w:type="dxa" w:w="4392"/>
            <w:vAlign w:val="center"/>
            <w:shd w:fill="F3F6F8"/>
            <w:tcMar>
              <w:top w:w="95" w:type="dxa"/>
              <w:left w:w="95" w:type="dxa"/>
              <w:bottom w:w="95" w:type="dxa"/>
              <w:right w:w="95" w:type="dxa"/>
            </w:tcMar>
          </w:tcPr>
          <w:p>
            <w:pPr>
              <w:spacing w:after="0" w:line="245" w:lineRule="auto"/>
            </w:pPr>
            <w:r>
              <w:rPr>
                <w:b w:val="0"/>
                <w:color w:val="000000"/>
                <w:sz w:val="20"/>
              </w:rPr>
              <w:t>Eine unabhängig erzeugte dichte positive Matrix je Richtung.</w:t>
            </w:r>
          </w:p>
        </w:tc>
      </w:tr>
    </w:tbl>
    <w:p>
      <w:pPr>
        <w:spacing w:after="0"/>
      </w:pPr>
    </w:p>
    <w:p>
      <w:pPr>
        <w:widowControl/>
      </w:pPr>
      <w:r>
        <w:rPr>
          <w:b w:val="0"/>
          <w:lang w:val="de-CH"/>
        </w:rPr>
        <w:t>Für m ≥ 4 haben die vollständigen Übergangsgraphen unterschiedliche Zeilensupportgrössen: A besitzt drei positive Einträge je Zeile, B besitzt 2m. Damit sind diese gerichteten Supportgraphen nicht isomorph. Verschiedene Seeds ändern echte Übergangsgewichte; reine Umbenennungen zählen nicht als neue strukturelle Realisationen.</w:t>
      </w:r>
    </w:p>
    <w:p>
      <w:pPr>
        <w:widowControl/>
      </w:pPr>
      <w:r>
        <w:rPr>
          <w:b w:val="0"/>
          <w:lang w:val="de-CH"/>
        </w:rPr>
        <w:t>Bei zustandsunabhängigem r innerhalb jedes Blocks ergibt sich in beiden Familien exakt dieselbe Makromatrix:</w:t>
      </w:r>
    </w:p>
    <w:p>
      <w:pPr>
        <w:spacing w:before="80" w:after="180"/>
        <w:jc w:val="center"/>
      </w:pPr>
      <m:oMathPara>
        <m:oMath>
          <m:r>
            <m:t>Q = </m:t>
          </m:r>
          <m:d>
            <m:dPr>
              <m:begChr m:val="["/>
              <m:endChr m:val="]"/>
            </m:dPr>
            <m:e>
              <m:m>
                <m:mr>
                  <m:e>
                    <m:r>
                      <m:t>1 − r₀</m:t>
                    </m:r>
                  </m:e>
                  <m:e>
                    <m:r>
                      <m:t>r₀</m:t>
                    </m:r>
                  </m:e>
                </m:mr>
                <m:mr>
                  <m:e>
                    <m:r>
                      <m:t>r₁</m:t>
                    </m:r>
                  </m:e>
                  <m:e>
                    <m:r>
                      <m:t>1 − r₁</m:t>
                    </m:r>
                  </m:e>
                </m:mr>
              </m:m>
            </m:e>
          </m:d>
        </m:oMath>
      </m:oMathPara>
    </w:p>
    <w:p>
      <w:pPr>
        <w:widowControl/>
      </w:pPr>
      <w:r>
        <w:rPr>
          <w:b w:val="0"/>
          <w:lang w:val="de-CH"/>
        </w:rPr>
        <w:t>Diese Gemeinsamkeit ist konstruiert. Ein erfolgreicher U1-Lauf validiert die Implementierung und ihre Fehlerkontrollen. Er entdeckt weder eine unbekannte Universalitätsklasse noch eine neue Physik. Die Projektion π ist in U1 bekannt; ihre Entdeckung gehört zu U2.</w:t>
      </w:r>
    </w:p>
    <w:p>
      <w:r>
        <w:rPr>
          <w:lang w:val="de-CH"/>
        </w:rPr>
        <w:br w:type="page"/>
      </w:r>
    </w:p>
    <w:p>
      <w:pPr>
        <w:pStyle w:val="Heading1"/>
      </w:pPr>
      <w:r>
        <w:rPr>
          <w:color w:val="000000"/>
          <w:lang w:val="de-CH"/>
        </w:rPr>
        <w:t>5 Eingriffe und kontrollierter Verlust der Reduktion</w:t>
      </w:r>
    </w:p>
    <w:p>
      <w:pPr>
        <w:widowControl/>
      </w:pPr>
      <w:r>
        <w:rPr>
          <w:b w:val="0"/>
          <w:lang w:val="de-CH"/>
        </w:rPr>
        <w:t>Die folgenden dimensionslosen Einstellungen sind technische Referenzwerte. Alle Blockwechselwahrscheinlichkeiten bleiben für die geplanten Störungen strikt zwischen null und eins. Der Simulator verändert sie gezielt; dies ist noch kein physischer Eingriff.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152"/>
        <w:gridCol w:w="1152"/>
        <w:gridCol w:w="6336"/>
      </w:tblGrid>
      <w:tr>
        <w:trPr>
          <w:cantSplit/>
          <w:tblHeader/>
        </w:trPr>
        <w:tc>
          <w:tcPr>
            <w:tcW w:type="dxa" w:w="1152"/>
            <w:vAlign w:val="center"/>
            <w:shd w:fill="233D50"/>
            <w:tcMar>
              <w:top w:w="95" w:type="dxa"/>
              <w:left w:w="95" w:type="dxa"/>
              <w:bottom w:w="95" w:type="dxa"/>
              <w:right w:w="95" w:type="dxa"/>
            </w:tcMar>
          </w:tcPr>
          <w:p>
            <w:pPr>
              <w:spacing w:after="0" w:line="245" w:lineRule="auto"/>
              <w:jc w:val="center"/>
            </w:pPr>
            <w:r>
              <w:rPr>
                <w:b/>
                <w:color w:val="FFFFFF"/>
                <w:sz w:val="20"/>
              </w:rPr>
              <w:t>Protokoll</w:t>
            </w:r>
          </w:p>
        </w:tc>
        <w:tc>
          <w:tcPr>
            <w:tcW w:type="dxa" w:w="1152"/>
            <w:vAlign w:val="center"/>
            <w:shd w:fill="233D50"/>
            <w:tcMar>
              <w:top w:w="95" w:type="dxa"/>
              <w:left w:w="95" w:type="dxa"/>
              <w:bottom w:w="95" w:type="dxa"/>
              <w:right w:w="95" w:type="dxa"/>
            </w:tcMar>
          </w:tcPr>
          <w:p>
            <w:pPr>
              <w:spacing w:after="0" w:line="245" w:lineRule="auto"/>
            </w:pPr>
            <w:r>
              <w:rPr>
                <w:b/>
                <w:color w:val="FFFFFF"/>
                <w:sz w:val="20"/>
              </w:rPr>
              <w:t>r₀</w:t>
            </w:r>
          </w:p>
        </w:tc>
        <w:tc>
          <w:tcPr>
            <w:tcW w:type="dxa" w:w="1152"/>
            <w:vAlign w:val="center"/>
            <w:shd w:fill="233D50"/>
            <w:tcMar>
              <w:top w:w="95" w:type="dxa"/>
              <w:left w:w="95" w:type="dxa"/>
              <w:bottom w:w="95" w:type="dxa"/>
              <w:right w:w="95" w:type="dxa"/>
            </w:tcMar>
          </w:tcPr>
          <w:p>
            <w:pPr>
              <w:spacing w:after="0" w:line="245" w:lineRule="auto"/>
            </w:pPr>
            <w:r>
              <w:rPr>
                <w:b/>
                <w:color w:val="FFFFFF"/>
                <w:sz w:val="20"/>
              </w:rPr>
              <w:t>r₁</w:t>
            </w:r>
          </w:p>
        </w:tc>
        <w:tc>
          <w:tcPr>
            <w:tcW w:type="dxa" w:w="6336"/>
            <w:vAlign w:val="center"/>
            <w:shd w:fill="233D50"/>
            <w:tcMar>
              <w:top w:w="95" w:type="dxa"/>
              <w:left w:w="95" w:type="dxa"/>
              <w:bottom w:w="95" w:type="dxa"/>
              <w:right w:w="95" w:type="dxa"/>
            </w:tcMar>
          </w:tcPr>
          <w:p>
            <w:pPr>
              <w:spacing w:after="0" w:line="245" w:lineRule="auto"/>
            </w:pPr>
            <w:r>
              <w:rPr>
                <w:b/>
                <w:color w:val="FFFFFF"/>
                <w:sz w:val="20"/>
              </w:rPr>
              <w:t>Verwendung</w:t>
            </w:r>
          </w:p>
        </w:tc>
      </w:tr>
      <w:tr>
        <w:trPr>
          <w:cantSplit/>
        </w:trPr>
        <w:tc>
          <w:tcPr>
            <w:tcW w:type="dxa" w:w="1152"/>
            <w:vAlign w:val="center"/>
            <w:shd w:fill="FFFFFF"/>
            <w:tcMar>
              <w:top w:w="95" w:type="dxa"/>
              <w:left w:w="95" w:type="dxa"/>
              <w:bottom w:w="95" w:type="dxa"/>
              <w:right w:w="95" w:type="dxa"/>
            </w:tcMar>
          </w:tcPr>
          <w:p>
            <w:pPr>
              <w:spacing w:after="0" w:line="245" w:lineRule="auto"/>
              <w:jc w:val="center"/>
            </w:pPr>
            <w:r>
              <w:rPr>
                <w:b w:val="0"/>
                <w:color w:val="000000"/>
                <w:sz w:val="20"/>
              </w:rPr>
              <w:t>e0</w:t>
            </w:r>
          </w:p>
        </w:tc>
        <w:tc>
          <w:tcPr>
            <w:tcW w:type="dxa" w:w="1152"/>
            <w:vAlign w:val="center"/>
            <w:shd w:fill="FFFFFF"/>
            <w:tcMar>
              <w:top w:w="95" w:type="dxa"/>
              <w:left w:w="95" w:type="dxa"/>
              <w:bottom w:w="95" w:type="dxa"/>
              <w:right w:w="95" w:type="dxa"/>
            </w:tcMar>
          </w:tcPr>
          <w:p>
            <w:pPr>
              <w:spacing w:after="0" w:line="245" w:lineRule="auto"/>
            </w:pPr>
            <w:r>
              <w:rPr>
                <w:b w:val="0"/>
                <w:color w:val="000000"/>
                <w:sz w:val="20"/>
              </w:rPr>
              <w:t>0,20</w:t>
            </w:r>
          </w:p>
        </w:tc>
        <w:tc>
          <w:tcPr>
            <w:tcW w:type="dxa" w:w="1152"/>
            <w:vAlign w:val="center"/>
            <w:shd w:fill="FFFFFF"/>
            <w:tcMar>
              <w:top w:w="95" w:type="dxa"/>
              <w:left w:w="95" w:type="dxa"/>
              <w:bottom w:w="95" w:type="dxa"/>
              <w:right w:w="95" w:type="dxa"/>
            </w:tcMar>
          </w:tcPr>
          <w:p>
            <w:pPr>
              <w:spacing w:after="0" w:line="245" w:lineRule="auto"/>
            </w:pPr>
            <w:r>
              <w:rPr>
                <w:b w:val="0"/>
                <w:color w:val="000000"/>
                <w:sz w:val="20"/>
              </w:rPr>
              <w:t>0,30</w:t>
            </w:r>
          </w:p>
        </w:tc>
        <w:tc>
          <w:tcPr>
            <w:tcW w:type="dxa" w:w="6336"/>
            <w:vAlign w:val="center"/>
            <w:shd w:fill="FFFFFF"/>
            <w:tcMar>
              <w:top w:w="95" w:type="dxa"/>
              <w:left w:w="95" w:type="dxa"/>
              <w:bottom w:w="95" w:type="dxa"/>
              <w:right w:w="95" w:type="dxa"/>
            </w:tcMar>
          </w:tcPr>
          <w:p>
            <w:pPr>
              <w:spacing w:after="0" w:line="245" w:lineRule="auto"/>
            </w:pPr>
            <w:r>
              <w:rPr>
                <w:b w:val="0"/>
                <w:color w:val="000000"/>
                <w:sz w:val="20"/>
              </w:rPr>
              <w:t>Basis und Entwicklung</w:t>
            </w:r>
          </w:p>
        </w:tc>
      </w:tr>
      <w:tr>
        <w:trPr>
          <w:cantSplit/>
        </w:trPr>
        <w:tc>
          <w:tcPr>
            <w:tcW w:type="dxa" w:w="1152"/>
            <w:vAlign w:val="center"/>
            <w:shd w:fill="F3F6F8"/>
            <w:tcMar>
              <w:top w:w="95" w:type="dxa"/>
              <w:left w:w="95" w:type="dxa"/>
              <w:bottom w:w="95" w:type="dxa"/>
              <w:right w:w="95" w:type="dxa"/>
            </w:tcMar>
          </w:tcPr>
          <w:p>
            <w:pPr>
              <w:spacing w:after="0" w:line="245" w:lineRule="auto"/>
              <w:jc w:val="center"/>
            </w:pPr>
            <w:r>
              <w:rPr>
                <w:b w:val="0"/>
                <w:color w:val="000000"/>
                <w:sz w:val="20"/>
              </w:rPr>
              <w:t>e1</w:t>
            </w:r>
          </w:p>
        </w:tc>
        <w:tc>
          <w:tcPr>
            <w:tcW w:type="dxa" w:w="1152"/>
            <w:vAlign w:val="center"/>
            <w:shd w:fill="F3F6F8"/>
            <w:tcMar>
              <w:top w:w="95" w:type="dxa"/>
              <w:left w:w="95" w:type="dxa"/>
              <w:bottom w:w="95" w:type="dxa"/>
              <w:right w:w="95" w:type="dxa"/>
            </w:tcMar>
          </w:tcPr>
          <w:p>
            <w:pPr>
              <w:spacing w:after="0" w:line="245" w:lineRule="auto"/>
            </w:pPr>
            <w:r>
              <w:rPr>
                <w:b w:val="0"/>
                <w:color w:val="000000"/>
                <w:sz w:val="20"/>
              </w:rPr>
              <w:t>0,35</w:t>
            </w:r>
          </w:p>
        </w:tc>
        <w:tc>
          <w:tcPr>
            <w:tcW w:type="dxa" w:w="1152"/>
            <w:vAlign w:val="center"/>
            <w:shd w:fill="F3F6F8"/>
            <w:tcMar>
              <w:top w:w="95" w:type="dxa"/>
              <w:left w:w="95" w:type="dxa"/>
              <w:bottom w:w="95" w:type="dxa"/>
              <w:right w:w="95" w:type="dxa"/>
            </w:tcMar>
          </w:tcPr>
          <w:p>
            <w:pPr>
              <w:spacing w:after="0" w:line="245" w:lineRule="auto"/>
            </w:pPr>
            <w:r>
              <w:rPr>
                <w:b w:val="0"/>
                <w:color w:val="000000"/>
                <w:sz w:val="20"/>
              </w:rPr>
              <w:t>0,30</w:t>
            </w:r>
          </w:p>
        </w:tc>
        <w:tc>
          <w:tcPr>
            <w:tcW w:type="dxa" w:w="6336"/>
            <w:vAlign w:val="center"/>
            <w:shd w:fill="F3F6F8"/>
            <w:tcMar>
              <w:top w:w="95" w:type="dxa"/>
              <w:left w:w="95" w:type="dxa"/>
              <w:bottom w:w="95" w:type="dxa"/>
              <w:right w:w="95" w:type="dxa"/>
            </w:tcMar>
          </w:tcPr>
          <w:p>
            <w:pPr>
              <w:spacing w:after="0" w:line="245" w:lineRule="auto"/>
            </w:pPr>
            <w:r>
              <w:rPr>
                <w:b w:val="0"/>
                <w:color w:val="000000"/>
                <w:sz w:val="20"/>
              </w:rPr>
              <w:t>Änderung der ersten Wechselrate</w:t>
            </w:r>
          </w:p>
        </w:tc>
      </w:tr>
      <w:tr>
        <w:trPr>
          <w:cantSplit/>
        </w:trPr>
        <w:tc>
          <w:tcPr>
            <w:tcW w:type="dxa" w:w="1152"/>
            <w:vAlign w:val="center"/>
            <w:shd w:fill="FFFFFF"/>
            <w:tcMar>
              <w:top w:w="95" w:type="dxa"/>
              <w:left w:w="95" w:type="dxa"/>
              <w:bottom w:w="95" w:type="dxa"/>
              <w:right w:w="95" w:type="dxa"/>
            </w:tcMar>
          </w:tcPr>
          <w:p>
            <w:pPr>
              <w:spacing w:after="0" w:line="245" w:lineRule="auto"/>
              <w:jc w:val="center"/>
            </w:pPr>
            <w:r>
              <w:rPr>
                <w:b w:val="0"/>
                <w:color w:val="000000"/>
                <w:sz w:val="20"/>
              </w:rPr>
              <w:t>e2</w:t>
            </w:r>
          </w:p>
        </w:tc>
        <w:tc>
          <w:tcPr>
            <w:tcW w:type="dxa" w:w="1152"/>
            <w:vAlign w:val="center"/>
            <w:shd w:fill="FFFFFF"/>
            <w:tcMar>
              <w:top w:w="95" w:type="dxa"/>
              <w:left w:w="95" w:type="dxa"/>
              <w:bottom w:w="95" w:type="dxa"/>
              <w:right w:w="95" w:type="dxa"/>
            </w:tcMar>
          </w:tcPr>
          <w:p>
            <w:pPr>
              <w:spacing w:after="0" w:line="245" w:lineRule="auto"/>
            </w:pPr>
            <w:r>
              <w:rPr>
                <w:b w:val="0"/>
                <w:color w:val="000000"/>
                <w:sz w:val="20"/>
              </w:rPr>
              <w:t>0,20</w:t>
            </w:r>
          </w:p>
        </w:tc>
        <w:tc>
          <w:tcPr>
            <w:tcW w:type="dxa" w:w="1152"/>
            <w:vAlign w:val="center"/>
            <w:shd w:fill="FFFFFF"/>
            <w:tcMar>
              <w:top w:w="95" w:type="dxa"/>
              <w:left w:w="95" w:type="dxa"/>
              <w:bottom w:w="95" w:type="dxa"/>
              <w:right w:w="95" w:type="dxa"/>
            </w:tcMar>
          </w:tcPr>
          <w:p>
            <w:pPr>
              <w:spacing w:after="0" w:line="245" w:lineRule="auto"/>
            </w:pPr>
            <w:r>
              <w:rPr>
                <w:b w:val="0"/>
                <w:color w:val="000000"/>
                <w:sz w:val="20"/>
              </w:rPr>
              <w:t>0,45</w:t>
            </w:r>
          </w:p>
        </w:tc>
        <w:tc>
          <w:tcPr>
            <w:tcW w:type="dxa" w:w="6336"/>
            <w:vAlign w:val="center"/>
            <w:shd w:fill="FFFFFF"/>
            <w:tcMar>
              <w:top w:w="95" w:type="dxa"/>
              <w:left w:w="95" w:type="dxa"/>
              <w:bottom w:w="95" w:type="dxa"/>
              <w:right w:w="95" w:type="dxa"/>
            </w:tcMar>
          </w:tcPr>
          <w:p>
            <w:pPr>
              <w:spacing w:after="0" w:line="245" w:lineRule="auto"/>
            </w:pPr>
            <w:r>
              <w:rPr>
                <w:b w:val="0"/>
                <w:color w:val="000000"/>
                <w:sz w:val="20"/>
              </w:rPr>
              <w:t>Änderung der zweiten Wechselrate</w:t>
            </w:r>
          </w:p>
        </w:tc>
      </w:tr>
      <w:tr>
        <w:trPr>
          <w:cantSplit/>
        </w:trPr>
        <w:tc>
          <w:tcPr>
            <w:tcW w:type="dxa" w:w="1152"/>
            <w:vAlign w:val="center"/>
            <w:shd w:fill="F3F6F8"/>
            <w:tcMar>
              <w:top w:w="95" w:type="dxa"/>
              <w:left w:w="95" w:type="dxa"/>
              <w:bottom w:w="95" w:type="dxa"/>
              <w:right w:w="95" w:type="dxa"/>
            </w:tcMar>
          </w:tcPr>
          <w:p>
            <w:pPr>
              <w:spacing w:after="0" w:line="245" w:lineRule="auto"/>
              <w:jc w:val="center"/>
            </w:pPr>
            <w:r>
              <w:rPr>
                <w:b w:val="0"/>
                <w:color w:val="000000"/>
                <w:sz w:val="20"/>
              </w:rPr>
              <w:t>e3</w:t>
            </w:r>
          </w:p>
        </w:tc>
        <w:tc>
          <w:tcPr>
            <w:tcW w:type="dxa" w:w="1152"/>
            <w:vAlign w:val="center"/>
            <w:shd w:fill="F3F6F8"/>
            <w:tcMar>
              <w:top w:w="95" w:type="dxa"/>
              <w:left w:w="95" w:type="dxa"/>
              <w:bottom w:w="95" w:type="dxa"/>
              <w:right w:w="95" w:type="dxa"/>
            </w:tcMar>
          </w:tcPr>
          <w:p>
            <w:pPr>
              <w:spacing w:after="0" w:line="245" w:lineRule="auto"/>
            </w:pPr>
            <w:r>
              <w:rPr>
                <w:b w:val="0"/>
                <w:color w:val="000000"/>
                <w:sz w:val="20"/>
              </w:rPr>
              <w:t>0,35</w:t>
            </w:r>
          </w:p>
        </w:tc>
        <w:tc>
          <w:tcPr>
            <w:tcW w:type="dxa" w:w="1152"/>
            <w:vAlign w:val="center"/>
            <w:shd w:fill="F3F6F8"/>
            <w:tcMar>
              <w:top w:w="95" w:type="dxa"/>
              <w:left w:w="95" w:type="dxa"/>
              <w:bottom w:w="95" w:type="dxa"/>
              <w:right w:w="95" w:type="dxa"/>
            </w:tcMar>
          </w:tcPr>
          <w:p>
            <w:pPr>
              <w:spacing w:after="0" w:line="245" w:lineRule="auto"/>
            </w:pPr>
            <w:r>
              <w:rPr>
                <w:b w:val="0"/>
                <w:color w:val="000000"/>
                <w:sz w:val="20"/>
              </w:rPr>
              <w:t>0,45</w:t>
            </w:r>
          </w:p>
        </w:tc>
        <w:tc>
          <w:tcPr>
            <w:tcW w:type="dxa" w:w="6336"/>
            <w:vAlign w:val="center"/>
            <w:shd w:fill="F3F6F8"/>
            <w:tcMar>
              <w:top w:w="95" w:type="dxa"/>
              <w:left w:w="95" w:type="dxa"/>
              <w:bottom w:w="95" w:type="dxa"/>
              <w:right w:w="95" w:type="dxa"/>
            </w:tcMar>
          </w:tcPr>
          <w:p>
            <w:pPr>
              <w:spacing w:after="0" w:line="245" w:lineRule="auto"/>
            </w:pPr>
            <w:r>
              <w:rPr>
                <w:b w:val="0"/>
                <w:color w:val="000000"/>
                <w:sz w:val="20"/>
              </w:rPr>
              <w:t>Zurückgehaltene kombinierte Einstellung</w:t>
            </w:r>
          </w:p>
        </w:tc>
      </w:tr>
    </w:tbl>
    <w:p>
      <w:pPr>
        <w:spacing w:after="0"/>
      </w:pPr>
    </w:p>
    <w:p>
      <w:pPr>
        <w:widowControl/>
      </w:pPr>
      <w:r>
        <w:rPr>
          <w:b w:val="0"/>
          <w:lang w:val="de-CH"/>
        </w:rPr>
        <w:t>Ein balanciertes Muster h mit Werten +1 und −1 wird innerhalb jedes Blocks registriert. Für alle geraden m enthält jede Hälfte m/2 Zustände. Die Störung lautet:</w:t>
      </w:r>
    </w:p>
    <w:p>
      <w:pPr>
        <w:spacing w:before="80" w:after="180"/>
        <w:jc w:val="center"/>
      </w:pPr>
      <m:oMathPara>
        <m:oMath>
          <m:sSub>
            <m:e>
              <m:r>
                <m:t>r</m:t>
              </m:r>
            </m:e>
            <m:sub>
              <m:r>
                <m:t>a,i</m:t>
              </m:r>
            </m:sub>
          </m:sSub>
          <m:r>
            <m:t>(e,λ) = </m:t>
          </m:r>
          <m:sSub>
            <m:e>
              <m:r>
                <m:t>r</m:t>
              </m:r>
            </m:e>
            <m:sub>
              <m:r>
                <m:t>a</m:t>
              </m:r>
            </m:sub>
          </m:sSub>
          <m:r>
            <m:t>(e) + λ </m:t>
          </m:r>
          <m:sSub>
            <m:e>
              <m:r>
                <m:t>h</m:t>
              </m:r>
            </m:e>
            <m:sub>
              <m:r>
                <m:t>a,i</m:t>
              </m:r>
            </m:sub>
          </m:sSub>
        </m:oMath>
      </m:oMathPara>
    </w:p>
    <w:p>
      <w:pPr>
        <w:widowControl/>
      </w:pPr>
      <w:r>
        <w:rPr>
          <w:b w:val="0"/>
          <w:lang w:val="de-CH"/>
        </w:rPr>
        <w:t>Geplant sind m = 4, 8, 16, 32 und λ = 0; 0,01; 0,025; 0,05; 0,10. Im exakten Prüfer werden rationale Zahlen verwendet. Das Muster h und sämtliche Umbenennungen müssen gemeinsam mit der Präparationsabbildung transformiert werden.</w:t>
      </w:r>
    </w:p>
    <w:p>
      <w:pPr>
        <w:pStyle w:val="Heading2"/>
      </w:pPr>
      <w:r>
        <w:rPr>
          <w:color w:val="000000"/>
          <w:lang w:val="de-CH"/>
        </w:rPr>
        <w:t>Messprotokoll</w:t>
      </w:r>
    </w:p>
    <w:p>
      <w:pPr>
        <w:widowControl/>
      </w:pPr>
      <w:r>
        <w:rPr>
          <w:b w:val="0"/>
          <w:lang w:val="de-CH"/>
        </w:rPr>
        <w:t>Für jeden Ausgangsblock a wird der Anfangszustand gleichverteilt aus der h=+1- beziehungsweise h=−1-Hälfte gezogen. Ein frischer Ein-Schritt-Versuch misst, ob der Block gewechselt wurde. Dadurch sind vier Präparationen je Konfiguration definiert. Ihre Wechselwahrscheinlichkeiten betragen rₐ+λ und rₐ−λ.</w:t>
      </w:r>
    </w:p>
    <w:p>
      <w:pPr>
        <w:widowControl/>
      </w:pPr>
      <w:r>
        <w:rPr>
          <w:b w:val="0"/>
          <w:lang w:val="de-CH"/>
        </w:rPr>
        <w:t>Die grösste Differenz der Blockwechselwahrscheinlichkeiten innerhalb eines Ausgangsblocks ist daher:</w:t>
      </w:r>
    </w:p>
    <w:p>
      <w:pPr>
        <w:spacing w:before="80" w:after="180"/>
        <w:jc w:val="center"/>
      </w:pPr>
      <m:oMathPara>
        <m:oMath>
          <m:r>
            <m:t>Δ(e,λ) = 2|λ|</m:t>
          </m:r>
        </m:oMath>
      </m:oMathPara>
    </w:p>
    <w:p>
      <w:pPr>
        <w:widowControl/>
      </w:pPr>
      <w:r>
        <w:rPr>
          <w:b w:val="0"/>
          <w:lang w:val="de-CH"/>
        </w:rPr>
        <w:t>Für λ=0 ist π stark lumpbar. Für jedes λ&gt;0 verliert diese vorgegebene Projektion ihre starke Lumpbarkeit. Das ist ein analytisch bekannter Identifizierbarkeitswechsel und keine thermodynamische Singularität. Eine besondere Anfangsverteilung kann weiterhin weniger Unterschiede sichtbar machen.</w:t>
      </w:r>
    </w:p>
    <w:p>
      <w:pPr>
        <w:pStyle w:val="Heading2"/>
      </w:pPr>
      <w:r>
        <w:rPr>
          <w:color w:val="000000"/>
          <w:lang w:val="de-CH"/>
        </w:rPr>
        <w:t>Obligatorische Gegenkontrollen</w:t>
      </w:r>
    </w:p>
    <w:p>
      <w:pPr>
        <w:widowControl/>
      </w:pPr>
      <w:r>
        <w:rPr>
          <w:b w:val="0"/>
          <w:lang w:val="de-CH"/>
        </w:rPr>
        <w:t>Eine konstante Reduktion muss scheitern: Bei e3 und λ=0 beträgt ihr kleinstmöglicher maximaler Vorhersagefehler 0,05. Eine reine Umbenennung muss alle Resultate erhalten. Eine dritte Kontrollfamilie mit um 0,10 erhöhter erster Basisrate bei λ=0 muss vom Referenzmodell getrennt werden. Die Kontrollen werden exakt geprüft und gehören nicht zur statistischen Testfamilie.</w:t>
      </w:r>
    </w:p>
    <w:p>
      <w:r>
        <w:rPr>
          <w:lang w:val="de-CH"/>
        </w:rPr>
        <w:br w:type="page"/>
      </w:r>
    </w:p>
    <w:p>
      <w:pPr>
        <w:pStyle w:val="Heading1"/>
      </w:pPr>
      <w:r>
        <w:rPr>
          <w:color w:val="000000"/>
          <w:lang w:val="de-CH"/>
        </w:rPr>
        <w:t>6 Messgrössen und feste Entscheidungsregeln</w:t>
      </w:r>
    </w:p>
    <w:p>
      <w:pPr>
        <w:widowControl/>
      </w:pPr>
      <w:r>
        <w:rPr>
          <w:b w:val="0"/>
          <w:lang w:val="de-CH"/>
        </w:rPr>
        <w:t>Der exakte Referenzprüfer bewertet Zeilensummen, Nichtnegativität, Blockübergänge, starke Lumpbarkeit und die Negativkontrollen. Die statistische Qualifikation ist davon getrennt und umfasst nur e3. Je Kombination aus zwei Familien, vier Grössen, fünf Störwerten und vier Präparationen wird eine Bernoulli-Wahrscheinlichkeit geschätzt. Das ergibt K=160 Zellen.</w:t>
      </w:r>
    </w:p>
    <w:p>
      <w:pPr>
        <w:widowControl/>
      </w:pPr>
      <w:r>
        <w:rPr>
          <w:b w:val="0"/>
          <w:lang w:val="de-CH"/>
        </w:rPr>
        <w:t>Pro Zelle werden n=20 000 frische, unabhängige Ein-Schritt-Versuche geplant; insgesamt 3,2 Millionen. Eine vorab erzeugte Mikrorealisation je Familie und Grösse wird für diese Qualifikation eingefroren. Die statistische Aussage ist bedingt auf diese acht Mikrorealisationen und keine Aussage über deren gesamte Verteilung.</w:t>
      </w:r>
    </w:p>
    <w:p>
      <w:pPr>
        <w:widowControl/>
      </w:pPr>
      <w:r>
        <w:rPr>
          <w:b w:val="0"/>
          <w:lang w:val="de-CH"/>
        </w:rPr>
        <w:t>Bei einem gemeinsamen Fehlerbudget α=0,05 liefert die Hoeffding-Schranke mit Vereinigungsabschätzung simultane Intervalle für alle 160 Wahrscheinlichkeiten. [5]</w:t>
      </w:r>
    </w:p>
    <w:p>
      <w:pPr>
        <w:spacing w:before="80" w:after="180"/>
        <w:jc w:val="center"/>
      </w:pPr>
      <m:oMathPara>
        <m:oMath>
          <m:r>
            <m:t>b = </m:t>
          </m:r>
          <m:rad>
            <m:radPr>
              <m:degHide m:val="1"/>
            </m:radPr>
            <m:deg/>
            <m:e>
              <m:f>
                <m:num>
                  <m:r>
                    <m:t>ln(2K/α)</m:t>
                  </m:r>
                </m:num>
                <m:den>
                  <m:r>
                    <m:t>2n</m:t>
                  </m:r>
                </m:den>
              </m:f>
            </m:e>
          </m:rad>
          <m:r>
            <m:t> ≈ 0,014802</m:t>
          </m:r>
        </m:oMath>
      </m:oMathPara>
    </w:p>
    <w:p>
      <w:pPr>
        <w:widowControl/>
      </w:pPr>
      <w:r>
        <w:rPr>
          <w:b w:val="0"/>
          <w:lang w:val="de-CH"/>
        </w:rPr>
        <w:t>Jedes Intervall lautet [p̂−b, p̂+b], auf [0,1] beschnitten. Die Grenzen für abgeleitete Differenzen werden aus denselben simultanen Intervallen gebildet. Es gibt genau eine Auswertung nach Erreichen des festen n; kein optionales Stoppen oder Wiederholen bis zum Bestehen.</w:t>
      </w:r>
    </w:p>
    <w:p>
      <w:pPr>
        <w:widowControl/>
      </w:pPr>
      <w:r>
        <w:rPr>
          <w:b w:val="0"/>
          <w:lang w:val="de-CH"/>
        </w:rPr>
        <w:t>Entschieden wird je Konfiguration aus Familie, Grösse und Störwert; das gemeinsame Fehlerbudget umfasst alle 160 Zellen.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76"/>
        <w:gridCol w:w="5616"/>
      </w:tblGrid>
      <w:tr>
        <w:trPr>
          <w:cantSplit/>
          <w:tblHeader/>
        </w:trPr>
        <w:tc>
          <w:tcPr>
            <w:tcW w:type="dxa" w:w="1800"/>
            <w:vAlign w:val="center"/>
            <w:shd w:fill="233D50"/>
            <w:tcMar>
              <w:top w:w="95" w:type="dxa"/>
              <w:left w:w="95" w:type="dxa"/>
              <w:bottom w:w="95" w:type="dxa"/>
              <w:right w:w="95" w:type="dxa"/>
            </w:tcMar>
          </w:tcPr>
          <w:p>
            <w:pPr>
              <w:spacing w:after="0" w:line="245" w:lineRule="auto"/>
            </w:pPr>
            <w:r>
              <w:rPr>
                <w:b/>
                <w:color w:val="FFFFFF"/>
                <w:sz w:val="20"/>
              </w:rPr>
              <w:t>Kriterium</w:t>
            </w:r>
          </w:p>
        </w:tc>
        <w:tc>
          <w:tcPr>
            <w:tcW w:type="dxa" w:w="2376"/>
            <w:vAlign w:val="center"/>
            <w:shd w:fill="233D50"/>
            <w:tcMar>
              <w:top w:w="95" w:type="dxa"/>
              <w:left w:w="95" w:type="dxa"/>
              <w:bottom w:w="95" w:type="dxa"/>
              <w:right w:w="95" w:type="dxa"/>
            </w:tcMar>
          </w:tcPr>
          <w:p>
            <w:pPr>
              <w:spacing w:after="0" w:line="245" w:lineRule="auto"/>
            </w:pPr>
            <w:r>
              <w:rPr>
                <w:b/>
                <w:color w:val="FFFFFF"/>
                <w:sz w:val="20"/>
              </w:rPr>
              <w:t>Vorgabe</w:t>
            </w:r>
          </w:p>
        </w:tc>
        <w:tc>
          <w:tcPr>
            <w:tcW w:type="dxa" w:w="5616"/>
            <w:vAlign w:val="center"/>
            <w:shd w:fill="233D50"/>
            <w:tcMar>
              <w:top w:w="95" w:type="dxa"/>
              <w:left w:w="95" w:type="dxa"/>
              <w:bottom w:w="95" w:type="dxa"/>
              <w:right w:w="95" w:type="dxa"/>
            </w:tcMar>
          </w:tcPr>
          <w:p>
            <w:pPr>
              <w:spacing w:after="0" w:line="245" w:lineRule="auto"/>
            </w:pPr>
            <w:r>
              <w:rPr>
                <w:b/>
                <w:color w:val="FFFFFF"/>
                <w:sz w:val="20"/>
              </w:rPr>
              <w:t>Entscheidung</w:t>
            </w:r>
          </w:p>
        </w:tc>
      </w:tr>
      <w:tr>
        <w:trPr>
          <w:cantSplit/>
        </w:trPr>
        <w:tc>
          <w:tcPr>
            <w:tcW w:type="dxa" w:w="1800"/>
            <w:vAlign w:val="center"/>
            <w:shd w:fill="FFFFFF"/>
            <w:tcMar>
              <w:top w:w="95" w:type="dxa"/>
              <w:left w:w="95" w:type="dxa"/>
              <w:bottom w:w="95" w:type="dxa"/>
              <w:right w:w="95" w:type="dxa"/>
            </w:tcMar>
          </w:tcPr>
          <w:p>
            <w:pPr>
              <w:spacing w:after="0" w:line="245" w:lineRule="auto"/>
            </w:pPr>
            <w:r>
              <w:rPr>
                <w:b w:val="0"/>
                <w:color w:val="000000"/>
                <w:sz w:val="20"/>
              </w:rPr>
              <w:t>Blockheterogenität</w:t>
            </w:r>
          </w:p>
        </w:tc>
        <w:tc>
          <w:tcPr>
            <w:tcW w:type="dxa" w:w="2376"/>
            <w:vAlign w:val="center"/>
            <w:shd w:fill="FFFFFF"/>
            <w:tcMar>
              <w:top w:w="95" w:type="dxa"/>
              <w:left w:w="95" w:type="dxa"/>
              <w:bottom w:w="95" w:type="dxa"/>
              <w:right w:w="95" w:type="dxa"/>
            </w:tcMar>
          </w:tcPr>
          <w:p>
            <w:pPr>
              <w:spacing w:after="0" w:line="245" w:lineRule="auto"/>
            </w:pPr>
            <w:r>
              <w:rPr>
                <w:b w:val="0"/>
                <w:color w:val="000000"/>
                <w:sz w:val="20"/>
              </w:rPr>
              <w:t>δblock = 0,05</w:t>
            </w:r>
          </w:p>
        </w:tc>
        <w:tc>
          <w:tcPr>
            <w:tcW w:type="dxa" w:w="5616"/>
            <w:vAlign w:val="center"/>
            <w:shd w:fill="FFFFFF"/>
            <w:tcMar>
              <w:top w:w="95" w:type="dxa"/>
              <w:left w:w="95" w:type="dxa"/>
              <w:bottom w:w="95" w:type="dxa"/>
              <w:right w:w="95" w:type="dxa"/>
            </w:tcMar>
          </w:tcPr>
          <w:p>
            <w:pPr>
              <w:spacing w:after="0" w:line="245" w:lineRule="auto"/>
            </w:pPr>
            <w:r>
              <w:rPr>
                <w:b w:val="0"/>
                <w:color w:val="000000"/>
                <w:sz w:val="20"/>
              </w:rPr>
              <w:t>Differenz der beiden Präparationen je Ausgangsblock. Schranken konservativ mit ±2b.</w:t>
            </w:r>
          </w:p>
        </w:tc>
      </w:tr>
      <w:tr>
        <w:trPr>
          <w:cantSplit/>
        </w:trPr>
        <w:tc>
          <w:tcPr>
            <w:tcW w:type="dxa" w:w="1800"/>
            <w:vAlign w:val="center"/>
            <w:shd w:fill="F3F6F8"/>
            <w:tcMar>
              <w:top w:w="95" w:type="dxa"/>
              <w:left w:w="95" w:type="dxa"/>
              <w:bottom w:w="95" w:type="dxa"/>
              <w:right w:w="95" w:type="dxa"/>
            </w:tcMar>
          </w:tcPr>
          <w:p>
            <w:pPr>
              <w:spacing w:after="0" w:line="245" w:lineRule="auto"/>
            </w:pPr>
            <w:r>
              <w:rPr>
                <w:b w:val="0"/>
                <w:color w:val="000000"/>
                <w:sz w:val="20"/>
              </w:rPr>
              <w:t>Vorhersageverlust</w:t>
            </w:r>
          </w:p>
        </w:tc>
        <w:tc>
          <w:tcPr>
            <w:tcW w:type="dxa" w:w="2376"/>
            <w:vAlign w:val="center"/>
            <w:shd w:fill="F3F6F8"/>
            <w:tcMar>
              <w:top w:w="95" w:type="dxa"/>
              <w:left w:w="95" w:type="dxa"/>
              <w:bottom w:w="95" w:type="dxa"/>
              <w:right w:w="95" w:type="dxa"/>
            </w:tcMar>
          </w:tcPr>
          <w:p>
            <w:pPr>
              <w:spacing w:after="0" w:line="245" w:lineRule="auto"/>
            </w:pPr>
            <w:r>
              <w:rPr>
                <w:b w:val="0"/>
                <w:color w:val="000000"/>
                <w:sz w:val="20"/>
              </w:rPr>
              <w:t>δpred = 0,025</w:t>
            </w:r>
          </w:p>
        </w:tc>
        <w:tc>
          <w:tcPr>
            <w:tcW w:type="dxa" w:w="5616"/>
            <w:vAlign w:val="center"/>
            <w:shd w:fill="F3F6F8"/>
            <w:tcMar>
              <w:top w:w="95" w:type="dxa"/>
              <w:left w:w="95" w:type="dxa"/>
              <w:bottom w:w="95" w:type="dxa"/>
              <w:right w:w="95" w:type="dxa"/>
            </w:tcMar>
          </w:tcPr>
          <w:p>
            <w:pPr>
              <w:spacing w:after="0" w:line="245" w:lineRule="auto"/>
            </w:pPr>
            <w:r>
              <w:rPr>
                <w:b w:val="0"/>
                <w:color w:val="000000"/>
                <w:sz w:val="20"/>
              </w:rPr>
              <w:t>Abweichung von der eingefrorenen Oracle-Vorhersage rₐ(e3). Schranken konservativ mit ±b.</w:t>
            </w:r>
          </w:p>
        </w:tc>
      </w:tr>
      <w:tr>
        <w:trPr>
          <w:cantSplit/>
        </w:trPr>
        <w:tc>
          <w:tcPr>
            <w:tcW w:type="dxa" w:w="1800"/>
            <w:vAlign w:val="center"/>
            <w:shd w:fill="FFFFFF"/>
            <w:tcMar>
              <w:top w:w="95" w:type="dxa"/>
              <w:left w:w="95" w:type="dxa"/>
              <w:bottom w:w="95" w:type="dxa"/>
              <w:right w:w="95" w:type="dxa"/>
            </w:tcMar>
          </w:tcPr>
          <w:p>
            <w:pPr>
              <w:spacing w:after="0" w:line="245" w:lineRule="auto"/>
            </w:pPr>
            <w:r>
              <w:rPr>
                <w:b w:val="0"/>
                <w:color w:val="000000"/>
                <w:sz w:val="20"/>
              </w:rPr>
              <w:t>Bestanden</w:t>
            </w:r>
          </w:p>
        </w:tc>
        <w:tc>
          <w:tcPr>
            <w:tcW w:type="dxa" w:w="2376"/>
            <w:vAlign w:val="center"/>
            <w:shd w:fill="FFFFFF"/>
            <w:tcMar>
              <w:top w:w="95" w:type="dxa"/>
              <w:left w:w="95" w:type="dxa"/>
              <w:bottom w:w="95" w:type="dxa"/>
              <w:right w:w="95" w:type="dxa"/>
            </w:tcMar>
          </w:tcPr>
          <w:p>
            <w:pPr>
              <w:spacing w:after="0" w:line="245" w:lineRule="auto"/>
            </w:pPr>
            <w:r>
              <w:rPr>
                <w:b w:val="0"/>
                <w:color w:val="000000"/>
                <w:sz w:val="20"/>
              </w:rPr>
              <w:t>Alle oberen Schranken innerhalb der Vorgaben</w:t>
            </w:r>
          </w:p>
        </w:tc>
        <w:tc>
          <w:tcPr>
            <w:tcW w:type="dxa" w:w="5616"/>
            <w:vAlign w:val="center"/>
            <w:shd w:fill="FFFFFF"/>
            <w:tcMar>
              <w:top w:w="95" w:type="dxa"/>
              <w:left w:w="95" w:type="dxa"/>
              <w:bottom w:w="95" w:type="dxa"/>
              <w:right w:w="95" w:type="dxa"/>
            </w:tcMar>
          </w:tcPr>
          <w:p>
            <w:pPr>
              <w:spacing w:after="0" w:line="245" w:lineRule="auto"/>
            </w:pPr>
            <w:r>
              <w:rPr>
                <w:b w:val="0"/>
                <w:color w:val="000000"/>
                <w:sz w:val="20"/>
              </w:rPr>
              <w:t>APPROXIMATE_REDUCTION_SUPPORTED im registrierten Ein-Schritt-Bereich.</w:t>
            </w:r>
          </w:p>
        </w:tc>
      </w:tr>
      <w:tr>
        <w:trPr>
          <w:cantSplit/>
        </w:trPr>
        <w:tc>
          <w:tcPr>
            <w:tcW w:type="dxa" w:w="1800"/>
            <w:vAlign w:val="center"/>
            <w:shd w:fill="F3F6F8"/>
            <w:tcMar>
              <w:top w:w="95" w:type="dxa"/>
              <w:left w:w="95" w:type="dxa"/>
              <w:bottom w:w="95" w:type="dxa"/>
              <w:right w:w="95" w:type="dxa"/>
            </w:tcMar>
          </w:tcPr>
          <w:p>
            <w:pPr>
              <w:spacing w:after="0" w:line="245" w:lineRule="auto"/>
            </w:pPr>
            <w:r>
              <w:rPr>
                <w:b w:val="0"/>
                <w:color w:val="000000"/>
                <w:sz w:val="20"/>
              </w:rPr>
              <w:t>Verworfen</w:t>
            </w:r>
          </w:p>
        </w:tc>
        <w:tc>
          <w:tcPr>
            <w:tcW w:type="dxa" w:w="2376"/>
            <w:vAlign w:val="center"/>
            <w:shd w:fill="F3F6F8"/>
            <w:tcMar>
              <w:top w:w="95" w:type="dxa"/>
              <w:left w:w="95" w:type="dxa"/>
              <w:bottom w:w="95" w:type="dxa"/>
              <w:right w:w="95" w:type="dxa"/>
            </w:tcMar>
          </w:tcPr>
          <w:p>
            <w:pPr>
              <w:spacing w:after="0" w:line="245" w:lineRule="auto"/>
            </w:pPr>
            <w:r>
              <w:rPr>
                <w:b w:val="0"/>
                <w:color w:val="000000"/>
                <w:sz w:val="20"/>
              </w:rPr>
              <w:t>Mindestens eine untere Schranke oberhalb ihrer Vorgabe</w:t>
            </w:r>
          </w:p>
        </w:tc>
        <w:tc>
          <w:tcPr>
            <w:tcW w:type="dxa" w:w="5616"/>
            <w:vAlign w:val="center"/>
            <w:shd w:fill="F3F6F8"/>
            <w:tcMar>
              <w:top w:w="95" w:type="dxa"/>
              <w:left w:w="95" w:type="dxa"/>
              <w:bottom w:w="95" w:type="dxa"/>
              <w:right w:w="95" w:type="dxa"/>
            </w:tcMar>
          </w:tcPr>
          <w:p>
            <w:pPr>
              <w:spacing w:after="0" w:line="245" w:lineRule="auto"/>
            </w:pPr>
            <w:r>
              <w:rPr>
                <w:b w:val="0"/>
                <w:color w:val="000000"/>
                <w:sz w:val="20"/>
              </w:rPr>
              <w:t>REDUCTION_REJECTED für diese Konfiguration.</w:t>
            </w:r>
          </w:p>
        </w:tc>
      </w:tr>
      <w:tr>
        <w:trPr>
          <w:cantSplit/>
        </w:trPr>
        <w:tc>
          <w:tcPr>
            <w:tcW w:type="dxa" w:w="1800"/>
            <w:vAlign w:val="center"/>
            <w:shd w:fill="FFFFFF"/>
            <w:tcMar>
              <w:top w:w="95" w:type="dxa"/>
              <w:left w:w="95" w:type="dxa"/>
              <w:bottom w:w="95" w:type="dxa"/>
              <w:right w:w="95" w:type="dxa"/>
            </w:tcMar>
          </w:tcPr>
          <w:p>
            <w:pPr>
              <w:spacing w:after="0" w:line="245" w:lineRule="auto"/>
            </w:pPr>
            <w:r>
              <w:rPr>
                <w:b w:val="0"/>
                <w:color w:val="000000"/>
                <w:sz w:val="20"/>
              </w:rPr>
              <w:t>Unentschieden</w:t>
            </w:r>
          </w:p>
        </w:tc>
        <w:tc>
          <w:tcPr>
            <w:tcW w:type="dxa" w:w="2376"/>
            <w:vAlign w:val="center"/>
            <w:shd w:fill="FFFFFF"/>
            <w:tcMar>
              <w:top w:w="95" w:type="dxa"/>
              <w:left w:w="95" w:type="dxa"/>
              <w:bottom w:w="95" w:type="dxa"/>
              <w:right w:w="95" w:type="dxa"/>
            </w:tcMar>
          </w:tcPr>
          <w:p>
            <w:pPr>
              <w:spacing w:after="0" w:line="245" w:lineRule="auto"/>
            </w:pPr>
            <w:r>
              <w:rPr>
                <w:b w:val="0"/>
                <w:color w:val="000000"/>
                <w:sz w:val="20"/>
              </w:rPr>
              <w:t>Sonstige gültige Fälle</w:t>
            </w:r>
          </w:p>
        </w:tc>
        <w:tc>
          <w:tcPr>
            <w:tcW w:type="dxa" w:w="5616"/>
            <w:vAlign w:val="center"/>
            <w:shd w:fill="FFFFFF"/>
            <w:tcMar>
              <w:top w:w="95" w:type="dxa"/>
              <w:left w:w="95" w:type="dxa"/>
              <w:bottom w:w="95" w:type="dxa"/>
              <w:right w:w="95" w:type="dxa"/>
            </w:tcMar>
          </w:tcPr>
          <w:p>
            <w:pPr>
              <w:spacing w:after="0" w:line="245" w:lineRule="auto"/>
            </w:pPr>
            <w:r>
              <w:rPr>
                <w:b w:val="0"/>
                <w:color w:val="000000"/>
                <w:sz w:val="20"/>
              </w:rPr>
              <w:t>INCONCLUSIVE; keine Behauptung exakter Gleichheit.</w:t>
            </w:r>
          </w:p>
        </w:tc>
      </w:tr>
    </w:tbl>
    <w:p>
      <w:pPr>
        <w:spacing w:after="0"/>
      </w:pPr>
    </w:p>
    <w:p>
      <w:pPr>
        <w:widowControl/>
      </w:pPr>
      <w:r>
        <w:rPr>
          <w:b w:val="0"/>
          <w:lang w:val="de-CH"/>
        </w:rPr>
        <w:t>Ungültige oder unvollständige Daten ergeben INVALID. Die Grenzen sind vorgegebene Softwaretoleranzen, keine physikalischen Naturkonstanten. λ=0,025 liegt analytisch auf beiden Toleranzgrenzen; ein unentschiedenes Ergebnis ist hier erwartbar und zulässig. Eine Garantie für bestimmte Einzelentscheidungen wird nicht behauptet.</w:t>
      </w:r>
    </w:p>
    <w:p>
      <w:pPr>
        <w:widowControl/>
      </w:pPr>
      <w:r>
        <w:rPr>
          <w:b w:val="0"/>
          <w:lang w:val="de-CH"/>
        </w:rPr>
        <w:t>Die Oracle-Vorhersage ist für U1 analytisch bekannt. Ein lernendes Modell in U2 erhält eigene Trainingsdaten, einen eigenen Freeze und ein neu festgelegtes Prüfdesign. Der Test von U1 wird nicht nachträglich als unbeeinflusster Entdeckungsversuch umgedeutet.</w:t>
      </w:r>
    </w:p>
    <w:p>
      <w:r>
        <w:rPr>
          <w:lang w:val="de-CH"/>
        </w:rPr>
        <w:br w:type="page"/>
      </w:r>
    </w:p>
    <w:p>
      <w:pPr>
        <w:pStyle w:val="Heading1"/>
      </w:pPr>
      <w:r>
        <w:rPr>
          <w:color w:val="000000"/>
          <w:lang w:val="de-CH"/>
        </w:rPr>
        <w:t>7 RAX U2 als offene Suche nach Rückständen</w:t>
      </w:r>
    </w:p>
    <w:p>
      <w:pPr>
        <w:widowControl/>
      </w:pPr>
      <w:r>
        <w:rPr>
          <w:b w:val="0"/>
          <w:lang w:val="de-CH"/>
        </w:rPr>
        <w:t>U2 beginnt erst nach erfolgreicher technischer Qualifikation von U1. Nun werden Reduktionsabbildungen und Generatoren aus Entwicklungsdaten vorgeschlagen. Der verborgene Erzeugungsmechanismus und die bekannten Kontrollpartitionen stehen dem Entdeckungsmodul nicht als Zielwerte zur Verfügung. Messkanäle und zulässige Präparationen bleiben offen dokumentiert.</w:t>
      </w:r>
    </w:p>
    <w:p>
      <w:pPr>
        <w:pStyle w:val="Heading2"/>
      </w:pPr>
      <w:r>
        <w:rPr>
          <w:color w:val="000000"/>
          <w:lang w:val="de-CH"/>
        </w:rPr>
        <w:t>Getrennte Datenphasen</w:t>
      </w:r>
    </w:p>
    <w:p>
      <w:pPr>
        <w:widowControl/>
      </w:pPr>
      <w:r>
        <w:rPr>
          <w:b w:val="0"/>
          <w:lang w:val="de-CH"/>
        </w:rPr>
        <w:t>Daten für Kandidatenvorschläge, adaptive Messplanung und abschliessende Gegenversuche erhalten getrennte Identitäten. Neue Mikrorealisationen werden auf Ensembleebene zurückgehalten; verschiedene Zeitfenster derselben Trajektorie gelten nicht automatisch als unabhängig. Der endgültige Kandidat, seine Parameter und die Messabbildung werden vor dem Challenge-Datensatz eingefroren.</w:t>
      </w:r>
    </w:p>
    <w:p>
      <w:pPr>
        <w:pStyle w:val="Heading2"/>
      </w:pPr>
      <w:r>
        <w:rPr>
          <w:color w:val="000000"/>
          <w:lang w:val="de-CH"/>
        </w:rPr>
        <w:t>Zu vergleichende Kandidaten</w:t>
      </w:r>
    </w:p>
    <w:p>
      <w:pPr>
        <w:widowControl/>
      </w:pPr>
      <w:r>
        <w:rPr>
          <w:b w:val="0"/>
          <w:lang w:val="de-CH"/>
        </w:rPr>
        <w:t>Das Register enthält mindestens ein Modell ohne Reduktion, eine konstante Negativkontrolle, eine prädiktive Zustandsaggregation und einen alternativen Aggregationsansatz mit anderer Repräsentation. Erinnerung an die Vorgeschichte muss als Modelloption zugelassen werden, wenn eine markovsche Makrobeschreibung scheitert. Das Ziel sind Vorhersagen und kontrollierte Beschreibungskosten, keine vorgegebene Zahl von Zuständen.</w:t>
      </w:r>
    </w:p>
    <w:p>
      <w:pPr>
        <w:widowControl/>
      </w:pPr>
      <w:r>
        <w:rPr>
          <w:b w:val="0"/>
          <w:lang w:val="de-CH"/>
        </w:rPr>
        <w:t>Für Eingabe-Ausgabe-Prozesse bietet die Literatur zu prädiktiven Transduktoren eine passende Anschlussstelle. Deren optimalitätsbezogene Aussagen gelten unter ihren jeweiligen Voraussetzungen; sie sind keine Rekonstruktion einer zugrunde liegenden Raumzeit. [6]</w:t>
      </w:r>
    </w:p>
    <w:p>
      <w:pPr>
        <w:pStyle w:val="Heading2"/>
      </w:pPr>
      <w:r>
        <w:rPr>
          <w:color w:val="000000"/>
          <w:lang w:val="de-CH"/>
        </w:rPr>
        <w:t>Mehrschrittprüfung und Skalenfolgen</w:t>
      </w:r>
    </w:p>
    <w:p>
      <w:pPr>
        <w:widowControl/>
      </w:pPr>
      <w:r>
        <w:rPr>
          <w:b w:val="0"/>
          <w:lang w:val="de-CH"/>
        </w:rPr>
        <w:t>Nach den Ein-Schritt-Prüfungen werden vorab festgelegte Horizonte, beispielsweise 1, 2, 4, 8 und 16 Simulationsschritte, geprüft. Mehrschrittfehler werden separat gemessen oder nachgewiesen begrenzt. Eine kleine Ein-Schritt-Abweichung rechtfertigt keine unbegrenzte Extrapolation.</w:t>
      </w:r>
    </w:p>
    <w:p>
      <w:pPr>
        <w:widowControl/>
      </w:pPr>
      <w:r>
        <w:rPr>
          <w:b w:val="0"/>
          <w:lang w:val="de-CH"/>
        </w:rPr>
        <w:t>Eine Skalenstudie verwendet eine veröffentlichte Familie kompatibler Vergröberungen, mindestens zwei methodisch verschiedene Verfahren und eine wachsende Systemfolge. Vergleichsgrössen werden normiert und physikalisch interpretiert, falls ein entsprechendes Modell vorliegt. Reine Nachverarbeitung derselben Daten ist keine neue unabhängige Intervention.</w:t>
      </w:r>
    </w:p>
    <w:p>
      <w:pPr>
        <w:pStyle w:val="Heading2"/>
      </w:pPr>
      <w:r>
        <w:rPr>
          <w:color w:val="000000"/>
          <w:lang w:val="de-CH"/>
        </w:rPr>
        <w:t>Gate U2</w:t>
      </w:r>
    </w:p>
    <w:p>
      <w:pPr>
        <w:widowControl/>
      </w:pPr>
      <w:r>
        <w:rPr>
          <w:b w:val="0"/>
          <w:lang w:val="de-CH"/>
        </w:rPr>
        <w:t>Ein Kandidat darf als prädiktiver Rückstand im geprüften Bereich geführt werden, wenn er auf neuen Ensembles und Eingriffen die registrierten Fehlergrenzen einhält, gegenüber den Baselines eine deklarierte Reduktion erreicht und die Negativkontrollen weiterhin trennt. Grenzen, Stichprobenumfang und Fehlerbudget werden nach der Entwicklungsphase vor dem Bestätigungslauf festgelegt. Bis dahin bleibt das Gate NOT_READY.</w:t>
      </w:r>
    </w:p>
    <w:p>
      <w:r>
        <w:rPr>
          <w:lang w:val="de-CH"/>
        </w:rPr>
        <w:br w:type="page"/>
      </w:r>
    </w:p>
    <w:p>
      <w:pPr>
        <w:pStyle w:val="Heading1"/>
      </w:pPr>
      <w:r>
        <w:rPr>
          <w:color w:val="000000"/>
          <w:lang w:val="de-CH"/>
        </w:rPr>
        <w:t>8 X6 als adaptive experimentelle Fabric</w:t>
      </w:r>
    </w:p>
    <w:p>
      <w:pPr>
        <w:widowControl/>
      </w:pPr>
      <w:r>
        <w:rPr>
          <w:b w:val="0"/>
          <w:lang w:val="de-CH"/>
        </w:rPr>
        <w:t>X6 organisiert Kandidaten, Beobachtungen und die Auswahl der nächsten zulässigen Messung. Für einen Interventionsbatch B ist das Trennziel die erwartete Information über Erklärungsklasse C bei vorhandenem Datensatz D:</w:t>
      </w:r>
    </w:p>
    <w:p>
      <w:pPr>
        <w:spacing w:before="80" w:after="180"/>
        <w:jc w:val="center"/>
      </w:pPr>
      <m:oMathPara>
        <m:oMath>
          <m:sSup>
            <m:e>
              <m:r>
                <m:t>B</m:t>
              </m:r>
            </m:e>
            <m:sup>
              <m:r>
                <m:t>*</m:t>
              </m:r>
            </m:sup>
          </m:sSup>
          <m:r>
            <m:t> ∈ arg max I(C; </m:t>
          </m:r>
          <m:sSub>
            <m:e>
              <m:r>
                <m:t>Y</m:t>
              </m:r>
            </m:e>
            <m:sub>
              <m:r>
                <m:t>B</m:t>
              </m:r>
            </m:sub>
          </m:sSub>
          <m:r>
            <m:t> | D, do(B))</m:t>
          </m:r>
        </m:oMath>
      </m:oMathPara>
    </w:p>
    <w:p>
      <w:pPr>
        <w:widowControl/>
      </w:pPr>
      <w:r>
        <w:rPr>
          <w:b w:val="0"/>
          <w:lang w:val="de-CH"/>
        </w:rPr>
        <w:t>Die Maximierung erfolgt über registrierte zulässige Batches unter Kosten-, Zeit-, Kalibrier- und Probenbedingungen. Parameterunsicherheit, gemeinsame Drift und sonstige Störgrössen werden in der gemeinsamen Vorhersageverteilung marginalisiert. Informationswerte einzelner Nodes werden nicht pauschal addiert.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3960"/>
      </w:tblGrid>
      <w:tr>
        <w:trPr>
          <w:cantSplit/>
          <w:tblHeader/>
        </w:trPr>
        <w:tc>
          <w:tcPr>
            <w:tcW w:type="dxa" w:w="1800"/>
            <w:vAlign w:val="center"/>
            <w:shd w:fill="233D50"/>
            <w:tcMar>
              <w:top w:w="95" w:type="dxa"/>
              <w:left w:w="95" w:type="dxa"/>
              <w:bottom w:w="95" w:type="dxa"/>
              <w:right w:w="95" w:type="dxa"/>
            </w:tcMar>
          </w:tcPr>
          <w:p>
            <w:pPr>
              <w:spacing w:after="0" w:line="245" w:lineRule="auto"/>
            </w:pPr>
            <w:r>
              <w:rPr>
                <w:b/>
                <w:color w:val="FFFFFF"/>
                <w:sz w:val="20"/>
              </w:rPr>
              <w:t>Komponente</w:t>
            </w:r>
          </w:p>
        </w:tc>
        <w:tc>
          <w:tcPr>
            <w:tcW w:type="dxa" w:w="4032"/>
            <w:vAlign w:val="center"/>
            <w:shd w:fill="233D50"/>
            <w:tcMar>
              <w:top w:w="95" w:type="dxa"/>
              <w:left w:w="95" w:type="dxa"/>
              <w:bottom w:w="95" w:type="dxa"/>
              <w:right w:w="95" w:type="dxa"/>
            </w:tcMar>
          </w:tcPr>
          <w:p>
            <w:pPr>
              <w:spacing w:after="0" w:line="245" w:lineRule="auto"/>
            </w:pPr>
            <w:r>
              <w:rPr>
                <w:b/>
                <w:color w:val="FFFFFF"/>
                <w:sz w:val="20"/>
              </w:rPr>
              <w:t>Aufgabe</w:t>
            </w:r>
          </w:p>
        </w:tc>
        <w:tc>
          <w:tcPr>
            <w:tcW w:type="dxa" w:w="3960"/>
            <w:vAlign w:val="center"/>
            <w:shd w:fill="233D50"/>
            <w:tcMar>
              <w:top w:w="95" w:type="dxa"/>
              <w:left w:w="95" w:type="dxa"/>
              <w:bottom w:w="95" w:type="dxa"/>
              <w:right w:w="95" w:type="dxa"/>
            </w:tcMar>
          </w:tcPr>
          <w:p>
            <w:pPr>
              <w:spacing w:after="0" w:line="245" w:lineRule="auto"/>
            </w:pPr>
            <w:r>
              <w:rPr>
                <w:b/>
                <w:color w:val="FFFFFF"/>
                <w:sz w:val="20"/>
              </w:rPr>
              <w:t>Verbindliche Grenze</w:t>
            </w:r>
          </w:p>
        </w:tc>
      </w:tr>
      <w:tr>
        <w:trPr>
          <w:cantSplit/>
        </w:trPr>
        <w:tc>
          <w:tcPr>
            <w:tcW w:type="dxa" w:w="1800"/>
            <w:vAlign w:val="center"/>
            <w:shd w:fill="FFFFFF"/>
            <w:tcMar>
              <w:top w:w="95" w:type="dxa"/>
              <w:left w:w="95" w:type="dxa"/>
              <w:bottom w:w="95" w:type="dxa"/>
              <w:right w:w="95" w:type="dxa"/>
            </w:tcMar>
          </w:tcPr>
          <w:p>
            <w:pPr>
              <w:spacing w:after="0" w:line="245" w:lineRule="auto"/>
            </w:pPr>
            <w:r>
              <w:rPr>
                <w:b w:val="0"/>
                <w:color w:val="000000"/>
                <w:sz w:val="20"/>
              </w:rPr>
              <w:t>Kandidatenregister</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Versionierte Gesetze, Generatoren und Annahmen verwalten.</w:t>
            </w:r>
          </w:p>
        </w:tc>
        <w:tc>
          <w:tcPr>
            <w:tcW w:type="dxa" w:w="3960"/>
            <w:vAlign w:val="center"/>
            <w:shd w:fill="FFFFFF"/>
            <w:tcMar>
              <w:top w:w="95" w:type="dxa"/>
              <w:left w:w="95" w:type="dxa"/>
              <w:bottom w:w="95" w:type="dxa"/>
              <w:right w:w="95" w:type="dxa"/>
            </w:tcMar>
          </w:tcPr>
          <w:p>
            <w:pPr>
              <w:spacing w:after="0" w:line="245" w:lineRule="auto"/>
            </w:pPr>
            <w:r>
              <w:rPr>
                <w:b w:val="0"/>
                <w:color w:val="000000"/>
                <w:sz w:val="20"/>
              </w:rPr>
              <w:t>Keine nachträgliche Änderung eines eingefrorenen Kandidaten.</w:t>
            </w:r>
          </w:p>
        </w:tc>
      </w:tr>
      <w:tr>
        <w:trPr>
          <w:cantSplit/>
        </w:trPr>
        <w:tc>
          <w:tcPr>
            <w:tcW w:type="dxa" w:w="1800"/>
            <w:vAlign w:val="center"/>
            <w:shd w:fill="F3F6F8"/>
            <w:tcMar>
              <w:top w:w="95" w:type="dxa"/>
              <w:left w:w="95" w:type="dxa"/>
              <w:bottom w:w="95" w:type="dxa"/>
              <w:right w:w="95" w:type="dxa"/>
            </w:tcMar>
          </w:tcPr>
          <w:p>
            <w:pPr>
              <w:spacing w:after="0" w:line="245" w:lineRule="auto"/>
            </w:pPr>
            <w:r>
              <w:rPr>
                <w:b w:val="0"/>
                <w:color w:val="000000"/>
                <w:sz w:val="20"/>
              </w:rPr>
              <w:t>Planer</w:t>
            </w:r>
          </w:p>
        </w:tc>
        <w:tc>
          <w:tcPr>
            <w:tcW w:type="dxa" w:w="4032"/>
            <w:vAlign w:val="center"/>
            <w:shd w:fill="F3F6F8"/>
            <w:tcMar>
              <w:top w:w="95" w:type="dxa"/>
              <w:left w:w="95" w:type="dxa"/>
              <w:bottom w:w="95" w:type="dxa"/>
              <w:right w:w="95" w:type="dxa"/>
            </w:tcMar>
          </w:tcPr>
          <w:p>
            <w:pPr>
              <w:spacing w:after="0" w:line="245" w:lineRule="auto"/>
            </w:pPr>
            <w:r>
              <w:rPr>
                <w:b w:val="0"/>
                <w:color w:val="000000"/>
                <w:sz w:val="20"/>
              </w:rPr>
              <w:t>Komplementäre Eingriffe nach gemeinsamer Trennwirkung auswählen.</w:t>
            </w:r>
          </w:p>
        </w:tc>
        <w:tc>
          <w:tcPr>
            <w:tcW w:type="dxa" w:w="3960"/>
            <w:vAlign w:val="center"/>
            <w:shd w:fill="F3F6F8"/>
            <w:tcMar>
              <w:top w:w="95" w:type="dxa"/>
              <w:left w:w="95" w:type="dxa"/>
              <w:bottom w:w="95" w:type="dxa"/>
              <w:right w:w="95" w:type="dxa"/>
            </w:tcMar>
          </w:tcPr>
          <w:p>
            <w:pPr>
              <w:spacing w:after="0" w:line="245" w:lineRule="auto"/>
            </w:pPr>
            <w:r>
              <w:rPr>
                <w:b w:val="0"/>
                <w:color w:val="000000"/>
                <w:sz w:val="20"/>
              </w:rPr>
              <w:t>Keine Zielgeometrie oder Simulatorwahrheit als Eingabe.</w:t>
            </w:r>
          </w:p>
        </w:tc>
      </w:tr>
      <w:tr>
        <w:trPr>
          <w:cantSplit/>
        </w:trPr>
        <w:tc>
          <w:tcPr>
            <w:tcW w:type="dxa" w:w="1800"/>
            <w:vAlign w:val="center"/>
            <w:shd w:fill="FFFFFF"/>
            <w:tcMar>
              <w:top w:w="95" w:type="dxa"/>
              <w:left w:w="95" w:type="dxa"/>
              <w:bottom w:w="95" w:type="dxa"/>
              <w:right w:w="95" w:type="dxa"/>
            </w:tcMar>
          </w:tcPr>
          <w:p>
            <w:pPr>
              <w:spacing w:after="0" w:line="245" w:lineRule="auto"/>
            </w:pPr>
            <w:r>
              <w:rPr>
                <w:b w:val="0"/>
                <w:color w:val="000000"/>
                <w:sz w:val="20"/>
              </w:rPr>
              <w:t>Messnode</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Registrierte Präparation und Eingriffe ausführen, Rohdaten liefern.</w:t>
            </w:r>
          </w:p>
        </w:tc>
        <w:tc>
          <w:tcPr>
            <w:tcW w:type="dxa" w:w="3960"/>
            <w:vAlign w:val="center"/>
            <w:shd w:fill="FFFFFF"/>
            <w:tcMar>
              <w:top w:w="95" w:type="dxa"/>
              <w:left w:w="95" w:type="dxa"/>
              <w:bottom w:w="95" w:type="dxa"/>
              <w:right w:w="95" w:type="dxa"/>
            </w:tcMar>
          </w:tcPr>
          <w:p>
            <w:pPr>
              <w:spacing w:after="0" w:line="245" w:lineRule="auto"/>
            </w:pPr>
            <w:r>
              <w:rPr>
                <w:b w:val="0"/>
                <w:color w:val="000000"/>
                <w:sz w:val="20"/>
              </w:rPr>
              <w:t>Wiederzustellung ist keine zusätzliche Replikation.</w:t>
            </w:r>
          </w:p>
        </w:tc>
      </w:tr>
      <w:tr>
        <w:trPr>
          <w:cantSplit/>
        </w:trPr>
        <w:tc>
          <w:tcPr>
            <w:tcW w:type="dxa" w:w="1800"/>
            <w:vAlign w:val="center"/>
            <w:shd w:fill="F3F6F8"/>
            <w:tcMar>
              <w:top w:w="95" w:type="dxa"/>
              <w:left w:w="95" w:type="dxa"/>
              <w:bottom w:w="95" w:type="dxa"/>
              <w:right w:w="95" w:type="dxa"/>
            </w:tcMar>
          </w:tcPr>
          <w:p>
            <w:pPr>
              <w:spacing w:after="0" w:line="245" w:lineRule="auto"/>
            </w:pPr>
            <w:r>
              <w:rPr>
                <w:b w:val="0"/>
                <w:color w:val="000000"/>
                <w:sz w:val="20"/>
              </w:rPr>
              <w:t>Koordinator</w:t>
            </w:r>
          </w:p>
        </w:tc>
        <w:tc>
          <w:tcPr>
            <w:tcW w:type="dxa" w:w="4032"/>
            <w:vAlign w:val="center"/>
            <w:shd w:fill="F3F6F8"/>
            <w:tcMar>
              <w:top w:w="95" w:type="dxa"/>
              <w:left w:w="95" w:type="dxa"/>
              <w:bottom w:w="95" w:type="dxa"/>
              <w:right w:w="95" w:type="dxa"/>
            </w:tcMar>
          </w:tcPr>
          <w:p>
            <w:pPr>
              <w:spacing w:after="0" w:line="245" w:lineRule="auto"/>
            </w:pPr>
            <w:r>
              <w:rPr>
                <w:b w:val="0"/>
                <w:color w:val="000000"/>
                <w:sz w:val="20"/>
              </w:rPr>
              <w:t>Probenzustand, Abhängigkeiten und vollständige Batches prüfen.</w:t>
            </w:r>
          </w:p>
        </w:tc>
        <w:tc>
          <w:tcPr>
            <w:tcW w:type="dxa" w:w="3960"/>
            <w:vAlign w:val="center"/>
            <w:shd w:fill="F3F6F8"/>
            <w:tcMar>
              <w:top w:w="95" w:type="dxa"/>
              <w:left w:w="95" w:type="dxa"/>
              <w:bottom w:w="95" w:type="dxa"/>
              <w:right w:w="95" w:type="dxa"/>
            </w:tcMar>
          </w:tcPr>
          <w:p>
            <w:pPr>
              <w:spacing w:after="0" w:line="245" w:lineRule="auto"/>
            </w:pPr>
            <w:r>
              <w:rPr>
                <w:b w:val="0"/>
                <w:color w:val="000000"/>
                <w:sz w:val="20"/>
              </w:rPr>
              <w:t>Ungültige Daten aktualisieren keine Evidenz.</w:t>
            </w:r>
          </w:p>
        </w:tc>
      </w:tr>
      <w:tr>
        <w:trPr>
          <w:cantSplit/>
        </w:trPr>
        <w:tc>
          <w:tcPr>
            <w:tcW w:type="dxa" w:w="1800"/>
            <w:vAlign w:val="center"/>
            <w:shd w:fill="FFFFFF"/>
            <w:tcMar>
              <w:top w:w="95" w:type="dxa"/>
              <w:left w:w="95" w:type="dxa"/>
              <w:bottom w:w="95" w:type="dxa"/>
              <w:right w:w="95" w:type="dxa"/>
            </w:tcMar>
          </w:tcPr>
          <w:p>
            <w:pPr>
              <w:spacing w:after="0" w:line="245" w:lineRule="auto"/>
            </w:pPr>
            <w:r>
              <w:rPr>
                <w:b w:val="0"/>
                <w:color w:val="000000"/>
                <w:sz w:val="20"/>
              </w:rPr>
              <w:t>Widerlegungsgate</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Neue Daten gegen eingefrorene Vorhersagen auswerten.</w:t>
            </w:r>
          </w:p>
        </w:tc>
        <w:tc>
          <w:tcPr>
            <w:tcW w:type="dxa" w:w="3960"/>
            <w:vAlign w:val="center"/>
            <w:shd w:fill="FFFFFF"/>
            <w:tcMar>
              <w:top w:w="95" w:type="dxa"/>
              <w:left w:w="95" w:type="dxa"/>
              <w:bottom w:w="95" w:type="dxa"/>
              <w:right w:w="95" w:type="dxa"/>
            </w:tcMar>
          </w:tcPr>
          <w:p>
            <w:pPr>
              <w:spacing w:after="0" w:line="245" w:lineRule="auto"/>
            </w:pPr>
            <w:r>
              <w:rPr>
                <w:b w:val="0"/>
                <w:color w:val="000000"/>
                <w:sz w:val="20"/>
              </w:rPr>
              <w:t>Prüfdaten werden nicht zugleich zur Reparatur des Kandidaten verwendet.</w:t>
            </w:r>
          </w:p>
        </w:tc>
      </w:tr>
    </w:tbl>
    <w:p>
      <w:pPr>
        <w:spacing w:after="0"/>
      </w:pPr>
    </w:p>
    <w:p>
      <w:pPr>
        <w:pStyle w:val="Heading2"/>
      </w:pPr>
      <w:r>
        <w:rPr>
          <w:color w:val="000000"/>
          <w:lang w:val="de-CH"/>
        </w:rPr>
        <w:t>Fingerprint und Herkunft</w:t>
      </w:r>
    </w:p>
    <w:p>
      <w:pPr>
        <w:widowControl/>
      </w:pPr>
      <w:r>
        <w:rPr>
          <w:b w:val="0"/>
          <w:lang w:val="de-CH"/>
        </w:rPr>
        <w:t>Die bestehenden Ebenen Spectrum, Degeneracy, Sector, Mode structure, Correlation, Dispersion und Dynamics bleiben benannte Beobachtungskategorien. RAX ergänzt ihre Herkunft um Systemgrösse, Auflösung, Vergröberungsverfahren, Präparation und Interventionsprotokoll. Nicht definierte Ebenen werden als NOT_APPLICABLE oder NOT_MEASURED geführt.</w:t>
      </w:r>
    </w:p>
    <w:p>
      <w:pPr>
        <w:widowControl/>
      </w:pPr>
      <w:r>
        <w:rPr>
          <w:b w:val="0"/>
          <w:lang w:val="de-CH"/>
        </w:rPr>
        <w:t>Jeder Datensatz bindet campaign_id, contract_hash, model_version, node_id, specimen_id, acquisition_id, phase, evidence_kind, raw_hash, calibration_id, quality_status und analysis_version. Ein Protokollwechsel erzeugt eine neue Version. Quellenhashes binden Inhalte; sie beweisen weder Richtigkeit noch zeitliche Präregistrierung.</w:t>
      </w:r>
    </w:p>
    <w:p>
      <w:pPr>
        <w:widowControl/>
      </w:pPr>
      <w:r>
        <w:rPr>
          <w:b w:val="0"/>
          <w:lang w:val="de-CH"/>
        </w:rPr>
        <w:t>Die aktuelle X6-Referenz besitzt einen endlichen Klassenplaner und getrennte Softwarekontrollen. RAX benötigt einen neuen Markov-Adapter und ein dauerhaftes Evidenzregister. Der vorhandene mechanikspezifische Executor ist kein allgemeiner RAX-Gerätetreiber. [10]</w:t>
      </w:r>
    </w:p>
    <w:p>
      <w:r>
        <w:rPr>
          <w:lang w:val="de-CH"/>
        </w:rPr>
        <w:br w:type="page"/>
      </w:r>
    </w:p>
    <w:p>
      <w:pPr>
        <w:pStyle w:val="Heading1"/>
      </w:pPr>
      <w:r>
        <w:rPr>
          <w:color w:val="000000"/>
          <w:lang w:val="de-CH"/>
        </w:rPr>
        <w:t>9 Gates für Symmetrie Geometrie und Theorie</w:t>
      </w:r>
    </w:p>
    <w:p>
      <w:pPr>
        <w:widowControl/>
      </w:pPr>
      <w:r>
        <w:rPr>
          <w:b w:val="0"/>
          <w:lang w:val="de-CH"/>
        </w:rPr>
        <w:t>Eine algebraische Beschreibung darf eine geometrische Repräsentation motivieren. Sie legt diese nicht allein fest. Schon Kreise verschiedener Radien besitzen dieselbe abstrakte Isometriegruppe. Nötig sind eine Wirkung auf einem geeigneten Raum, zusätzliche Struktur und eine überprüfbare Messzuordnung.</w:t>
      </w:r>
    </w:p>
    <w:p>
      <w:pPr>
        <w:widowControl/>
      </w:pPr>
      <w:r>
        <w:rPr>
          <w:b w:val="0"/>
          <w:lang w:val="de-CH"/>
        </w:rPr>
        <w:t>Ein geometrischer Kandidat benennt Trägermenge oder Mannigfaltigkeit, Regularität, gegebenenfalls Dimension, zulässige Transformationen sowie die Interpretation von Abstand, Dauer oder kausaler Erreichbarkeit. Eine invariante bilineare Form muss hinsichtlich Symmetrie, Nichtentartung und Signatur geprüft werden. Ihre Komponenten allein sind keine Messung.</w:t>
      </w:r>
    </w:p>
    <w:p>
      <w:pPr>
        <w:pStyle w:val="Heading2"/>
      </w:pPr>
      <w:r>
        <w:rPr>
          <w:color w:val="000000"/>
          <w:lang w:val="de-CH"/>
        </w:rPr>
        <w:t>Besondere Grenze für Lorentz Kandidaten</w:t>
      </w:r>
    </w:p>
    <w:p>
      <w:pPr>
        <w:widowControl/>
      </w:pPr>
      <w:r>
        <w:rPr>
          <w:b w:val="0"/>
          <w:lang w:val="de-CH"/>
        </w:rPr>
        <w:t>Gram- und Kovarianzmatrizen sind positiv semidefinit. Eine reine Basisänderung erzeugt daraus keine lorentzsche Signatur. Eine indefinite Form benötigt eine eigenständige Herleitung und operative Bedeutung. Eine gefundene Signatur allein beweist keine gemeinsame Lorentz-Invarianz aller Sektoren und keine Gravitationsdynamik.</w:t>
      </w:r>
    </w:p>
    <w:p>
      <w:pPr>
        <w:widowControl/>
      </w:pPr>
      <w:r>
        <w:rPr>
          <w:b w:val="0"/>
          <w:lang w:val="de-CH"/>
        </w:rPr>
        <w:t>Bekannte algebraische Rekonstruktionssätze arbeiten mit starken Zusatzbedingungen. Die Rekonstruktion riemannscher Geometrie aus geeigneten spektralen Tripeln liefert keine allgemeine Herleitung lorentzscher Raumzeit aus einer beliebigen Observablenalgebra.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040"/>
        <w:gridCol w:w="3528"/>
      </w:tblGrid>
      <w:tr>
        <w:trPr>
          <w:cantSplit/>
          <w:tblHeader/>
        </w:trPr>
        <w:tc>
          <w:tcPr>
            <w:tcW w:type="dxa" w:w="1224"/>
            <w:vAlign w:val="center"/>
            <w:shd w:fill="233D50"/>
            <w:tcMar>
              <w:top w:w="95" w:type="dxa"/>
              <w:left w:w="95" w:type="dxa"/>
              <w:bottom w:w="95" w:type="dxa"/>
              <w:right w:w="95" w:type="dxa"/>
            </w:tcMar>
          </w:tcPr>
          <w:p>
            <w:pPr>
              <w:spacing w:after="0" w:line="245" w:lineRule="auto"/>
              <w:jc w:val="center"/>
            </w:pPr>
            <w:r>
              <w:rPr>
                <w:b/>
                <w:color w:val="FFFFFF"/>
                <w:sz w:val="20"/>
              </w:rPr>
              <w:t>Gate</w:t>
            </w:r>
          </w:p>
        </w:tc>
        <w:tc>
          <w:tcPr>
            <w:tcW w:type="dxa" w:w="5040"/>
            <w:vAlign w:val="center"/>
            <w:shd w:fill="233D50"/>
            <w:tcMar>
              <w:top w:w="95" w:type="dxa"/>
              <w:left w:w="95" w:type="dxa"/>
              <w:bottom w:w="95" w:type="dxa"/>
              <w:right w:w="95" w:type="dxa"/>
            </w:tcMar>
          </w:tcPr>
          <w:p>
            <w:pPr>
              <w:spacing w:after="0" w:line="245" w:lineRule="auto"/>
            </w:pPr>
            <w:r>
              <w:rPr>
                <w:b/>
                <w:color w:val="FFFFFF"/>
                <w:sz w:val="20"/>
              </w:rPr>
              <w:t>Erforderliche Evidenz</w:t>
            </w:r>
          </w:p>
        </w:tc>
        <w:tc>
          <w:tcPr>
            <w:tcW w:type="dxa" w:w="3528"/>
            <w:vAlign w:val="center"/>
            <w:shd w:fill="233D50"/>
            <w:tcMar>
              <w:top w:w="95" w:type="dxa"/>
              <w:left w:w="95" w:type="dxa"/>
              <w:bottom w:w="95" w:type="dxa"/>
              <w:right w:w="95" w:type="dxa"/>
            </w:tcMar>
          </w:tcPr>
          <w:p>
            <w:pPr>
              <w:spacing w:after="0" w:line="245" w:lineRule="auto"/>
            </w:pPr>
            <w:r>
              <w:rPr>
                <w:b/>
                <w:color w:val="FFFFFF"/>
                <w:sz w:val="20"/>
              </w:rPr>
              <w:t>Ergebnis bei Nichterfüllung</w:t>
            </w:r>
          </w:p>
        </w:tc>
      </w:tr>
      <w:tr>
        <w:trPr>
          <w:cantSplit/>
        </w:trPr>
        <w:tc>
          <w:tcPr>
            <w:tcW w:type="dxa" w:w="1224"/>
            <w:vAlign w:val="center"/>
            <w:shd w:fill="FFFFFF"/>
            <w:tcMar>
              <w:top w:w="95" w:type="dxa"/>
              <w:left w:w="95" w:type="dxa"/>
              <w:bottom w:w="95" w:type="dxa"/>
              <w:right w:w="95" w:type="dxa"/>
            </w:tcMar>
          </w:tcPr>
          <w:p>
            <w:pPr>
              <w:spacing w:after="0" w:line="245" w:lineRule="auto"/>
              <w:jc w:val="center"/>
            </w:pPr>
            <w:r>
              <w:rPr>
                <w:b w:val="0"/>
                <w:color w:val="000000"/>
                <w:sz w:val="20"/>
              </w:rPr>
              <w:t>G1</w:t>
            </w:r>
          </w:p>
        </w:tc>
        <w:tc>
          <w:tcPr>
            <w:tcW w:type="dxa" w:w="5040"/>
            <w:vAlign w:val="center"/>
            <w:shd w:fill="FFFFFF"/>
            <w:tcMar>
              <w:top w:w="95" w:type="dxa"/>
              <w:left w:w="95" w:type="dxa"/>
              <w:bottom w:w="95" w:type="dxa"/>
              <w:right w:w="95" w:type="dxa"/>
            </w:tcMar>
          </w:tcPr>
          <w:p>
            <w:pPr>
              <w:spacing w:after="0" w:line="245" w:lineRule="auto"/>
            </w:pPr>
            <w:r>
              <w:rPr>
                <w:b w:val="0"/>
                <w:color w:val="000000"/>
                <w:sz w:val="20"/>
              </w:rPr>
              <w:t>Wohldefinierte Wirkung, Messzuordnung und konsistente mathematische Voraussetzungen.</w:t>
            </w:r>
          </w:p>
        </w:tc>
        <w:tc>
          <w:tcPr>
            <w:tcW w:type="dxa" w:w="3528"/>
            <w:vAlign w:val="center"/>
            <w:shd w:fill="FFFFFF"/>
            <w:tcMar>
              <w:top w:w="95" w:type="dxa"/>
              <w:left w:w="95" w:type="dxa"/>
              <w:bottom w:w="95" w:type="dxa"/>
              <w:right w:w="95" w:type="dxa"/>
            </w:tcMar>
          </w:tcPr>
          <w:p>
            <w:pPr>
              <w:spacing w:after="0" w:line="245" w:lineRule="auto"/>
            </w:pPr>
            <w:r>
              <w:rPr>
                <w:b w:val="0"/>
                <w:color w:val="000000"/>
                <w:sz w:val="20"/>
              </w:rPr>
              <w:t>GEOMETRY_NOT_IDENTIFIED</w:t>
            </w:r>
          </w:p>
        </w:tc>
      </w:tr>
      <w:tr>
        <w:trPr>
          <w:cantSplit/>
        </w:trPr>
        <w:tc>
          <w:tcPr>
            <w:tcW w:type="dxa" w:w="1224"/>
            <w:vAlign w:val="center"/>
            <w:shd w:fill="F3F6F8"/>
            <w:tcMar>
              <w:top w:w="95" w:type="dxa"/>
              <w:left w:w="95" w:type="dxa"/>
              <w:bottom w:w="95" w:type="dxa"/>
              <w:right w:w="95" w:type="dxa"/>
            </w:tcMar>
          </w:tcPr>
          <w:p>
            <w:pPr>
              <w:spacing w:after="0" w:line="245" w:lineRule="auto"/>
              <w:jc w:val="center"/>
            </w:pPr>
            <w:r>
              <w:rPr>
                <w:b w:val="0"/>
                <w:color w:val="000000"/>
                <w:sz w:val="20"/>
              </w:rPr>
              <w:t>G2</w:t>
            </w:r>
          </w:p>
        </w:tc>
        <w:tc>
          <w:tcPr>
            <w:tcW w:type="dxa" w:w="5040"/>
            <w:vAlign w:val="center"/>
            <w:shd w:fill="F3F6F8"/>
            <w:tcMar>
              <w:top w:w="95" w:type="dxa"/>
              <w:left w:w="95" w:type="dxa"/>
              <w:bottom w:w="95" w:type="dxa"/>
              <w:right w:w="95" w:type="dxa"/>
            </w:tcMar>
          </w:tcPr>
          <w:p>
            <w:pPr>
              <w:spacing w:after="0" w:line="245" w:lineRule="auto"/>
            </w:pPr>
            <w:r>
              <w:rPr>
                <w:b w:val="0"/>
                <w:color w:val="000000"/>
                <w:sz w:val="20"/>
              </w:rPr>
              <w:t>Neue räumliche, zeitliche oder relationale Messvorhersage, die nicht bereits im Fit erzwungen wurde.</w:t>
            </w:r>
          </w:p>
        </w:tc>
        <w:tc>
          <w:tcPr>
            <w:tcW w:type="dxa" w:w="3528"/>
            <w:vAlign w:val="center"/>
            <w:shd w:fill="F3F6F8"/>
            <w:tcMar>
              <w:top w:w="95" w:type="dxa"/>
              <w:left w:w="95" w:type="dxa"/>
              <w:bottom w:w="95" w:type="dxa"/>
              <w:right w:w="95" w:type="dxa"/>
            </w:tcMar>
          </w:tcPr>
          <w:p>
            <w:pPr>
              <w:spacing w:after="0" w:line="245" w:lineRule="auto"/>
            </w:pPr>
            <w:r>
              <w:rPr>
                <w:b w:val="0"/>
                <w:color w:val="000000"/>
                <w:sz w:val="20"/>
              </w:rPr>
              <w:t>Geometriekandidat bleibt unbestätigt.</w:t>
            </w:r>
          </w:p>
        </w:tc>
      </w:tr>
      <w:tr>
        <w:trPr>
          <w:cantSplit/>
        </w:trPr>
        <w:tc>
          <w:tcPr>
            <w:tcW w:type="dxa" w:w="1224"/>
            <w:vAlign w:val="center"/>
            <w:shd w:fill="FFFFFF"/>
            <w:tcMar>
              <w:top w:w="95" w:type="dxa"/>
              <w:left w:w="95" w:type="dxa"/>
              <w:bottom w:w="95" w:type="dxa"/>
              <w:right w:w="95" w:type="dxa"/>
            </w:tcMar>
          </w:tcPr>
          <w:p>
            <w:pPr>
              <w:spacing w:after="0" w:line="245" w:lineRule="auto"/>
              <w:jc w:val="center"/>
            </w:pPr>
            <w:r>
              <w:rPr>
                <w:b w:val="0"/>
                <w:color w:val="000000"/>
                <w:sz w:val="20"/>
              </w:rPr>
              <w:t>G3</w:t>
            </w:r>
          </w:p>
        </w:tc>
        <w:tc>
          <w:tcPr>
            <w:tcW w:type="dxa" w:w="5040"/>
            <w:vAlign w:val="center"/>
            <w:shd w:fill="FFFFFF"/>
            <w:tcMar>
              <w:top w:w="95" w:type="dxa"/>
              <w:left w:w="95" w:type="dxa"/>
              <w:bottom w:w="95" w:type="dxa"/>
              <w:right w:w="95" w:type="dxa"/>
            </w:tcMar>
          </w:tcPr>
          <w:p>
            <w:pPr>
              <w:spacing w:after="0" w:line="245" w:lineRule="auto"/>
            </w:pPr>
            <w:r>
              <w:rPr>
                <w:b w:val="0"/>
                <w:color w:val="000000"/>
                <w:sz w:val="20"/>
              </w:rPr>
              <w:t>Gleiche Prüfkriterien für geometrische und nicht geometrische Alternativen; dokumentierte Priorensensitivität.</w:t>
            </w:r>
          </w:p>
        </w:tc>
        <w:tc>
          <w:tcPr>
            <w:tcW w:type="dxa" w:w="3528"/>
            <w:vAlign w:val="center"/>
            <w:shd w:fill="FFFFFF"/>
            <w:tcMar>
              <w:top w:w="95" w:type="dxa"/>
              <w:left w:w="95" w:type="dxa"/>
              <w:bottom w:w="95" w:type="dxa"/>
              <w:right w:w="95" w:type="dxa"/>
            </w:tcMar>
          </w:tcPr>
          <w:p>
            <w:pPr>
              <w:spacing w:after="0" w:line="245" w:lineRule="auto"/>
            </w:pPr>
            <w:r>
              <w:rPr>
                <w:b w:val="0"/>
                <w:color w:val="000000"/>
                <w:sz w:val="20"/>
              </w:rPr>
              <w:t>Keine Auswahl zugunsten eines vorgegebenen Zielbilds.</w:t>
            </w:r>
          </w:p>
        </w:tc>
      </w:tr>
      <w:tr>
        <w:trPr>
          <w:cantSplit/>
        </w:trPr>
        <w:tc>
          <w:tcPr>
            <w:tcW w:type="dxa" w:w="1224"/>
            <w:vAlign w:val="center"/>
            <w:shd w:fill="F3F6F8"/>
            <w:tcMar>
              <w:top w:w="95" w:type="dxa"/>
              <w:left w:w="95" w:type="dxa"/>
              <w:bottom w:w="95" w:type="dxa"/>
              <w:right w:w="95" w:type="dxa"/>
            </w:tcMar>
          </w:tcPr>
          <w:p>
            <w:pPr>
              <w:spacing w:after="0" w:line="245" w:lineRule="auto"/>
              <w:jc w:val="center"/>
            </w:pPr>
            <w:r>
              <w:rPr>
                <w:b w:val="0"/>
                <w:color w:val="000000"/>
                <w:sz w:val="20"/>
              </w:rPr>
              <w:t>T1</w:t>
            </w:r>
          </w:p>
        </w:tc>
        <w:tc>
          <w:tcPr>
            <w:tcW w:type="dxa" w:w="5040"/>
            <w:vAlign w:val="center"/>
            <w:shd w:fill="F3F6F8"/>
            <w:tcMar>
              <w:top w:w="95" w:type="dxa"/>
              <w:left w:w="95" w:type="dxa"/>
              <w:bottom w:w="95" w:type="dxa"/>
              <w:right w:w="95" w:type="dxa"/>
            </w:tcMar>
          </w:tcPr>
          <w:p>
            <w:pPr>
              <w:spacing w:after="0" w:line="245" w:lineRule="auto"/>
            </w:pPr>
            <w:r>
              <w:rPr>
                <w:b w:val="0"/>
                <w:color w:val="000000"/>
                <w:sz w:val="20"/>
              </w:rPr>
              <w:t>Gemeinsame Gesetze, Generatoren, Annahmen und neue Vorhersagen in mehreren registrierten Regimen.</w:t>
            </w:r>
          </w:p>
        </w:tc>
        <w:tc>
          <w:tcPr>
            <w:tcW w:type="dxa" w:w="3528"/>
            <w:vAlign w:val="center"/>
            <w:shd w:fill="F3F6F8"/>
            <w:tcMar>
              <w:top w:w="95" w:type="dxa"/>
              <w:left w:w="95" w:type="dxa"/>
              <w:bottom w:w="95" w:type="dxa"/>
              <w:right w:w="95" w:type="dxa"/>
            </w:tcMar>
          </w:tcPr>
          <w:p>
            <w:pPr>
              <w:spacing w:after="0" w:line="245" w:lineRule="auto"/>
            </w:pPr>
            <w:r>
              <w:rPr>
                <w:b w:val="0"/>
                <w:color w:val="000000"/>
                <w:sz w:val="20"/>
              </w:rPr>
              <w:t>THEORY_NOT_ESTABLISHED</w:t>
            </w:r>
          </w:p>
        </w:tc>
      </w:tr>
    </w:tbl>
    <w:p>
      <w:pPr>
        <w:spacing w:after="0"/>
      </w:pPr>
    </w:p>
    <w:p>
      <w:pPr>
        <w:widowControl/>
      </w:pPr>
      <w:r>
        <w:rPr>
          <w:b w:val="0"/>
          <w:lang w:val="de-CH"/>
        </w:rPr>
        <w:t>Gegenversuche richten sich insbesondere auf die Vorhersagen, an denen der aktuell bevorzugte Kandidat scheitern kann. Bleibt nur eine Klasse übrig, wird fehlender Informationsgewinn nicht als Wahrheit interpretiert. Es folgen absolute Vorhersageprüfungen, neue Gegenhypothesen oder die dokumentierte Grenze des Modellraums.</w:t>
      </w:r>
    </w:p>
    <w:p>
      <w:r>
        <w:rPr>
          <w:lang w:val="de-CH"/>
        </w:rPr>
        <w:br w:type="page"/>
      </w:r>
    </w:p>
    <w:p>
      <w:pPr>
        <w:pStyle w:val="Heading1"/>
      </w:pPr>
      <w:r>
        <w:rPr>
          <w:color w:val="000000"/>
          <w:lang w:val="de-CH"/>
        </w:rPr>
        <w:t>10 Singularitätshypothesen und RAX S1</w:t>
      </w:r>
    </w:p>
    <w:p>
      <w:pPr>
        <w:widowControl/>
      </w:pPr>
      <w:r>
        <w:rPr>
          <w:b w:val="0"/>
          <w:lang w:val="de-CH"/>
        </w:rPr>
        <w:t>RAX-S1 bezeichnet einen späteren Test auf parameterabhängige Änderungen der effektiven Beschreibung. Er setzt geeignete Ergebnisse aus U2 und, für geometrische Aussagen, aus G1/G2 voraus. Die Bezeichnung Singularität ist bis dahin eine Hypothese mit mehreren getrennten Bedeutungen.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032"/>
        <w:gridCol w:w="4032"/>
      </w:tblGrid>
      <w:tr>
        <w:trPr>
          <w:cantSplit/>
          <w:tblHeader/>
        </w:trPr>
        <w:tc>
          <w:tcPr>
            <w:tcW w:type="dxa" w:w="1728"/>
            <w:vAlign w:val="center"/>
            <w:shd w:fill="233D50"/>
            <w:tcMar>
              <w:top w:w="95" w:type="dxa"/>
              <w:left w:w="95" w:type="dxa"/>
              <w:bottom w:w="95" w:type="dxa"/>
              <w:right w:w="95" w:type="dxa"/>
            </w:tcMar>
          </w:tcPr>
          <w:p>
            <w:pPr>
              <w:spacing w:after="0" w:line="245" w:lineRule="auto"/>
            </w:pPr>
            <w:r>
              <w:rPr>
                <w:b/>
                <w:color w:val="FFFFFF"/>
                <w:sz w:val="20"/>
              </w:rPr>
              <w:t>Diagnose</w:t>
            </w:r>
          </w:p>
        </w:tc>
        <w:tc>
          <w:tcPr>
            <w:tcW w:type="dxa" w:w="4032"/>
            <w:vAlign w:val="center"/>
            <w:shd w:fill="233D50"/>
            <w:tcMar>
              <w:top w:w="95" w:type="dxa"/>
              <w:left w:w="95" w:type="dxa"/>
              <w:bottom w:w="95" w:type="dxa"/>
              <w:right w:w="95" w:type="dxa"/>
            </w:tcMar>
          </w:tcPr>
          <w:p>
            <w:pPr>
              <w:spacing w:after="0" w:line="245" w:lineRule="auto"/>
            </w:pPr>
            <w:r>
              <w:rPr>
                <w:b/>
                <w:color w:val="FFFFFF"/>
                <w:sz w:val="20"/>
              </w:rPr>
              <w:t>Was gemessen wird</w:t>
            </w:r>
          </w:p>
        </w:tc>
        <w:tc>
          <w:tcPr>
            <w:tcW w:type="dxa" w:w="4032"/>
            <w:vAlign w:val="center"/>
            <w:shd w:fill="233D50"/>
            <w:tcMar>
              <w:top w:w="95" w:type="dxa"/>
              <w:left w:w="95" w:type="dxa"/>
              <w:bottom w:w="95" w:type="dxa"/>
              <w:right w:w="95" w:type="dxa"/>
            </w:tcMar>
          </w:tcPr>
          <w:p>
            <w:pPr>
              <w:spacing w:after="0" w:line="245" w:lineRule="auto"/>
            </w:pPr>
            <w:r>
              <w:rPr>
                <w:b/>
                <w:color w:val="FFFFFF"/>
                <w:sz w:val="20"/>
              </w:rPr>
              <w:t>Pflichtkontrolle</w:t>
            </w:r>
          </w:p>
        </w:tc>
      </w:tr>
      <w:tr>
        <w:trPr>
          <w:cantSplit/>
        </w:trPr>
        <w:tc>
          <w:tcPr>
            <w:tcW w:type="dxa" w:w="1728"/>
            <w:vAlign w:val="center"/>
            <w:shd w:fill="FFFFFF"/>
            <w:tcMar>
              <w:top w:w="95" w:type="dxa"/>
              <w:left w:w="95" w:type="dxa"/>
              <w:bottom w:w="95" w:type="dxa"/>
              <w:right w:w="95" w:type="dxa"/>
            </w:tcMar>
          </w:tcPr>
          <w:p>
            <w:pPr>
              <w:spacing w:after="0" w:line="245" w:lineRule="auto"/>
            </w:pPr>
            <w:r>
              <w:rPr>
                <w:b w:val="0"/>
                <w:color w:val="000000"/>
                <w:sz w:val="20"/>
              </w:rPr>
              <w:t>S1a Reduktionsfluss</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Fehlende Konvergenz, Zyklen oder divergierende Grössen.</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Normierung, Algorithmusstabilität und mögliche Grenzzyklen.</w:t>
            </w:r>
          </w:p>
        </w:tc>
      </w:tr>
      <w:tr>
        <w:trPr>
          <w:cantSplit/>
        </w:trPr>
        <w:tc>
          <w:tcPr>
            <w:tcW w:type="dxa" w:w="1728"/>
            <w:vAlign w:val="center"/>
            <w:shd w:fill="F3F6F8"/>
            <w:tcMar>
              <w:top w:w="95" w:type="dxa"/>
              <w:left w:w="95" w:type="dxa"/>
              <w:bottom w:w="95" w:type="dxa"/>
              <w:right w:w="95" w:type="dxa"/>
            </w:tcMar>
          </w:tcPr>
          <w:p>
            <w:pPr>
              <w:spacing w:after="0" w:line="245" w:lineRule="auto"/>
            </w:pPr>
            <w:r>
              <w:rPr>
                <w:b w:val="0"/>
                <w:color w:val="000000"/>
                <w:sz w:val="20"/>
              </w:rPr>
              <w:t>S1b Klassen</w:t>
            </w:r>
          </w:p>
        </w:tc>
        <w:tc>
          <w:tcPr>
            <w:tcW w:type="dxa" w:w="4032"/>
            <w:vAlign w:val="center"/>
            <w:shd w:fill="F3F6F8"/>
            <w:tcMar>
              <w:top w:w="95" w:type="dxa"/>
              <w:left w:w="95" w:type="dxa"/>
              <w:bottom w:w="95" w:type="dxa"/>
              <w:right w:w="95" w:type="dxa"/>
            </w:tcMar>
          </w:tcPr>
          <w:p>
            <w:pPr>
              <w:spacing w:after="0" w:line="245" w:lineRule="auto"/>
            </w:pPr>
            <w:r>
              <w:rPr>
                <w:b w:val="0"/>
                <w:color w:val="000000"/>
                <w:sz w:val="20"/>
              </w:rPr>
              <w:t>Veränderung einer registrierten Partition oder ihrer empirischen Trennbarkeit.</w:t>
            </w:r>
          </w:p>
        </w:tc>
        <w:tc>
          <w:tcPr>
            <w:tcW w:type="dxa" w:w="4032"/>
            <w:vAlign w:val="center"/>
            <w:shd w:fill="F3F6F8"/>
            <w:tcMar>
              <w:top w:w="95" w:type="dxa"/>
              <w:left w:w="95" w:type="dxa"/>
              <w:bottom w:w="95" w:type="dxa"/>
              <w:right w:w="95" w:type="dxa"/>
            </w:tcMar>
          </w:tcPr>
          <w:p>
            <w:pPr>
              <w:spacing w:after="0" w:line="245" w:lineRule="auto"/>
            </w:pPr>
            <w:r>
              <w:rPr>
                <w:b w:val="0"/>
                <w:color w:val="000000"/>
                <w:sz w:val="20"/>
              </w:rPr>
              <w:t>Die Äquivalenzrelation selbst bleibt korrekt; Schwellenartefakte prüfen.</w:t>
            </w:r>
          </w:p>
        </w:tc>
      </w:tr>
      <w:tr>
        <w:trPr>
          <w:cantSplit/>
        </w:trPr>
        <w:tc>
          <w:tcPr>
            <w:tcW w:type="dxa" w:w="1728"/>
            <w:vAlign w:val="center"/>
            <w:shd w:fill="FFFFFF"/>
            <w:tcMar>
              <w:top w:w="95" w:type="dxa"/>
              <w:left w:w="95" w:type="dxa"/>
              <w:bottom w:w="95" w:type="dxa"/>
              <w:right w:w="95" w:type="dxa"/>
            </w:tcMar>
          </w:tcPr>
          <w:p>
            <w:pPr>
              <w:spacing w:after="0" w:line="245" w:lineRule="auto"/>
            </w:pPr>
            <w:r>
              <w:rPr>
                <w:b w:val="0"/>
                <w:color w:val="000000"/>
                <w:sz w:val="20"/>
              </w:rPr>
              <w:t>S1c Algebra</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Rang eines benannten Operators, Dimension einer erzeugten Algebra oder Parameteridentifizierbarkeit.</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Diese Grössen getrennt berichten; Basis und Rauschschwelle angeben.</w:t>
            </w:r>
          </w:p>
        </w:tc>
      </w:tr>
      <w:tr>
        <w:trPr>
          <w:cantSplit/>
        </w:trPr>
        <w:tc>
          <w:tcPr>
            <w:tcW w:type="dxa" w:w="1728"/>
            <w:vAlign w:val="center"/>
            <w:shd w:fill="F3F6F8"/>
            <w:tcMar>
              <w:top w:w="95" w:type="dxa"/>
              <w:left w:w="95" w:type="dxa"/>
              <w:bottom w:w="95" w:type="dxa"/>
              <w:right w:w="95" w:type="dxa"/>
            </w:tcMar>
          </w:tcPr>
          <w:p>
            <w:pPr>
              <w:spacing w:after="0" w:line="245" w:lineRule="auto"/>
            </w:pPr>
            <w:r>
              <w:rPr>
                <w:b w:val="0"/>
                <w:color w:val="000000"/>
                <w:sz w:val="20"/>
              </w:rPr>
              <w:t>S1d Geometrie</w:t>
            </w:r>
          </w:p>
        </w:tc>
        <w:tc>
          <w:tcPr>
            <w:tcW w:type="dxa" w:w="4032"/>
            <w:vAlign w:val="center"/>
            <w:shd w:fill="F3F6F8"/>
            <w:tcMar>
              <w:top w:w="95" w:type="dxa"/>
              <w:left w:w="95" w:type="dxa"/>
              <w:bottom w:w="95" w:type="dxa"/>
              <w:right w:w="95" w:type="dxa"/>
            </w:tcMar>
          </w:tcPr>
          <w:p>
            <w:pPr>
              <w:spacing w:after="0" w:line="245" w:lineRule="auto"/>
            </w:pPr>
            <w:r>
              <w:rPr>
                <w:b w:val="0"/>
                <w:color w:val="000000"/>
                <w:sz w:val="20"/>
              </w:rPr>
              <w:t>Degeneration oder Grenzverhalten einer eigenständig begründeten Geometrie.</w:t>
            </w:r>
          </w:p>
        </w:tc>
        <w:tc>
          <w:tcPr>
            <w:tcW w:type="dxa" w:w="4032"/>
            <w:vAlign w:val="center"/>
            <w:shd w:fill="F3F6F8"/>
            <w:tcMar>
              <w:top w:w="95" w:type="dxa"/>
              <w:left w:w="95" w:type="dxa"/>
              <w:bottom w:w="95" w:type="dxa"/>
              <w:right w:w="95" w:type="dxa"/>
            </w:tcMar>
          </w:tcPr>
          <w:p>
            <w:pPr>
              <w:spacing w:after="0" w:line="245" w:lineRule="auto"/>
            </w:pPr>
            <w:r>
              <w:rPr>
                <w:b w:val="0"/>
                <w:color w:val="000000"/>
                <w:sz w:val="20"/>
              </w:rPr>
              <w:t>Reguläre Koordinaten, Fortsetzbarkeit und unabhängige Messzuordnung.</w:t>
            </w:r>
          </w:p>
        </w:tc>
      </w:tr>
      <w:tr>
        <w:trPr>
          <w:cantSplit/>
        </w:trPr>
        <w:tc>
          <w:tcPr>
            <w:tcW w:type="dxa" w:w="1728"/>
            <w:vAlign w:val="center"/>
            <w:shd w:fill="FFFFFF"/>
            <w:tcMar>
              <w:top w:w="95" w:type="dxa"/>
              <w:left w:w="95" w:type="dxa"/>
              <w:bottom w:w="95" w:type="dxa"/>
              <w:right w:w="95" w:type="dxa"/>
            </w:tcMar>
          </w:tcPr>
          <w:p>
            <w:pPr>
              <w:spacing w:after="0" w:line="245" w:lineRule="auto"/>
            </w:pPr>
            <w:r>
              <w:rPr>
                <w:b w:val="0"/>
                <w:color w:val="000000"/>
                <w:sz w:val="20"/>
              </w:rPr>
              <w:t>S1e Information</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Beschreibungslänge und Vorhersageverlust unter festem Code.</w:t>
            </w:r>
          </w:p>
        </w:tc>
        <w:tc>
          <w:tcPr>
            <w:tcW w:type="dxa" w:w="4032"/>
            <w:vAlign w:val="center"/>
            <w:shd w:fill="FFFFFF"/>
            <w:tcMar>
              <w:top w:w="95" w:type="dxa"/>
              <w:left w:w="95" w:type="dxa"/>
              <w:bottom w:w="95" w:type="dxa"/>
              <w:right w:w="95" w:type="dxa"/>
            </w:tcMar>
          </w:tcPr>
          <w:p>
            <w:pPr>
              <w:spacing w:after="0" w:line="245" w:lineRule="auto"/>
            </w:pPr>
            <w:r>
              <w:rPr>
                <w:b w:val="0"/>
                <w:color w:val="000000"/>
                <w:sz w:val="20"/>
              </w:rPr>
              <w:t>Rauschen, Stichprobenumfang und Präparationswechsel kontrollieren.</w:t>
            </w:r>
          </w:p>
        </w:tc>
      </w:tr>
    </w:tbl>
    <w:p>
      <w:pPr>
        <w:spacing w:after="0"/>
      </w:pPr>
    </w:p>
    <w:p>
      <w:pPr>
        <w:widowControl/>
      </w:pPr>
      <w:r>
        <w:rPr>
          <w:b w:val="0"/>
          <w:lang w:val="de-CH"/>
        </w:rPr>
        <w:t>Ein Rangwechsel einer analytischen Matrixfamilie ist allein noch keine physische Singularität. Ebenso ist eine von einem Operator unmittelbar abgeleitete metrische Degeneration keine unabhängige Entdeckung. Für quadratisches K gilt:</w:t>
      </w:r>
    </w:p>
    <w:p>
      <w:pPr>
        <w:spacing w:before="80" w:after="180"/>
        <w:jc w:val="center"/>
      </w:pPr>
      <m:oMathPara>
        <m:oMath>
          <m:r>
            <m:t>g = </m:t>
          </m:r>
          <m:sSup>
            <m:e>
              <m:r>
                <m:t>K</m:t>
              </m:r>
            </m:e>
            <m:sup>
              <m:r>
                <m:t>T</m:t>
              </m:r>
            </m:sup>
          </m:sSup>
          <m:r>
            <m:t>K   ⇒   det(g) = </m:t>
          </m:r>
          <m:sSup>
            <m:e>
              <m:r>
                <m:t>(det K)</m:t>
              </m:r>
            </m:e>
            <m:sup>
              <m:r>
                <m:t>2</m:t>
              </m:r>
            </m:sup>
          </m:sSup>
        </m:oMath>
      </m:oMathPara>
    </w:p>
    <w:p>
      <w:pPr>
        <w:widowControl/>
      </w:pPr>
      <w:r>
        <w:rPr>
          <w:b w:val="0"/>
          <w:lang w:val="de-CH"/>
        </w:rPr>
        <w:t>Die Behauptung, eine algebraische Änderung trete vor einer geometrischen auf, muss die Ordnungsvariable angeben: Kontrollparameter, Vergröberungstiefe oder physische Zeit. Übergangspositionen erhalten Unsicherheitsintervalle und werden über Systemgrössen sowie alternative Auswerteverfahren verglichen. Zeitliche Reihenfolge allein belegt keine Verursachung.</w:t>
      </w:r>
    </w:p>
    <w:p>
      <w:pPr>
        <w:widowControl/>
      </w:pPr>
      <w:r>
        <w:rPr>
          <w:b w:val="0"/>
          <w:lang w:val="de-CH"/>
        </w:rPr>
        <w:t>Eine relativistische Raumzeitsingularität wird nicht durch einen beliebigen Rangverlust ersetzt. Die klassischen Singularitätstheoreme betreffen geodätische Unvollständigkeit unter bestimmten Voraussetzungen; Fortsetzbarkeit und geometrische Regularität bleiben eigenständige Fragen. [9]</w:t>
      </w:r>
    </w:p>
    <w:p>
      <w:pPr>
        <w:widowControl/>
      </w:pPr>
      <w:r>
        <w:rPr>
          <w:b w:val="0"/>
          <w:lang w:val="de-CH"/>
        </w:rPr>
        <w:t>Zulässige erste Aussage nach bestandenem S1 ist ein reproduzierbarer Zusammenhang zwischen spezifizierten Diagnosegrössen im geprüften Modell. Die Deutung als Ursprung einer geometrischen Singularität benötigt einen zusätzlichen theoretischen und empirischen Nachweis.</w:t>
      </w:r>
    </w:p>
    <w:p>
      <w:r>
        <w:rPr>
          <w:lang w:val="de-CH"/>
        </w:rPr>
        <w:br w:type="page"/>
      </w:r>
    </w:p>
    <w:p>
      <w:pPr>
        <w:pStyle w:val="Heading1"/>
      </w:pPr>
      <w:r>
        <w:rPr>
          <w:color w:val="000000"/>
          <w:lang w:val="de-CH"/>
        </w:rPr>
        <w:t>11 Arbeitspakete und Abhängigkeiten</w:t>
      </w:r>
    </w:p>
    <w:p>
      <w:pPr>
        <w:widowControl/>
      </w:pPr>
      <w:r>
        <w:rPr>
          <w:b w:val="0"/>
          <w:lang w:val="de-CH"/>
        </w:rPr>
        <w:t>Die Umsetzung erfolgt nach Gates. Für ungeklärte physikalische Profile werden keine Laufzeiten oder Erfolgswahrscheinlichkeiten versprochen. Die ersten beiden Pakete sind vollständig softwarebasiert und benötigen keine neuen Messgeräte.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248"/>
        <w:gridCol w:w="4536"/>
      </w:tblGrid>
      <w:tr>
        <w:trPr>
          <w:cantSplit/>
          <w:tblHeader/>
        </w:trPr>
        <w:tc>
          <w:tcPr>
            <w:tcW w:type="dxa" w:w="1008"/>
            <w:vAlign w:val="center"/>
            <w:shd w:fill="233D50"/>
            <w:tcMar>
              <w:top w:w="95" w:type="dxa"/>
              <w:left w:w="95" w:type="dxa"/>
              <w:bottom w:w="95" w:type="dxa"/>
              <w:right w:w="95" w:type="dxa"/>
            </w:tcMar>
          </w:tcPr>
          <w:p>
            <w:pPr>
              <w:spacing w:after="0" w:line="245" w:lineRule="auto"/>
              <w:jc w:val="center"/>
            </w:pPr>
            <w:r>
              <w:rPr>
                <w:b/>
                <w:color w:val="FFFFFF"/>
                <w:sz w:val="20"/>
              </w:rPr>
              <w:t>Paket</w:t>
            </w:r>
          </w:p>
        </w:tc>
        <w:tc>
          <w:tcPr>
            <w:tcW w:type="dxa" w:w="4248"/>
            <w:vAlign w:val="center"/>
            <w:shd w:fill="233D50"/>
            <w:tcMar>
              <w:top w:w="95" w:type="dxa"/>
              <w:left w:w="95" w:type="dxa"/>
              <w:bottom w:w="95" w:type="dxa"/>
              <w:right w:w="95" w:type="dxa"/>
            </w:tcMar>
          </w:tcPr>
          <w:p>
            <w:pPr>
              <w:spacing w:after="0" w:line="245" w:lineRule="auto"/>
            </w:pPr>
            <w:r>
              <w:rPr>
                <w:b/>
                <w:color w:val="FFFFFF"/>
                <w:sz w:val="20"/>
              </w:rPr>
              <w:t>Liefergegenstand</w:t>
            </w:r>
          </w:p>
        </w:tc>
        <w:tc>
          <w:tcPr>
            <w:tcW w:type="dxa" w:w="4536"/>
            <w:vAlign w:val="center"/>
            <w:shd w:fill="233D50"/>
            <w:tcMar>
              <w:top w:w="95" w:type="dxa"/>
              <w:left w:w="95" w:type="dxa"/>
              <w:bottom w:w="95" w:type="dxa"/>
              <w:right w:w="95" w:type="dxa"/>
            </w:tcMar>
          </w:tcPr>
          <w:p>
            <w:pPr>
              <w:spacing w:after="0" w:line="245" w:lineRule="auto"/>
            </w:pPr>
            <w:r>
              <w:rPr>
                <w:b/>
                <w:color w:val="FFFFFF"/>
                <w:sz w:val="20"/>
              </w:rPr>
              <w:t>Abnahme und Abhängigkeit</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AP1</w:t>
            </w:r>
          </w:p>
        </w:tc>
        <w:tc>
          <w:tcPr>
            <w:tcW w:type="dxa" w:w="4248"/>
            <w:vAlign w:val="center"/>
            <w:shd w:fill="FFFFFF"/>
            <w:tcMar>
              <w:top w:w="95" w:type="dxa"/>
              <w:left w:w="95" w:type="dxa"/>
              <w:bottom w:w="95" w:type="dxa"/>
              <w:right w:w="95" w:type="dxa"/>
            </w:tcMar>
          </w:tcPr>
          <w:p>
            <w:pPr>
              <w:spacing w:after="0" w:line="245" w:lineRule="auto"/>
            </w:pPr>
            <w:r>
              <w:rPr>
                <w:b w:val="0"/>
                <w:color w:val="000000"/>
                <w:sz w:val="20"/>
              </w:rPr>
              <w:t>RAX-U1-Vertrag, kanonische Konfiguration, Mikrogeneratoren und rationaler Referenzprüfer.</w:t>
            </w:r>
          </w:p>
        </w:tc>
        <w:tc>
          <w:tcPr>
            <w:tcW w:type="dxa" w:w="4536"/>
            <w:vAlign w:val="center"/>
            <w:shd w:fill="FFFFFF"/>
            <w:tcMar>
              <w:top w:w="95" w:type="dxa"/>
              <w:left w:w="95" w:type="dxa"/>
              <w:bottom w:w="95" w:type="dxa"/>
              <w:right w:w="95" w:type="dxa"/>
            </w:tcMar>
          </w:tcPr>
          <w:p>
            <w:pPr>
              <w:spacing w:after="0" w:line="245" w:lineRule="auto"/>
            </w:pPr>
            <w:r>
              <w:rPr>
                <w:b w:val="0"/>
                <w:color w:val="000000"/>
                <w:sz w:val="20"/>
              </w:rPr>
              <w:t>Gültige Übergangsmatrizen; exakte U1-Identitäten; Gegenkontrollen; Freeze vor Statistik.</w:t>
            </w:r>
          </w:p>
        </w:tc>
      </w:tr>
      <w:tr>
        <w:trPr>
          <w:cantSplit/>
        </w:trPr>
        <w:tc>
          <w:tcPr>
            <w:tcW w:type="dxa" w:w="1008"/>
            <w:vAlign w:val="center"/>
            <w:shd w:fill="F3F6F8"/>
            <w:tcMar>
              <w:top w:w="95" w:type="dxa"/>
              <w:left w:w="95" w:type="dxa"/>
              <w:bottom w:w="95" w:type="dxa"/>
              <w:right w:w="95" w:type="dxa"/>
            </w:tcMar>
          </w:tcPr>
          <w:p>
            <w:pPr>
              <w:spacing w:after="0" w:line="245" w:lineRule="auto"/>
              <w:jc w:val="center"/>
            </w:pPr>
            <w:r>
              <w:rPr>
                <w:b w:val="0"/>
                <w:color w:val="000000"/>
                <w:sz w:val="20"/>
              </w:rPr>
              <w:t>AP2</w:t>
            </w:r>
          </w:p>
        </w:tc>
        <w:tc>
          <w:tcPr>
            <w:tcW w:type="dxa" w:w="4248"/>
            <w:vAlign w:val="center"/>
            <w:shd w:fill="F3F6F8"/>
            <w:tcMar>
              <w:top w:w="95" w:type="dxa"/>
              <w:left w:w="95" w:type="dxa"/>
              <w:bottom w:w="95" w:type="dxa"/>
              <w:right w:w="95" w:type="dxa"/>
            </w:tcMar>
          </w:tcPr>
          <w:p>
            <w:pPr>
              <w:spacing w:after="0" w:line="245" w:lineRule="auto"/>
            </w:pPr>
            <w:r>
              <w:rPr>
                <w:b w:val="0"/>
                <w:color w:val="000000"/>
                <w:sz w:val="20"/>
              </w:rPr>
              <w:t>Markov-Messadapter, feste 160-Zellen-Qualifikation und unabhängiger Auswerter.</w:t>
            </w:r>
          </w:p>
        </w:tc>
        <w:tc>
          <w:tcPr>
            <w:tcW w:type="dxa" w:w="4536"/>
            <w:vAlign w:val="center"/>
            <w:shd w:fill="F3F6F8"/>
            <w:tcMar>
              <w:top w:w="95" w:type="dxa"/>
              <w:left w:w="95" w:type="dxa"/>
              <w:bottom w:w="95" w:type="dxa"/>
              <w:right w:w="95" w:type="dxa"/>
            </w:tcMar>
          </w:tcPr>
          <w:p>
            <w:pPr>
              <w:spacing w:after="0" w:line="245" w:lineRule="auto"/>
            </w:pPr>
            <w:r>
              <w:rPr>
                <w:b w:val="0"/>
                <w:color w:val="000000"/>
                <w:sz w:val="20"/>
              </w:rPr>
              <w:t>Vollständiges Rohdatenpaket; simultane Intervalle; Replay; korrektes INVALID und INCONCLUSIVE. Voraussetzung AP1.</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AP3</w:t>
            </w:r>
          </w:p>
        </w:tc>
        <w:tc>
          <w:tcPr>
            <w:tcW w:type="dxa" w:w="4248"/>
            <w:vAlign w:val="center"/>
            <w:shd w:fill="FFFFFF"/>
            <w:tcMar>
              <w:top w:w="95" w:type="dxa"/>
              <w:left w:w="95" w:type="dxa"/>
              <w:bottom w:w="95" w:type="dxa"/>
              <w:right w:w="95" w:type="dxa"/>
            </w:tcMar>
          </w:tcPr>
          <w:p>
            <w:pPr>
              <w:spacing w:after="0" w:line="245" w:lineRule="auto"/>
            </w:pPr>
            <w:r>
              <w:rPr>
                <w:b w:val="0"/>
                <w:color w:val="000000"/>
                <w:sz w:val="20"/>
              </w:rPr>
              <w:t>U2-Kandidatenregister, Reduktionssuche und aktive Messplanung.</w:t>
            </w:r>
          </w:p>
        </w:tc>
        <w:tc>
          <w:tcPr>
            <w:tcW w:type="dxa" w:w="4536"/>
            <w:vAlign w:val="center"/>
            <w:shd w:fill="FFFFFF"/>
            <w:tcMar>
              <w:top w:w="95" w:type="dxa"/>
              <w:left w:w="95" w:type="dxa"/>
              <w:bottom w:w="95" w:type="dxa"/>
              <w:right w:w="95" w:type="dxa"/>
            </w:tcMar>
          </w:tcPr>
          <w:p>
            <w:pPr>
              <w:spacing w:after="0" w:line="245" w:lineRule="auto"/>
            </w:pPr>
            <w:r>
              <w:rPr>
                <w:b w:val="0"/>
                <w:color w:val="000000"/>
                <w:sz w:val="20"/>
              </w:rPr>
              <w:t>Neue Ensembles und Eingriffe; Vergleich mit festen und zufälligen Plänen bei gleichem Budget. Voraussetzung AP2.</w:t>
            </w:r>
          </w:p>
        </w:tc>
      </w:tr>
      <w:tr>
        <w:trPr>
          <w:cantSplit/>
        </w:trPr>
        <w:tc>
          <w:tcPr>
            <w:tcW w:type="dxa" w:w="1008"/>
            <w:vAlign w:val="center"/>
            <w:shd w:fill="F3F6F8"/>
            <w:tcMar>
              <w:top w:w="95" w:type="dxa"/>
              <w:left w:w="95" w:type="dxa"/>
              <w:bottom w:w="95" w:type="dxa"/>
              <w:right w:w="95" w:type="dxa"/>
            </w:tcMar>
          </w:tcPr>
          <w:p>
            <w:pPr>
              <w:spacing w:after="0" w:line="245" w:lineRule="auto"/>
              <w:jc w:val="center"/>
            </w:pPr>
            <w:r>
              <w:rPr>
                <w:b w:val="0"/>
                <w:color w:val="000000"/>
                <w:sz w:val="20"/>
              </w:rPr>
              <w:t>AP4</w:t>
            </w:r>
          </w:p>
        </w:tc>
        <w:tc>
          <w:tcPr>
            <w:tcW w:type="dxa" w:w="4248"/>
            <w:vAlign w:val="center"/>
            <w:shd w:fill="F3F6F8"/>
            <w:tcMar>
              <w:top w:w="95" w:type="dxa"/>
              <w:left w:w="95" w:type="dxa"/>
              <w:bottom w:w="95" w:type="dxa"/>
              <w:right w:w="95" w:type="dxa"/>
            </w:tcMar>
          </w:tcPr>
          <w:p>
            <w:pPr>
              <w:spacing w:after="0" w:line="245" w:lineRule="auto"/>
            </w:pPr>
            <w:r>
              <w:rPr>
                <w:b w:val="0"/>
                <w:color w:val="000000"/>
                <w:sz w:val="20"/>
              </w:rPr>
              <w:t>Skalenstudie mit mindestens zwei Vergröberungsverfahren.</w:t>
            </w:r>
          </w:p>
        </w:tc>
        <w:tc>
          <w:tcPr>
            <w:tcW w:type="dxa" w:w="4536"/>
            <w:vAlign w:val="center"/>
            <w:shd w:fill="F3F6F8"/>
            <w:tcMar>
              <w:top w:w="95" w:type="dxa"/>
              <w:left w:w="95" w:type="dxa"/>
              <w:bottom w:w="95" w:type="dxa"/>
              <w:right w:w="95" w:type="dxa"/>
            </w:tcMar>
          </w:tcPr>
          <w:p>
            <w:pPr>
              <w:spacing w:after="0" w:line="245" w:lineRule="auto"/>
            </w:pPr>
            <w:r>
              <w:rPr>
                <w:b w:val="0"/>
                <w:color w:val="000000"/>
                <w:sz w:val="20"/>
              </w:rPr>
              <w:t>Prädiktive Stabilität, Negativkontrollen und ausgewiesene endliche Grösseneffekte. Voraussetzung AP3.</w:t>
            </w:r>
          </w:p>
        </w:tc>
      </w:tr>
      <w:tr>
        <w:trPr>
          <w:cantSplit/>
        </w:trPr>
        <w:tc>
          <w:tcPr>
            <w:tcW w:type="dxa" w:w="1008"/>
            <w:vAlign w:val="center"/>
            <w:shd w:fill="FFFFFF"/>
            <w:tcMar>
              <w:top w:w="95" w:type="dxa"/>
              <w:left w:w="95" w:type="dxa"/>
              <w:bottom w:w="95" w:type="dxa"/>
              <w:right w:w="95" w:type="dxa"/>
            </w:tcMar>
          </w:tcPr>
          <w:p>
            <w:pPr>
              <w:spacing w:after="0" w:line="245" w:lineRule="auto"/>
              <w:jc w:val="center"/>
            </w:pPr>
            <w:r>
              <w:rPr>
                <w:b w:val="0"/>
                <w:color w:val="000000"/>
                <w:sz w:val="20"/>
              </w:rPr>
              <w:t>AP5</w:t>
            </w:r>
          </w:p>
        </w:tc>
        <w:tc>
          <w:tcPr>
            <w:tcW w:type="dxa" w:w="4248"/>
            <w:vAlign w:val="center"/>
            <w:shd w:fill="FFFFFF"/>
            <w:tcMar>
              <w:top w:w="95" w:type="dxa"/>
              <w:left w:w="95" w:type="dxa"/>
              <w:bottom w:w="95" w:type="dxa"/>
              <w:right w:w="95" w:type="dxa"/>
            </w:tcMar>
          </w:tcPr>
          <w:p>
            <w:pPr>
              <w:spacing w:after="0" w:line="245" w:lineRule="auto"/>
            </w:pPr>
            <w:r>
              <w:rPr>
                <w:b w:val="0"/>
                <w:color w:val="000000"/>
                <w:sz w:val="20"/>
              </w:rPr>
              <w:t>Operativ begründete Geometriekandidaten und Theoriepakete.</w:t>
            </w:r>
          </w:p>
        </w:tc>
        <w:tc>
          <w:tcPr>
            <w:tcW w:type="dxa" w:w="4536"/>
            <w:vAlign w:val="center"/>
            <w:shd w:fill="FFFFFF"/>
            <w:tcMar>
              <w:top w:w="95" w:type="dxa"/>
              <w:left w:w="95" w:type="dxa"/>
              <w:bottom w:w="95" w:type="dxa"/>
              <w:right w:w="95" w:type="dxa"/>
            </w:tcMar>
          </w:tcPr>
          <w:p>
            <w:pPr>
              <w:spacing w:after="0" w:line="245" w:lineRule="auto"/>
            </w:pPr>
            <w:r>
              <w:rPr>
                <w:b w:val="0"/>
                <w:color w:val="000000"/>
                <w:sz w:val="20"/>
              </w:rPr>
              <w:t>G1 bis G3 und T1; unabhängige Vorhersagen. Kein Zwang zu einer geometrischen Beschreibung.</w:t>
            </w:r>
          </w:p>
        </w:tc>
      </w:tr>
      <w:tr>
        <w:trPr>
          <w:cantSplit/>
        </w:trPr>
        <w:tc>
          <w:tcPr>
            <w:tcW w:type="dxa" w:w="1008"/>
            <w:vAlign w:val="center"/>
            <w:shd w:fill="F3F6F8"/>
            <w:tcMar>
              <w:top w:w="95" w:type="dxa"/>
              <w:left w:w="95" w:type="dxa"/>
              <w:bottom w:w="95" w:type="dxa"/>
              <w:right w:w="95" w:type="dxa"/>
            </w:tcMar>
          </w:tcPr>
          <w:p>
            <w:pPr>
              <w:spacing w:after="0" w:line="245" w:lineRule="auto"/>
              <w:jc w:val="center"/>
            </w:pPr>
            <w:r>
              <w:rPr>
                <w:b w:val="0"/>
                <w:color w:val="000000"/>
                <w:sz w:val="20"/>
              </w:rPr>
              <w:t>AP6</w:t>
            </w:r>
          </w:p>
        </w:tc>
        <w:tc>
          <w:tcPr>
            <w:tcW w:type="dxa" w:w="4248"/>
            <w:vAlign w:val="center"/>
            <w:shd w:fill="F3F6F8"/>
            <w:tcMar>
              <w:top w:w="95" w:type="dxa"/>
              <w:left w:w="95" w:type="dxa"/>
              <w:bottom w:w="95" w:type="dxa"/>
              <w:right w:w="95" w:type="dxa"/>
            </w:tcMar>
          </w:tcPr>
          <w:p>
            <w:pPr>
              <w:spacing w:after="0" w:line="245" w:lineRule="auto"/>
            </w:pPr>
            <w:r>
              <w:rPr>
                <w:b w:val="0"/>
                <w:color w:val="000000"/>
                <w:sz w:val="20"/>
              </w:rPr>
              <w:t>RAX-S1 und externe Gegenprüfung.</w:t>
            </w:r>
          </w:p>
        </w:tc>
        <w:tc>
          <w:tcPr>
            <w:tcW w:type="dxa" w:w="4536"/>
            <w:vAlign w:val="center"/>
            <w:shd w:fill="F3F6F8"/>
            <w:tcMar>
              <w:top w:w="95" w:type="dxa"/>
              <w:left w:w="95" w:type="dxa"/>
              <w:bottom w:w="95" w:type="dxa"/>
              <w:right w:w="95" w:type="dxa"/>
            </w:tcMar>
          </w:tcPr>
          <w:p>
            <w:pPr>
              <w:spacing w:after="0" w:line="245" w:lineRule="auto"/>
            </w:pPr>
            <w:r>
              <w:rPr>
                <w:b w:val="0"/>
                <w:color w:val="000000"/>
                <w:sz w:val="20"/>
              </w:rPr>
              <w:t>Vorregistrierte Diagnosekette, unabhängige Messzuordnung und Replikation. Geometrische Aussagen erst nach AP5.</w:t>
            </w:r>
          </w:p>
        </w:tc>
      </w:tr>
    </w:tbl>
    <w:p>
      <w:pPr>
        <w:spacing w:after="0"/>
      </w:pPr>
    </w:p>
    <w:p>
      <w:pPr>
        <w:pStyle w:val="Heading2"/>
      </w:pPr>
      <w:r>
        <w:rPr>
          <w:color w:val="000000"/>
          <w:lang w:val="de-CH"/>
        </w:rPr>
        <w:t>Rollen und Kontrolle</w:t>
      </w:r>
    </w:p>
    <w:p>
      <w:pPr>
        <w:widowControl/>
      </w:pPr>
      <w:r>
        <w:rPr>
          <w:b w:val="0"/>
          <w:lang w:val="de-CH"/>
        </w:rPr>
        <w:t>Die Projektleitung legt den wissenschaftlichen Vertrag fest und entscheidet über neue Kampagnen. Vorschlagsmodule erzeugen Kandidaten innerhalb der registrierten Grammatik. Mess- und Auswertemodule arbeiten getrennt. Eine unabhängige Gegenprüfung durch eine andere Implementierung ist ein technischer Kontrollschritt; externes wissenschaftliches Review bleibt ein eigener Meilenstein.</w:t>
      </w:r>
    </w:p>
    <w:p>
      <w:pPr>
        <w:pStyle w:val="Heading2"/>
      </w:pPr>
      <w:r>
        <w:rPr>
          <w:color w:val="000000"/>
          <w:lang w:val="de-CH"/>
        </w:rPr>
        <w:t>Ressourcen und Erweiterung auf Hardware</w:t>
      </w:r>
    </w:p>
    <w:p>
      <w:pPr>
        <w:widowControl/>
      </w:pPr>
      <w:r>
        <w:rPr>
          <w:b w:val="0"/>
          <w:lang w:val="de-CH"/>
        </w:rPr>
        <w:t>AP1/AP2 bleiben lokal ausführbar. Entwicklungs- und Qualifikationsläufe erhalten vor Start Laufzeit-, Speicher- und Ausgabebudgets. Ein Budgetabbruch erzeugt unvollständige Evidenz, keinen wissenschaftlichen Negativbefund. Zusätzliche Nodes werden erst für messbar nützliche Parallelisierung eingesetzt.</w:t>
      </w:r>
    </w:p>
    <w:p>
      <w:pPr>
        <w:widowControl/>
      </w:pPr>
      <w:r>
        <w:rPr>
          <w:b w:val="0"/>
          <w:lang w:val="de-CH"/>
        </w:rPr>
        <w:t>Ein späteres mechanisches Profil kann Kraftreferenz, synchrone Antwortkanäle und kontrollierte Anregung verwenden. Es benötigt ein eigenes Aktuator-, Rausch-, Drift- und Kalibriermodell. Markov-Simulationsschritte erhalten dadurch nicht rückwirkend eine physische Zeit- oder Rauminterpretation.</w:t>
      </w:r>
    </w:p>
    <w:p>
      <w:r>
        <w:rPr>
          <w:lang w:val="de-CH"/>
        </w:rPr>
        <w:br w:type="page"/>
      </w:r>
    </w:p>
    <w:p>
      <w:pPr>
        <w:pStyle w:val="Heading1"/>
      </w:pPr>
      <w:r>
        <w:rPr>
          <w:color w:val="000000"/>
          <w:lang w:val="de-CH"/>
        </w:rPr>
        <w:t>12 Reproduzierbarkeit und Veröffentlichung</w:t>
      </w:r>
    </w:p>
    <w:p>
      <w:pPr>
        <w:widowControl/>
      </w:pPr>
      <w:r>
        <w:rPr>
          <w:b w:val="0"/>
          <w:lang w:val="de-CH"/>
        </w:rPr>
        <w:t>Jede Kampagne besitzt einen unveränderlichen Vertragsstand. Ein vollständiger Bericht enthält auch verworfene Kandidaten, negative Ergebnisse, fehlgeschlagene Kontrollen und unentschiedene Prüfungen. Änderungen nach Einsicht in Prüfdaten werden als neue Entwicklung dokumentiert.</w:t>
      </w:r>
    </w:p>
    <w:p>
      <w:pPr>
        <w:pStyle w:val="Heading2"/>
      </w:pPr>
      <w:r>
        <w:rPr>
          <w:color w:val="000000"/>
          <w:lang w:val="de-CH"/>
        </w:rPr>
        <w:t>Mindestinhalt des Evidenzpakets</w:t>
      </w:r>
    </w:p>
    <w:p>
      <w:pPr>
        <w:pStyle w:val="ListBullet"/>
        <w:spacing w:after="100"/>
      </w:pPr>
      <w:r>
        <w:rPr>
          <w:lang w:val="de-CH"/>
        </w:rPr>
        <w:t>Vertrag und Kandidatenregister mit Versionen, Variablendefinitionen, Einheiten, Messabbildung, Prioren, Toleranzen und Testfamilie.</w:t>
      </w:r>
    </w:p>
    <w:p>
      <w:pPr>
        <w:pStyle w:val="ListBullet"/>
        <w:spacing w:after="100"/>
      </w:pPr>
      <w:r>
        <w:rPr>
          <w:lang w:val="de-CH"/>
        </w:rPr>
        <w:t>Erzeugungsparameter, Zufallsverfahren und Seed-Ableitung; Rohdaten mit Akquisitionsidentitäten, Datenphase und Qualitätsstatus.</w:t>
      </w:r>
    </w:p>
    <w:p>
      <w:pPr>
        <w:pStyle w:val="ListBullet"/>
        <w:spacing w:after="100"/>
      </w:pPr>
      <w:r>
        <w:rPr>
          <w:lang w:val="de-CH"/>
        </w:rPr>
        <w:t>Quellcode, Abhängigkeiten, ausführbare Befehle, Inhaltsdigests und maschinenlesbarer Ergebnisbericht einschliesslich Ausschlussgründen.</w:t>
      </w:r>
    </w:p>
    <w:p>
      <w:pPr>
        <w:pStyle w:val="ListBullet"/>
        <w:spacing w:after="100"/>
      </w:pPr>
      <w:r>
        <w:rPr>
          <w:lang w:val="de-CH"/>
        </w:rPr>
        <w:t>Exakte Referenzwerte, unabhängige Implementierung, numerische Toleranzen, Replay und Ergebnisvergleich.</w:t>
      </w:r>
    </w:p>
    <w:p>
      <w:pPr>
        <w:pStyle w:val="ListBullet"/>
        <w:spacing w:after="100"/>
      </w:pPr>
      <w:r>
        <w:rPr>
          <w:lang w:val="de-CH"/>
        </w:rPr>
        <w:t>Dauerhaftes Register bereits verwendeter Prüfdaten und verbrauchter Fehlerbudgets. Ein Neustart begründet keine neue unabhängige Bestätigung.</w:t>
      </w:r>
    </w:p>
    <w:p>
      <w:pPr>
        <w:pStyle w:val="Heading2"/>
      </w:pPr>
      <w:r>
        <w:rPr>
          <w:color w:val="000000"/>
          <w:lang w:val="de-CH"/>
        </w:rPr>
        <w:t>Stopregeln</w:t>
      </w:r>
    </w:p>
    <w:p>
      <w:pPr>
        <w:widowControl/>
      </w:pPr>
      <w:r>
        <w:rPr>
          <w:b w:val="0"/>
          <w:lang w:val="de-CH"/>
        </w:rPr>
        <w:t>Bei widersprüchlichen Rohdatenbindungen, fehlenden Protokollinformationen, verletzten Modellannahmen oder unvollständigen Pflichtmessungen wird die Auswertung gesperrt. Bei Modellraumversagen wird kein Gewinner erzwungen. Eine spätere Erweiterung benötigt einen neuen Vertrag und neue Bestätigungsdaten.</w:t>
      </w:r>
    </w:p>
    <w:p>
      <w:pPr>
        <w:widowControl/>
      </w:pPr>
      <w:r>
        <w:rPr>
          <w:b w:val="0"/>
          <w:lang w:val="de-CH"/>
        </w:rPr>
        <w:t>Das Fehlerbudget von U1 gilt nur für die festgelegte Familie von 160 Wahrscheinlichkeiten. Es gilt nicht für unbegrenzt viele Kampagnen, post hoc ausgewählte Kennzahlen oder adaptive Zwischenanalysen. Spätere Experimente erhalten eigene, vorab begründete Regeln.</w:t>
      </w:r>
    </w:p>
    <w:p>
      <w:pPr>
        <w:pStyle w:val="Heading2"/>
      </w:pPr>
      <w:r>
        <w:rPr>
          <w:color w:val="000000"/>
          <w:lang w:val="de-CH"/>
        </w:rPr>
        <w:t>Freigabe einer Forschungsfassung</w:t>
      </w:r>
    </w:p>
    <w:p>
      <w:pPr>
        <w:widowControl/>
      </w:pPr>
      <w:r>
        <w:rPr>
          <w:b w:val="0"/>
          <w:lang w:val="de-CH"/>
        </w:rPr>
        <w:t>Eine Veröffentlichung trennt Programm, Implementierung, synthetische Kontrolle und physische Evidenz. Ein bestandenes Softwaregate wird nicht als Nachweis neuer Physik dargestellt. Externes Review und Replikation werden nur genannt, wenn sie tatsächlich vorliegen. Quellen und übernommene Methoden bleiben kenntlich.</w:t>
      </w:r>
    </w:p>
    <w:p>
      <w:pPr>
        <w:pStyle w:val="Heading2"/>
      </w:pPr>
      <w:r>
        <w:rPr>
          <w:color w:val="000000"/>
          <w:lang w:val="de-CH"/>
        </w:rPr>
        <w:t>Unmittelbar nächste Ausführung</w:t>
      </w:r>
    </w:p>
    <w:p>
      <w:pPr>
        <w:widowControl/>
      </w:pPr>
      <w:r>
        <w:rPr>
          <w:b w:val="0"/>
          <w:lang w:val="de-CH"/>
        </w:rPr>
        <w:t>Als Nächstes wird AP1 implementiert: die zwei U1-Mikrofamilien, die vier Eingriffsprotokolle, die fünf Störwerte und der rationale Referenzprüfer. Erst nach dessen Abnahme wird AP2 mit eingefrorenem statistischem Vertrag gestartet. Der gemeinsame Rückstand ist in dieser ersten Kontrolle absichtlich bekannt; die offene Entdeckung beginnt in AP3.</w:t>
      </w:r>
    </w:p>
    <w:p>
      <w:pPr>
        <w:widowControl/>
      </w:pPr>
      <w:r>
        <w:rPr>
          <w:b w:val="0"/>
          <w:lang w:val="de-CH"/>
        </w:rPr>
        <w:t>Stand 14. Oktober 2026: Das Forschungsprogramm ist ausgearbeitet. Die in diesem Dokument geplanten RAX-Läufe sind noch nicht durchgeführt. Die bestehende X6-Referenz bleibt ein methodischer Vorläufer mit eigenem, engerem Evidenzumfang. [10]</w:t>
      </w:r>
    </w:p>
    <w:p>
      <w:r>
        <w:rPr>
          <w:lang w:val="de-CH"/>
        </w:rPr>
        <w:br w:type="page"/>
      </w:r>
    </w:p>
    <w:p>
      <w:pPr>
        <w:pStyle w:val="Heading1"/>
      </w:pPr>
      <w:r>
        <w:rPr>
          <w:color w:val="000000"/>
          <w:lang w:val="de-CH"/>
        </w:rPr>
        <w:t>13 Methodische Quellen und Referenzstand</w:t>
      </w:r>
    </w:p>
    <w:p>
      <w:pPr>
        <w:keepNext/>
        <w:widowControl/>
        <w:spacing w:after="20"/>
      </w:pPr>
      <w:r>
        <w:rPr>
          <w:b/>
          <w:lang w:val="de-CH"/>
        </w:rPr>
        <w:t>[1] Renormierung und Universalität</w:t>
      </w:r>
    </w:p>
    <w:p>
      <w:pPr>
        <w:keepNext/>
        <w:widowControl/>
        <w:spacing w:after="20"/>
      </w:pPr>
      <w:r>
        <w:rPr>
          <w:b w:val="0"/>
          <w:sz w:val="18"/>
          <w:lang w:val="de-CH"/>
        </w:rPr>
        <w:t>David Tong. Statistical Field Theory, Kapitel 3 The Renormalisation Group. Vorlesungsskript, University of Cambridge.</w:t>
      </w:r>
    </w:p>
    <w:p>
      <w:pPr>
        <w:widowControl/>
        <w:spacing w:after="120"/>
      </w:pPr>
      <w:r>
        <w:rPr>
          <w:b w:val="0"/>
          <w:sz w:val="17"/>
          <w:lang w:val="de-CH"/>
        </w:rPr>
        <w:t>https://www.damtp.cam.ac.uk/user/tong/sft/sfthtml/S3.html</w:t>
      </w:r>
    </w:p>
    <w:p>
      <w:pPr>
        <w:keepNext/>
        <w:widowControl/>
        <w:spacing w:after="20"/>
      </w:pPr>
      <w:r>
        <w:rPr>
          <w:b/>
          <w:lang w:val="de-CH"/>
        </w:rPr>
        <w:t>[2] Prädiktive Zustände</w:t>
      </w:r>
    </w:p>
    <w:p>
      <w:pPr>
        <w:keepNext/>
        <w:widowControl/>
        <w:spacing w:after="20"/>
      </w:pPr>
      <w:r>
        <w:rPr>
          <w:b w:val="0"/>
          <w:sz w:val="18"/>
          <w:lang w:val="de-CH"/>
        </w:rPr>
        <w:t>Cosma R. Shalizi und James P. Crutchfield. Computational Mechanics: Pattern and Prediction, Structure and Simplicity. arXiv cond-mat/9907176.</w:t>
      </w:r>
    </w:p>
    <w:p>
      <w:pPr>
        <w:widowControl/>
        <w:spacing w:after="120"/>
      </w:pPr>
      <w:r>
        <w:rPr>
          <w:b w:val="0"/>
          <w:sz w:val="17"/>
          <w:lang w:val="de-CH"/>
        </w:rPr>
        <w:t>https://arxiv.org/abs/cond-mat/9907176</w:t>
      </w:r>
    </w:p>
    <w:p>
      <w:pPr>
        <w:keepNext/>
        <w:widowControl/>
        <w:spacing w:after="20"/>
      </w:pPr>
      <w:r>
        <w:rPr>
          <w:b/>
          <w:lang w:val="de-CH"/>
        </w:rPr>
        <w:t>[3] Relevante Information</w:t>
      </w:r>
    </w:p>
    <w:p>
      <w:pPr>
        <w:keepNext/>
        <w:widowControl/>
        <w:spacing w:after="20"/>
      </w:pPr>
      <w:r>
        <w:rPr>
          <w:b w:val="0"/>
          <w:sz w:val="18"/>
          <w:lang w:val="de-CH"/>
        </w:rPr>
        <w:t>Naftali Tishby, Fernando C. Pereira und William Bialek. The information bottleneck method. arXiv physics/0004057.</w:t>
      </w:r>
    </w:p>
    <w:p>
      <w:pPr>
        <w:widowControl/>
        <w:spacing w:after="120"/>
      </w:pPr>
      <w:r>
        <w:rPr>
          <w:b w:val="0"/>
          <w:sz w:val="17"/>
          <w:lang w:val="de-CH"/>
        </w:rPr>
        <w:t>https://arxiv.org/abs/physics/0004057</w:t>
      </w:r>
    </w:p>
    <w:p>
      <w:pPr>
        <w:keepNext/>
        <w:widowControl/>
        <w:spacing w:after="20"/>
      </w:pPr>
      <w:r>
        <w:rPr>
          <w:b/>
          <w:lang w:val="de-CH"/>
        </w:rPr>
        <w:t>[4] Starke Lumpbarkeit</w:t>
      </w:r>
    </w:p>
    <w:p>
      <w:pPr>
        <w:keepNext/>
        <w:widowControl/>
        <w:spacing w:after="20"/>
      </w:pPr>
      <w:r>
        <w:rPr>
          <w:b w:val="0"/>
          <w:sz w:val="18"/>
          <w:lang w:val="de-CH"/>
        </w:rPr>
        <w:t>Jianjun Paul Tian und D. Kannan. Lumpability and Commutativity of Markov Processes. Stochastic Analysis and Applications 24, 685–702, 2006. Satz 2.3 gibt das Kemeny–Snell-Kriterium wieder.</w:t>
      </w:r>
    </w:p>
    <w:p>
      <w:pPr>
        <w:widowControl/>
        <w:spacing w:after="120"/>
      </w:pPr>
      <w:r>
        <w:rPr>
          <w:b w:val="0"/>
          <w:sz w:val="17"/>
          <w:lang w:val="de-CH"/>
        </w:rPr>
        <w:t>https://doi.org/10.1080/07362990600632045</w:t>
      </w:r>
    </w:p>
    <w:p>
      <w:pPr>
        <w:keepNext/>
        <w:widowControl/>
        <w:spacing w:after="20"/>
      </w:pPr>
      <w:r>
        <w:rPr>
          <w:b/>
          <w:lang w:val="de-CH"/>
        </w:rPr>
        <w:t>[5] Wahrscheinlichkeitsschranken</w:t>
      </w:r>
    </w:p>
    <w:p>
      <w:pPr>
        <w:keepNext/>
        <w:widowControl/>
        <w:spacing w:after="20"/>
      </w:pPr>
      <w:r>
        <w:rPr>
          <w:b w:val="0"/>
          <w:sz w:val="18"/>
          <w:lang w:val="de-CH"/>
        </w:rPr>
        <w:t>Wassily Hoeffding. Probability Inequalities for Sums of Bounded Random Variables. JASA 58, 13–30, 1963.</w:t>
      </w:r>
    </w:p>
    <w:p>
      <w:pPr>
        <w:widowControl/>
        <w:spacing w:after="120"/>
      </w:pPr>
      <w:r>
        <w:rPr>
          <w:b w:val="0"/>
          <w:sz w:val="17"/>
          <w:lang w:val="de-CH"/>
        </w:rPr>
        <w:t>https://doi.org/10.1080/01621459.1963.10500830</w:t>
      </w:r>
    </w:p>
    <w:p>
      <w:pPr>
        <w:keepNext/>
        <w:widowControl/>
        <w:spacing w:after="20"/>
      </w:pPr>
      <w:r>
        <w:rPr>
          <w:b/>
          <w:lang w:val="de-CH"/>
        </w:rPr>
        <w:t>[6] Eingabe Ausgabe Modelle</w:t>
      </w:r>
    </w:p>
    <w:p>
      <w:pPr>
        <w:keepNext/>
        <w:widowControl/>
        <w:spacing w:after="20"/>
      </w:pPr>
      <w:r>
        <w:rPr>
          <w:b w:val="0"/>
          <w:sz w:val="18"/>
          <w:lang w:val="de-CH"/>
        </w:rPr>
        <w:t>Nix Barnett und James P. Crutchfield. Computational Mechanics of Input–Output Processes. Journal of Statistical Physics 161, 404–451, 2015.</w:t>
      </w:r>
    </w:p>
    <w:p>
      <w:pPr>
        <w:widowControl/>
        <w:spacing w:after="120"/>
      </w:pPr>
      <w:r>
        <w:rPr>
          <w:b w:val="0"/>
          <w:sz w:val="17"/>
          <w:lang w:val="de-CH"/>
        </w:rPr>
        <w:t>https://arxiv.org/abs/1412.2690</w:t>
      </w:r>
    </w:p>
    <w:p>
      <w:pPr>
        <w:keepNext/>
        <w:widowControl/>
        <w:spacing w:after="20"/>
      </w:pPr>
      <w:r>
        <w:rPr>
          <w:b/>
          <w:lang w:val="de-CH"/>
        </w:rPr>
        <w:t>[7] Renormierungszyklen</w:t>
      </w:r>
    </w:p>
    <w:p>
      <w:pPr>
        <w:keepNext/>
        <w:widowControl/>
        <w:spacing w:after="20"/>
      </w:pPr>
      <w:r>
        <w:rPr>
          <w:b w:val="0"/>
          <w:sz w:val="18"/>
          <w:lang w:val="de-CH"/>
        </w:rPr>
        <w:t>Hans-Werner Hammer und Lucas Platter. Efimov physics from a renormalization group perspective. Philosophical Transactions A 369, 2679, 2011.</w:t>
      </w:r>
    </w:p>
    <w:p>
      <w:pPr>
        <w:widowControl/>
        <w:spacing w:after="120"/>
      </w:pPr>
      <w:r>
        <w:rPr>
          <w:b w:val="0"/>
          <w:sz w:val="17"/>
          <w:lang w:val="de-CH"/>
        </w:rPr>
        <w:t>https://arxiv.org/abs/1102.3789</w:t>
      </w:r>
    </w:p>
    <w:p>
      <w:pPr>
        <w:keepNext/>
        <w:widowControl/>
        <w:spacing w:after="20"/>
      </w:pPr>
      <w:r>
        <w:rPr>
          <w:b/>
          <w:lang w:val="de-CH"/>
        </w:rPr>
        <w:t>[8] Geometrische Rekonstruktion</w:t>
      </w:r>
    </w:p>
    <w:p>
      <w:pPr>
        <w:keepNext/>
        <w:widowControl/>
        <w:spacing w:after="20"/>
      </w:pPr>
      <w:r>
        <w:rPr>
          <w:b w:val="0"/>
          <w:sz w:val="18"/>
          <w:lang w:val="de-CH"/>
        </w:rPr>
        <w:t>Alain Connes. On the spectral characterization of manifolds. arXiv 0810.2088.</w:t>
      </w:r>
    </w:p>
    <w:p>
      <w:pPr>
        <w:widowControl/>
        <w:spacing w:after="120"/>
      </w:pPr>
      <w:r>
        <w:rPr>
          <w:b w:val="0"/>
          <w:sz w:val="17"/>
          <w:lang w:val="de-CH"/>
        </w:rPr>
        <w:t>https://arxiv.org/abs/0810.2088</w:t>
      </w:r>
    </w:p>
    <w:p>
      <w:pPr>
        <w:keepNext/>
        <w:widowControl/>
        <w:spacing w:after="20"/>
      </w:pPr>
      <w:r>
        <w:rPr>
          <w:b/>
          <w:lang w:val="de-CH"/>
        </w:rPr>
        <w:t>[9] Raumzeitsingularitäten</w:t>
      </w:r>
    </w:p>
    <w:p>
      <w:pPr>
        <w:keepNext/>
        <w:widowControl/>
        <w:spacing w:after="20"/>
      </w:pPr>
      <w:r>
        <w:rPr>
          <w:b w:val="0"/>
          <w:sz w:val="18"/>
          <w:lang w:val="de-CH"/>
        </w:rPr>
        <w:t>José M. M. Senovilla. A critical appraisal of the singularity theorems. 2021.</w:t>
      </w:r>
    </w:p>
    <w:p>
      <w:pPr>
        <w:widowControl/>
        <w:spacing w:after="120"/>
      </w:pPr>
      <w:r>
        <w:rPr>
          <w:b w:val="0"/>
          <w:sz w:val="17"/>
          <w:lang w:val="de-CH"/>
        </w:rPr>
        <w:t>https://arxiv.org/abs/2108.07296</w:t>
      </w:r>
    </w:p>
    <w:p>
      <w:pPr>
        <w:keepNext/>
        <w:widowControl/>
        <w:spacing w:after="20"/>
      </w:pPr>
      <w:r>
        <w:rPr>
          <w:b/>
          <w:lang w:val="de-CH"/>
        </w:rPr>
        <w:t>[10] X6 Referenz</w:t>
      </w:r>
    </w:p>
    <w:p>
      <w:pPr>
        <w:keepNext/>
        <w:widowControl/>
        <w:spacing w:after="20"/>
      </w:pPr>
      <w:r>
        <w:rPr>
          <w:b w:val="0"/>
          <w:sz w:val="18"/>
          <w:lang w:val="de-CH"/>
        </w:rPr>
        <w:t>X6 neutral discovery, Commit 1a02c482d59a42d554337fb83e0f6d6e6d84b516. Veröffentlichte Kontrolle mit 17 neuen und 48 bestehenden bestandenen Tests. Kein RAX-U1-Ergebnis.</w:t>
      </w:r>
    </w:p>
    <w:p>
      <w:pPr>
        <w:widowControl/>
        <w:spacing w:after="120"/>
      </w:pPr>
      <w:r>
        <w:rPr>
          <w:b w:val="0"/>
          <w:sz w:val="17"/>
          <w:lang w:val="de-CH"/>
        </w:rPr>
        <w:t>https://github.com/thomasmgfeller/x6-spectral-astrolabium/tree/1a02c482d59a42d554337fb83e0f6d6e6d84b516/experimental/neutral_discovery</w:t>
      </w:r>
    </w:p>
    <w:sectPr w:rsidR="00FC693F" w:rsidRPr="0006063C" w:rsidSect="00034616">
      <w:headerReference w:type="default" r:id="rId9"/>
      <w:footerReference w:type="default" r:id="rId10"/>
      <w:pgSz w:w="12240" w:h="15840"/>
      <w:pgMar w:top="1080" w:right="1224" w:bottom="1037"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Forschungsfassung 0.1   |   </w:t>
    </w:r>
    <w:r>
      <w:rPr>
        <w:sz w:val="18"/>
      </w:rPr>
      <w:fldChar w:fldCharType="begin"/>
      <w:instrText>PAGE</w:instrText>
      <w:fldChar w:fldCharType="end"/>
    </w:r>
    <w:r>
      <w:rPr>
        <w:sz w:val="18"/>
      </w:rPr>
      <w:t xml:space="preserve"> / </w:t>
    </w:r>
    <w:r>
      <w:rPr>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RAX   Relationale Struktur und kontrollierte Modelltrennung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eastAsia="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ascii="Calibri" w:hAnsi="Calibri" w:eastAsia="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RAX Relationales Forschungsprogramm</dc:title>
  <dc:subject>Universalität Identifizierbarkeit Generatoren Geometrie und Falsifikation</dc:subject>
  <dc:creator>Thomas Gfeller</dc:creator>
  <cp:keywords>RAX X6 relational research falsification universality</cp:keywords>
  <dc:description>Forschungsprogramm mit geplanten Experimenten und expliziten Evidenzgrenzen</dc:description>
  <cp:lastModifiedBy/>
  <cp:revision>1</cp:revision>
  <dcterms:created xsi:type="dcterms:W3CDTF">2013-12-23T23:15:00Z</dcterms:created>
  <dcterms:modified xsi:type="dcterms:W3CDTF">2013-12-23T23:15:00Z</dcterms:modified>
  <cp:category/>
</cp:coreProperties>
</file>