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Forschungsprogramm industrielle Signalentrauschung</w:t>
      </w:r>
    </w:p>
    <w:p>
      <w:r>
        <w:rPr>
          <w:b w:val="0"/>
        </w:rPr>
        <w:t>Astrolabium Industrial Denoising Research</w:t>
      </w:r>
    </w:p>
    <w:p>
      <w:r>
        <w:rPr>
          <w:b w:val="0"/>
        </w:rPr>
        <w:t>Version 0.2 | 13. Oktober 2026 | Programmträger Thomas Gfeller</w:t>
      </w:r>
    </w:p>
    <w:p>
      <w:r>
        <w:rPr>
          <w:b w:val="0"/>
        </w:rPr>
        <w:t>Dieses Programm beschreibt die ergebnisoffene Entwicklung und Prüfung recheneffizienter Entrauschungsverfahren für industrielle Messaufgaben. Der Startfokus ist die Zustandsüberwachung rotierender Maschinen. Diagnostisch wichtige Impulse, Modulationen und Änderungen müssen erhalten bleiben. Astrolabium soll Vergleich, Fehleranalyse und Nachweisdokumentation unterstützen.</w:t>
      </w:r>
    </w:p>
    <w:p>
      <w:r>
        <w:rPr>
          <w:b/>
        </w:rPr>
        <w:t>Veröffentlichungsstatus: Forschungsprogramm. Ein neuartiger oder industriell überlegener Entrauscher ist bisher nicht nachgewiesen.</w:t>
      </w:r>
      <w:r>
        <w:rPr>
          <w:b w:val="0"/>
        </w:rPr>
        <w:t xml:space="preserve"> Die Fassung ist weder ein abgeschlossener Benchmark noch ein unabhängiges Audit oder eine Gerätequalifikation. Neuheit, numerische Richtigkeit, Messnutzen, Laufzeit und Energiebedarf sind getrennte Aussagen.</w:t>
      </w:r>
    </w:p>
    <w:p>
      <w:r>
        <w:rPr>
          <w:b w:val="0"/>
        </w:rPr>
        <w:t>Der vorhandene X6-Phasenfilter bleibt ein experimenteller Kontrollkandidat. Sein dokumentiertes negatives Anwendungsscreening wird unverändert veröffentlicht. Die neue Fassung führt keine neuen Filterexperimente durch. Sie präzisiert die Abnahmelogik und macht den bisherigen Nachweis öffentlich nachrechenbar.</w:t>
      </w:r>
    </w:p>
    <w:p>
      <w:pPr>
        <w:pStyle w:val="Heading1"/>
      </w:pPr>
      <w:r>
        <w:rPr>
          <w:b w:val="0"/>
        </w:rPr>
        <w:t>Entscheidung und unmittelbarer Auftrag</w:t>
      </w:r>
    </w:p>
    <w:p>
      <w:r>
        <w:rPr>
          <w:b w:val="0"/>
        </w:rPr>
        <w:t xml:space="preserve">Das Programm ist als prüfbare Forschungshypothese vertretbar. Der nächste ausführbare Schritt ist AP1: genau ein Messprofil, Zielhardware, Datenrechte, Ereignisdefinitionen, relevante Fehlergrenzen und einen vollständigen Statistikplan festlegen. Bis dahin lautet die Freigabe für einen bestätigenden Abschlusstest </w:t>
      </w:r>
      <w:r>
        <w:rPr>
          <w:b/>
        </w:rPr>
        <w:t>NOT_READY</w:t>
      </w:r>
      <w:r>
        <w:rPr>
          <w:b w:val="0"/>
        </w:rPr>
        <w:t>.</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shd w:fill="E8EDF1"/>
          </w:tcPr>
          <w:p>
            <w:pPr>
              <w:spacing w:before="100" w:after="100" w:line="250" w:lineRule="auto"/>
            </w:pPr>
            <w:r>
              <w:rPr>
                <w:b/>
                <w:sz w:val="19"/>
              </w:rPr>
              <w:t>Aussage</w:t>
            </w:r>
          </w:p>
        </w:tc>
        <w:tc>
          <w:tcPr>
            <w:tcW w:type="dxa" w:w="6576"/>
            <w:vAlign w:val="center"/>
            <w:shd w:fill="E8EDF1"/>
          </w:tcPr>
          <w:p>
            <w:pPr>
              <w:spacing w:before="100" w:after="100" w:line="250" w:lineRule="auto"/>
            </w:pPr>
            <w:r>
              <w:rPr>
                <w:b/>
                <w:sz w:val="19"/>
              </w:rPr>
              <w:t>Stand dieser Fassung</w:t>
            </w:r>
          </w:p>
        </w:tc>
      </w:tr>
      <w:tr>
        <w:trPr>
          <w:cantSplit/>
        </w:trPr>
        <w:tc>
          <w:tcPr>
            <w:tcW w:type="dxa" w:w="3061"/>
            <w:vAlign w:val="center"/>
          </w:tcPr>
          <w:p>
            <w:pPr>
              <w:spacing w:before="100" w:after="100" w:line="250" w:lineRule="auto"/>
            </w:pPr>
            <w:r>
              <w:rPr>
                <w:b w:val="0"/>
                <w:sz w:val="19"/>
              </w:rPr>
              <w:t>Forschungsarchitektur und Entscheidungsregeln</w:t>
            </w:r>
          </w:p>
        </w:tc>
        <w:tc>
          <w:tcPr>
            <w:tcW w:type="dxa" w:w="6576"/>
            <w:vAlign w:val="center"/>
          </w:tcPr>
          <w:p>
            <w:pPr>
              <w:spacing w:before="100" w:after="100" w:line="250" w:lineRule="auto"/>
            </w:pPr>
            <w:r>
              <w:rPr>
                <w:b w:val="0"/>
                <w:sz w:val="19"/>
              </w:rPr>
              <w:t>Dokumentiert, fachliche externe Prüfung offen</w:t>
            </w:r>
          </w:p>
        </w:tc>
      </w:tr>
      <w:tr>
        <w:trPr>
          <w:cantSplit/>
        </w:trPr>
        <w:tc>
          <w:tcPr>
            <w:tcW w:type="dxa" w:w="3061"/>
            <w:vAlign w:val="center"/>
          </w:tcPr>
          <w:p>
            <w:pPr>
              <w:spacing w:before="100" w:after="100" w:line="250" w:lineRule="auto"/>
            </w:pPr>
            <w:r>
              <w:rPr>
                <w:b w:val="0"/>
                <w:sz w:val="19"/>
              </w:rPr>
              <w:t>X6 Nachweisarchiv</w:t>
            </w:r>
          </w:p>
        </w:tc>
        <w:tc>
          <w:tcPr>
            <w:tcW w:type="dxa" w:w="6576"/>
            <w:vAlign w:val="center"/>
          </w:tcPr>
          <w:p>
            <w:pPr>
              <w:spacing w:before="100" w:after="100" w:line="250" w:lineRule="auto"/>
            </w:pPr>
            <w:r>
              <w:rPr>
                <w:b w:val="0"/>
                <w:sz w:val="19"/>
              </w:rPr>
              <w:t>Synthetische Ergebnisse vorhanden und erneut auf Konsistenz geprüft</w:t>
            </w:r>
          </w:p>
        </w:tc>
      </w:tr>
      <w:tr>
        <w:trPr>
          <w:cantSplit/>
        </w:trPr>
        <w:tc>
          <w:tcPr>
            <w:tcW w:type="dxa" w:w="3061"/>
            <w:vAlign w:val="center"/>
          </w:tcPr>
          <w:p>
            <w:pPr>
              <w:spacing w:before="100" w:after="100" w:line="250" w:lineRule="auto"/>
            </w:pPr>
            <w:r>
              <w:rPr>
                <w:b w:val="0"/>
                <w:sz w:val="19"/>
              </w:rPr>
              <w:t>Neues Referenzportfolio und H1/H2 Verfahren</w:t>
            </w:r>
          </w:p>
        </w:tc>
        <w:tc>
          <w:tcPr>
            <w:tcW w:type="dxa" w:w="6576"/>
            <w:vAlign w:val="center"/>
          </w:tcPr>
          <w:p>
            <w:pPr>
              <w:spacing w:before="100" w:after="100" w:line="250" w:lineRule="auto"/>
            </w:pPr>
            <w:r>
              <w:rPr>
                <w:b w:val="0"/>
                <w:sz w:val="19"/>
              </w:rPr>
              <w:t>Geplant, nicht implementiert</w:t>
            </w:r>
          </w:p>
        </w:tc>
      </w:tr>
      <w:tr>
        <w:trPr>
          <w:cantSplit/>
        </w:trPr>
        <w:tc>
          <w:tcPr>
            <w:tcW w:type="dxa" w:w="3061"/>
            <w:vAlign w:val="center"/>
          </w:tcPr>
          <w:p>
            <w:pPr>
              <w:spacing w:before="100" w:after="100" w:line="250" w:lineRule="auto"/>
            </w:pPr>
            <w:r>
              <w:rPr>
                <w:b w:val="0"/>
                <w:sz w:val="19"/>
              </w:rPr>
              <w:t>Realer Diagnosevorteil, Energiegewinn, Hardwareeignung</w:t>
            </w:r>
          </w:p>
        </w:tc>
        <w:tc>
          <w:tcPr>
            <w:tcW w:type="dxa" w:w="6576"/>
            <w:vAlign w:val="center"/>
          </w:tcPr>
          <w:p>
            <w:pPr>
              <w:spacing w:before="100" w:after="100" w:line="250" w:lineRule="auto"/>
            </w:pPr>
            <w:r>
              <w:rPr>
                <w:b w:val="0"/>
                <w:sz w:val="19"/>
              </w:rPr>
              <w:t>Nicht nachgewiesen</w:t>
            </w:r>
          </w:p>
        </w:tc>
      </w:tr>
      <w:tr>
        <w:trPr>
          <w:cantSplit/>
        </w:trPr>
        <w:tc>
          <w:tcPr>
            <w:tcW w:type="dxa" w:w="3061"/>
            <w:vAlign w:val="center"/>
          </w:tcPr>
          <w:p>
            <w:pPr>
              <w:spacing w:before="100" w:after="100" w:line="250" w:lineRule="auto"/>
            </w:pPr>
            <w:r>
              <w:rPr>
                <w:b w:val="0"/>
                <w:sz w:val="19"/>
              </w:rPr>
              <w:t>Neuheit</w:t>
            </w:r>
          </w:p>
        </w:tc>
        <w:tc>
          <w:tcPr>
            <w:tcW w:type="dxa" w:w="6576"/>
            <w:vAlign w:val="center"/>
          </w:tcPr>
          <w:p>
            <w:pPr>
              <w:spacing w:before="100" w:after="100" w:line="250" w:lineRule="auto"/>
            </w:pPr>
            <w:r>
              <w:rPr>
                <w:b w:val="0"/>
                <w:sz w:val="19"/>
              </w:rPr>
              <w:t>Literaturabgrenzung offen</w:t>
            </w:r>
          </w:p>
        </w:tc>
      </w:tr>
    </w:tbl>
    <w:p>
      <w:pPr>
        <w:spacing w:after="0"/>
      </w:pPr>
    </w:p>
    <w:p>
      <w:r>
        <w:rPr>
          <w:b w:val="0"/>
        </w:rPr>
        <w:t>Die Zahlenwerte für künftige Erfolgsschwellen sind eigene Forschungsvorschläge. Sie sind keine Industrieanforderungen und müssen vor dem Abschlusstest für das gewählte Profil begründet und eingefroren werden.</w:t>
      </w:r>
    </w:p>
    <w:p>
      <w:r>
        <w:br w:type="page"/>
      </w:r>
    </w:p>
    <w:p>
      <w:pPr>
        <w:pStyle w:val="Heading1"/>
      </w:pPr>
      <w:r>
        <w:rPr>
          <w:b w:val="0"/>
        </w:rPr>
        <w:t>1 Messaufgabe und Messmodell</w:t>
      </w:r>
    </w:p>
    <w:tbl>
      <w:tblPr>
        <w:tblW w:type="auto" w:w="0"/>
        <w:jc w:val="center"/>
        <w:tblLayout w:type="fixed"/>
        <w:tblLook w:firstColumn="1" w:firstRow="1" w:lastColumn="0" w:lastRow="0" w:noHBand="0" w:noVBand="1" w:val="04A0"/>
      </w:tblPr>
      <w:tblGrid>
        <w:gridCol w:w="1928"/>
        <w:gridCol w:w="3798"/>
        <w:gridCol w:w="3912"/>
      </w:tblGrid>
      <w:tr>
        <w:trPr>
          <w:cantSplit/>
          <w:tblHeader/>
        </w:trPr>
        <w:tc>
          <w:tcPr>
            <w:tcW w:type="dxa" w:w="1928"/>
            <w:vAlign w:val="center"/>
            <w:shd w:fill="E8EDF1"/>
          </w:tcPr>
          <w:p>
            <w:pPr>
              <w:spacing w:before="100" w:after="100" w:line="250" w:lineRule="auto"/>
            </w:pPr>
            <w:r>
              <w:rPr>
                <w:b/>
                <w:sz w:val="19"/>
              </w:rPr>
              <w:t>Profil</w:t>
            </w:r>
          </w:p>
        </w:tc>
        <w:tc>
          <w:tcPr>
            <w:tcW w:type="dxa" w:w="3798"/>
            <w:vAlign w:val="center"/>
            <w:shd w:fill="E8EDF1"/>
          </w:tcPr>
          <w:p>
            <w:pPr>
              <w:spacing w:before="100" w:after="100" w:line="250" w:lineRule="auto"/>
            </w:pPr>
            <w:r>
              <w:rPr>
                <w:b/>
                <w:sz w:val="19"/>
              </w:rPr>
              <w:t>Ziel</w:t>
            </w:r>
          </w:p>
        </w:tc>
        <w:tc>
          <w:tcPr>
            <w:tcW w:type="dxa" w:w="3912"/>
            <w:vAlign w:val="center"/>
            <w:shd w:fill="E8EDF1"/>
          </w:tcPr>
          <w:p>
            <w:pPr>
              <w:spacing w:before="100" w:after="100" w:line="250" w:lineRule="auto"/>
            </w:pPr>
            <w:r>
              <w:rPr>
                <w:b/>
                <w:sz w:val="19"/>
              </w:rPr>
              <w:t>Nachweisweg</w:t>
            </w:r>
          </w:p>
        </w:tc>
      </w:tr>
      <w:tr>
        <w:trPr>
          <w:cantSplit/>
        </w:trPr>
        <w:tc>
          <w:tcPr>
            <w:tcW w:type="dxa" w:w="1928"/>
            <w:vAlign w:val="center"/>
          </w:tcPr>
          <w:p>
            <w:pPr>
              <w:spacing w:before="100" w:after="100" w:line="250" w:lineRule="auto"/>
            </w:pPr>
            <w:r>
              <w:rPr>
                <w:b w:val="0"/>
                <w:sz w:val="19"/>
              </w:rPr>
              <w:t>V1 Schwingung</w:t>
            </w:r>
          </w:p>
        </w:tc>
        <w:tc>
          <w:tcPr>
            <w:tcW w:type="dxa" w:w="3798"/>
            <w:vAlign w:val="center"/>
          </w:tcPr>
          <w:p>
            <w:pPr>
              <w:spacing w:before="100" w:after="100" w:line="250" w:lineRule="auto"/>
            </w:pPr>
            <w:r>
              <w:rPr>
                <w:b w:val="0"/>
                <w:sz w:val="19"/>
              </w:rPr>
              <w:t>Lagerschäden und Zustandsänderungen erkennen; schwache Impulse und Ereigniszeiten schützen</w:t>
            </w:r>
          </w:p>
        </w:tc>
        <w:tc>
          <w:tcPr>
            <w:tcW w:type="dxa" w:w="3912"/>
            <w:vAlign w:val="center"/>
          </w:tcPr>
          <w:p>
            <w:pPr>
              <w:spacing w:before="100" w:after="100" w:line="250" w:lineRule="auto"/>
            </w:pPr>
            <w:r>
              <w:rPr>
                <w:b w:val="0"/>
                <w:sz w:val="19"/>
              </w:rPr>
              <w:t>Reale Aufgabenmetriken sowie ergänzende Referenzversuche</w:t>
            </w:r>
          </w:p>
        </w:tc>
      </w:tr>
      <w:tr>
        <w:trPr>
          <w:cantSplit/>
        </w:trPr>
        <w:tc>
          <w:tcPr>
            <w:tcW w:type="dxa" w:w="1928"/>
            <w:vAlign w:val="center"/>
          </w:tcPr>
          <w:p>
            <w:pPr>
              <w:spacing w:before="100" w:after="100" w:line="250" w:lineRule="auto"/>
            </w:pPr>
            <w:r>
              <w:rPr>
                <w:b w:val="0"/>
                <w:sz w:val="19"/>
              </w:rPr>
              <w:t>R1 Referenzträger</w:t>
            </w:r>
          </w:p>
        </w:tc>
        <w:tc>
          <w:tcPr>
            <w:tcW w:type="dxa" w:w="3798"/>
            <w:vAlign w:val="center"/>
          </w:tcPr>
          <w:p>
            <w:pPr>
              <w:spacing w:before="100" w:after="100" w:line="250" w:lineRule="auto"/>
            </w:pPr>
            <w:r>
              <w:rPr>
                <w:b w:val="0"/>
                <w:sz w:val="19"/>
              </w:rPr>
              <w:t>Amplitude und Phase eines synchron angeregten Signals bestimmen</w:t>
            </w:r>
          </w:p>
        </w:tc>
        <w:tc>
          <w:tcPr>
            <w:tcW w:type="dxa" w:w="3912"/>
            <w:vAlign w:val="center"/>
          </w:tcPr>
          <w:p>
            <w:pPr>
              <w:spacing w:before="100" w:after="100" w:line="250" w:lineRule="auto"/>
            </w:pPr>
            <w:r>
              <w:rPr>
                <w:b w:val="0"/>
                <w:sz w:val="19"/>
              </w:rPr>
              <w:t>Kontrollierte elektrische oder optische Referenzmessung</w:t>
            </w:r>
          </w:p>
        </w:tc>
      </w:tr>
      <w:tr>
        <w:trPr>
          <w:cantSplit/>
        </w:trPr>
        <w:tc>
          <w:tcPr>
            <w:tcW w:type="dxa" w:w="1928"/>
            <w:vAlign w:val="center"/>
          </w:tcPr>
          <w:p>
            <w:pPr>
              <w:spacing w:before="100" w:after="100" w:line="250" w:lineRule="auto"/>
            </w:pPr>
            <w:r>
              <w:rPr>
                <w:b w:val="0"/>
                <w:sz w:val="19"/>
              </w:rPr>
              <w:t>P1 Prozesskurve</w:t>
            </w:r>
          </w:p>
        </w:tc>
        <w:tc>
          <w:tcPr>
            <w:tcW w:type="dxa" w:w="3798"/>
            <w:vAlign w:val="center"/>
          </w:tcPr>
          <w:p>
            <w:pPr>
              <w:spacing w:before="100" w:after="100" w:line="250" w:lineRule="auto"/>
            </w:pPr>
            <w:r>
              <w:rPr>
                <w:b w:val="0"/>
                <w:sz w:val="19"/>
              </w:rPr>
              <w:t>Langsame Änderungen mit echten Sprüngen erhalten</w:t>
            </w:r>
          </w:p>
        </w:tc>
        <w:tc>
          <w:tcPr>
            <w:tcW w:type="dxa" w:w="3912"/>
            <w:vAlign w:val="center"/>
          </w:tcPr>
          <w:p>
            <w:pPr>
              <w:spacing w:before="100" w:after="100" w:line="250" w:lineRule="auto"/>
            </w:pPr>
            <w:r>
              <w:rPr>
                <w:b w:val="0"/>
                <w:sz w:val="19"/>
              </w:rPr>
              <w:t>Spätere Erweiterung nach V1</w:t>
            </w:r>
          </w:p>
        </w:tc>
      </w:tr>
    </w:tbl>
    <w:p>
      <w:pPr>
        <w:spacing w:after="0"/>
      </w:pPr>
    </w:p>
    <w:p>
      <w:r>
        <w:rPr>
          <w:b w:val="0"/>
        </w:rPr>
        <w:t>AP1 definiert die Messgrösse, Einheit, Sensorübertragung, Verstärkung, Offset, Messbandbreite, Zeitbasis, Kanalbeziehungen und Zielpopulation. Additive und signalabhängige Störungen werden unterschieden. Quantisierung, Clipping, Aussetzer, Aliasbildung und Zeitstempelfehler erhalten eigene Fehlerprofile. Verlorene Information ist ohne zusätzliche Annahmen nicht eindeutig rekonstruierbar.</w:t>
      </w:r>
    </w:p>
    <w:p>
      <w:r>
        <w:rPr>
          <w:b w:val="0"/>
        </w:rPr>
        <w:t>Ein kurzer Impuls kann Störung oder Schadensinformation sein. Diese Unterscheidung folgt nicht zuverlässig allein aus der Kurvenform. Kennzeichnungen benötigen unabhängige Zustandsinformationen, kontrollierte Eingriffe oder ein geprüftes Modell. Höhere geschätzte SNR und optisch ruhigere Kurven reichen nicht als Nutzenbeleg.</w:t>
      </w:r>
    </w:p>
    <w:p>
      <w:pPr>
        <w:pStyle w:val="Heading2"/>
      </w:pPr>
      <w:r>
        <w:rPr>
          <w:b w:val="0"/>
        </w:rPr>
        <w:t>Getrennte Zielgrössen</w:t>
      </w:r>
    </w:p>
    <w:p>
      <w:r>
        <w:rPr>
          <w:b w:val="0"/>
        </w:rPr>
        <w:t xml:space="preserve">Bei synthetischen Signalen ist die saubere Referenz bekannt. Bei einer charakterisierten Messreferenz gehört deren Unsicherheit in die Auswertung. Reale Lageraufnahmen besitzen meist keine bekannte saubere Wellenform. Dort werden diagnostische Aufgaben bewertet; absolute Rekonstruktions-SNR oder NRMSE bleiben </w:t>
      </w:r>
      <w:r>
        <w:rPr>
          <w:b/>
        </w:rPr>
        <w:t>NOT_AVAILABLE</w:t>
      </w:r>
      <w:r>
        <w:rPr>
          <w:b w:val="0"/>
        </w:rPr>
        <w:t>. [S1, S2]</w:t>
      </w:r>
    </w:p>
    <w:p>
      <w:r>
        <w:rPr>
          <w:b w:val="0"/>
        </w:rPr>
        <w:t>Eine reale Aufnahme mit künstlich addierter Störung erlaubt den Vergleich gegen diese ursprüngliche Aufnahme. Das Ergebnis betrifft die Beseitigung der Zusatzstörung und beweist keine Wiederherstellung der unbekannten störungsfreien Physik.</w:t>
      </w:r>
    </w:p>
    <w:p>
      <w:pPr>
        <w:pStyle w:val="Heading2"/>
      </w:pPr>
      <w:r>
        <w:rPr>
          <w:b w:val="0"/>
        </w:rPr>
        <w:t>Vorläufiges technisches Profil</w:t>
      </w:r>
    </w:p>
    <w:p>
      <w:r>
        <w:rPr>
          <w:b w:val="0"/>
        </w:rPr>
        <w:t>Vorgeschlagen sind vier Kanäle, 25,6 kSamples/s je Kanal, Float32-Ausgabe und 256 Samples pro Block. Ein Block dauert 10 ms. Arbeitsziele sind höchstens 50 ms gesamte Datenlatenz und 8 MiB zusätzlicher Modulspeicher. Zielrechner, Nutzsignalband, zulässige Verzerrung und Beobachtungsdauer sind offen. Das Profil wird erst nach AP1 verbindlich.</w:t>
      </w:r>
    </w:p>
    <w:p>
      <w:r>
        <w:br w:type="page"/>
      </w:r>
    </w:p>
    <w:p>
      <w:pPr>
        <w:pStyle w:val="Heading1"/>
      </w:pPr>
      <w:r>
        <w:rPr>
          <w:b w:val="0"/>
        </w:rPr>
        <w:t>2 Referenzportfolio und Forschungshypothesen</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shd w:fill="E8EDF1"/>
          </w:tcPr>
          <w:p>
            <w:pPr>
              <w:spacing w:before="100" w:after="100" w:line="250" w:lineRule="auto"/>
            </w:pPr>
            <w:r>
              <w:rPr>
                <w:b/>
                <w:sz w:val="19"/>
              </w:rPr>
              <w:t>Verfahren</w:t>
            </w:r>
          </w:p>
        </w:tc>
        <w:tc>
          <w:tcPr>
            <w:tcW w:type="dxa" w:w="6576"/>
            <w:vAlign w:val="center"/>
            <w:shd w:fill="E8EDF1"/>
          </w:tcPr>
          <w:p>
            <w:pPr>
              <w:spacing w:before="100" w:after="100" w:line="250" w:lineRule="auto"/>
            </w:pPr>
            <w:r>
              <w:rPr>
                <w:b/>
                <w:sz w:val="19"/>
              </w:rPr>
              <w:t>Rolle und zwingend zu prüfende Grenze</w:t>
            </w:r>
          </w:p>
        </w:tc>
      </w:tr>
      <w:tr>
        <w:trPr>
          <w:cantSplit/>
        </w:trPr>
        <w:tc>
          <w:tcPr>
            <w:tcW w:type="dxa" w:w="3061"/>
            <w:vAlign w:val="center"/>
          </w:tcPr>
          <w:p>
            <w:pPr>
              <w:spacing w:before="100" w:after="100" w:line="250" w:lineRule="auto"/>
            </w:pPr>
            <w:r>
              <w:rPr>
                <w:b w:val="0"/>
                <w:sz w:val="19"/>
              </w:rPr>
              <w:t>Identität und lokale Mittelung</w:t>
            </w:r>
          </w:p>
        </w:tc>
        <w:tc>
          <w:tcPr>
            <w:tcW w:type="dxa" w:w="6576"/>
            <w:vAlign w:val="center"/>
          </w:tcPr>
          <w:p>
            <w:pPr>
              <w:spacing w:before="100" w:after="100" w:line="250" w:lineRule="auto"/>
            </w:pPr>
            <w:r>
              <w:rPr>
                <w:b w:val="0"/>
                <w:sz w:val="19"/>
              </w:rPr>
              <w:t>Pflichtkontrolle; unveränderte Daten bleiben zulässiges Ergebnis</w:t>
            </w:r>
          </w:p>
        </w:tc>
      </w:tr>
      <w:tr>
        <w:trPr>
          <w:cantSplit/>
        </w:trPr>
        <w:tc>
          <w:tcPr>
            <w:tcW w:type="dxa" w:w="3061"/>
            <w:vAlign w:val="center"/>
          </w:tcPr>
          <w:p>
            <w:pPr>
              <w:spacing w:before="100" w:after="100" w:line="250" w:lineRule="auto"/>
            </w:pPr>
            <w:r>
              <w:rPr>
                <w:b w:val="0"/>
                <w:sz w:val="19"/>
              </w:rPr>
              <w:t>FIR und IIR</w:t>
            </w:r>
          </w:p>
        </w:tc>
        <w:tc>
          <w:tcPr>
            <w:tcW w:type="dxa" w:w="6576"/>
            <w:vAlign w:val="center"/>
          </w:tcPr>
          <w:p>
            <w:pPr>
              <w:spacing w:before="100" w:after="100" w:line="250" w:lineRule="auto"/>
            </w:pPr>
            <w:r>
              <w:rPr>
                <w:b w:val="0"/>
                <w:sz w:val="19"/>
              </w:rPr>
              <w:t>Bekannte Nutzbänder; Gruppenlaufzeit und Verlust relevanter Frequenzanteile</w:t>
            </w:r>
          </w:p>
        </w:tc>
      </w:tr>
      <w:tr>
        <w:trPr>
          <w:cantSplit/>
        </w:trPr>
        <w:tc>
          <w:tcPr>
            <w:tcW w:type="dxa" w:w="3061"/>
            <w:vAlign w:val="center"/>
          </w:tcPr>
          <w:p>
            <w:pPr>
              <w:spacing w:before="100" w:after="100" w:line="250" w:lineRule="auto"/>
            </w:pPr>
            <w:r>
              <w:rPr>
                <w:b w:val="0"/>
                <w:sz w:val="19"/>
              </w:rPr>
              <w:t>Median und Savitzky Golay</w:t>
            </w:r>
          </w:p>
        </w:tc>
        <w:tc>
          <w:tcPr>
            <w:tcW w:type="dxa" w:w="6576"/>
            <w:vAlign w:val="center"/>
          </w:tcPr>
          <w:p>
            <w:pPr>
              <w:spacing w:before="100" w:after="100" w:line="250" w:lineRule="auto"/>
            </w:pPr>
            <w:r>
              <w:rPr>
                <w:b w:val="0"/>
                <w:sz w:val="19"/>
              </w:rPr>
              <w:t>Impulsstörung beziehungsweise glatte Verläufe; Verzerrung echter Spitzen</w:t>
            </w:r>
          </w:p>
        </w:tc>
      </w:tr>
      <w:tr>
        <w:trPr>
          <w:cantSplit/>
        </w:trPr>
        <w:tc>
          <w:tcPr>
            <w:tcW w:type="dxa" w:w="3061"/>
            <w:vAlign w:val="center"/>
          </w:tcPr>
          <w:p>
            <w:pPr>
              <w:spacing w:before="100" w:after="100" w:line="250" w:lineRule="auto"/>
            </w:pPr>
            <w:r>
              <w:rPr>
                <w:b w:val="0"/>
                <w:sz w:val="19"/>
              </w:rPr>
              <w:t>Notch und adaptive Referenzfilter</w:t>
            </w:r>
          </w:p>
        </w:tc>
        <w:tc>
          <w:tcPr>
            <w:tcW w:type="dxa" w:w="6576"/>
            <w:vAlign w:val="center"/>
          </w:tcPr>
          <w:p>
            <w:pPr>
              <w:spacing w:before="100" w:after="100" w:line="250" w:lineRule="auto"/>
            </w:pPr>
            <w:r>
              <w:rPr>
                <w:b w:val="0"/>
                <w:sz w:val="19"/>
              </w:rPr>
              <w:t>Schmalbandige oder referenzierte Störung; Nutzsignalüberlappung und Referenzleckage</w:t>
            </w:r>
          </w:p>
        </w:tc>
      </w:tr>
      <w:tr>
        <w:trPr>
          <w:cantSplit/>
        </w:trPr>
        <w:tc>
          <w:tcPr>
            <w:tcW w:type="dxa" w:w="3061"/>
            <w:vAlign w:val="center"/>
          </w:tcPr>
          <w:p>
            <w:pPr>
              <w:spacing w:before="100" w:after="100" w:line="250" w:lineRule="auto"/>
            </w:pPr>
            <w:r>
              <w:rPr>
                <w:b w:val="0"/>
                <w:sz w:val="19"/>
              </w:rPr>
              <w:t>Wavelet und spektraler Wienerfilter</w:t>
            </w:r>
          </w:p>
        </w:tc>
        <w:tc>
          <w:tcPr>
            <w:tcW w:type="dxa" w:w="6576"/>
            <w:vAlign w:val="center"/>
          </w:tcPr>
          <w:p>
            <w:pPr>
              <w:spacing w:before="100" w:after="100" w:line="250" w:lineRule="auto"/>
            </w:pPr>
            <w:r>
              <w:rPr>
                <w:b w:val="0"/>
                <w:sz w:val="19"/>
              </w:rPr>
              <w:t>Strukturierte Signale; Rauschschätzung, Randbehandlung und Modellfehler</w:t>
            </w:r>
          </w:p>
        </w:tc>
      </w:tr>
      <w:tr>
        <w:trPr>
          <w:cantSplit/>
        </w:trPr>
        <w:tc>
          <w:tcPr>
            <w:tcW w:type="dxa" w:w="3061"/>
            <w:vAlign w:val="center"/>
          </w:tcPr>
          <w:p>
            <w:pPr>
              <w:spacing w:before="100" w:after="100" w:line="250" w:lineRule="auto"/>
            </w:pPr>
            <w:r>
              <w:rPr>
                <w:b w:val="0"/>
                <w:sz w:val="19"/>
              </w:rPr>
              <w:t>I/Q und Zustandsraummodell</w:t>
            </w:r>
          </w:p>
        </w:tc>
        <w:tc>
          <w:tcPr>
            <w:tcW w:type="dxa" w:w="6576"/>
            <w:vAlign w:val="center"/>
          </w:tcPr>
          <w:p>
            <w:pPr>
              <w:spacing w:before="100" w:after="100" w:line="250" w:lineRule="auto"/>
            </w:pPr>
            <w:r>
              <w:rPr>
                <w:b w:val="0"/>
                <w:sz w:val="19"/>
              </w:rPr>
              <w:t>Bekannter Träger beziehungsweise Dynamik; Referenzfehler und Drift</w:t>
            </w:r>
          </w:p>
        </w:tc>
      </w:tr>
      <w:tr>
        <w:trPr>
          <w:cantSplit/>
        </w:trPr>
        <w:tc>
          <w:tcPr>
            <w:tcW w:type="dxa" w:w="3061"/>
            <w:vAlign w:val="center"/>
          </w:tcPr>
          <w:p>
            <w:pPr>
              <w:spacing w:before="100" w:after="100" w:line="250" w:lineRule="auto"/>
            </w:pPr>
            <w:r>
              <w:rPr>
                <w:b w:val="0"/>
                <w:sz w:val="19"/>
              </w:rPr>
              <w:t>X6 Phasenselektion</w:t>
            </w:r>
          </w:p>
        </w:tc>
        <w:tc>
          <w:tcPr>
            <w:tcW w:type="dxa" w:w="6576"/>
            <w:vAlign w:val="center"/>
          </w:tcPr>
          <w:p>
            <w:pPr>
              <w:spacing w:before="100" w:after="100" w:line="250" w:lineRule="auto"/>
            </w:pPr>
            <w:r>
              <w:rPr>
                <w:b w:val="0"/>
                <w:sz w:val="19"/>
              </w:rPr>
              <w:t>Experimentelle Kontrolle mit dokumentierten Gegenbeispielen</w:t>
            </w:r>
          </w:p>
        </w:tc>
      </w:tr>
    </w:tbl>
    <w:p>
      <w:pPr>
        <w:spacing w:after="0"/>
      </w:pPr>
    </w:p>
    <w:p>
      <w:r>
        <w:rPr>
          <w:b w:val="0"/>
        </w:rPr>
        <w:t xml:space="preserve">Kausale Streamingverfahren und Offlineverfahren bilden getrennte Vergleichsklassen. Identität ist stets enthalten; mindestens eine zum Profil passende starke Referenz wird fair abgestimmt. Parametersuche, Informationszugang, Präzision und Gesamtkosten werden offengelegt. Ein spektraler Wienerfilter benötigt eine eigene Spezifikation; </w:t>
      </w:r>
      <w:r>
        <w:rPr>
          <w:b w:val="0"/>
          <w:sz w:val="18"/>
        </w:rPr>
        <w:t>scipy.signal.wiener</w:t>
      </w:r>
      <w:r>
        <w:rPr>
          <w:b w:val="0"/>
        </w:rPr>
        <w:t xml:space="preserve"> ist eine lokale Variante. [S3]</w:t>
      </w:r>
    </w:p>
    <w:p>
      <w:pPr>
        <w:pStyle w:val="Heading2"/>
      </w:pPr>
      <w:r>
        <w:rPr>
          <w:b w:val="0"/>
        </w:rPr>
        <w:t>H1 Ereigniserhaltende adaptive Entrauschung</w:t>
      </w:r>
    </w:p>
    <w:p>
      <w:r>
        <w:rPr>
          <w:b w:val="0"/>
        </w:rPr>
        <w:t>Eine Kombination aus robuster lokaler Rauschschätzung, mehrskaliger Schrumpfung und begrenzter Eingriffsstärke bei möglichen Ereignissen könnte einen besseren Qualitäts-Aufwands-Kompromiss erreichen. Dies ist eine Hypothese. Ablationen entfernen getrennt Rauschadaptation und Ereignisschutz. Pflichtgegenbeispiele enthalten echte und störende Impulse ähnlicher Form sowie Nutzanteile im vermeintlichen Rauschband.</w:t>
      </w:r>
    </w:p>
    <w:p>
      <w:r>
        <w:rPr>
          <w:b w:val="0"/>
        </w:rPr>
        <w:t>Wavelet-Schrumpfung ist etabliert. Eine neue Kombination wird erst nach konkreter Abgrenzung und Vergleich als eigener Beitrag bezeichnet. [S4]</w:t>
      </w:r>
    </w:p>
    <w:p>
      <w:pPr>
        <w:pStyle w:val="Heading2"/>
      </w:pPr>
      <w:r>
        <w:rPr>
          <w:b w:val="0"/>
        </w:rPr>
        <w:t>H2 Auswahl unter begrenztem Rechenbudget</w:t>
      </w:r>
    </w:p>
    <w:p>
      <w:r>
        <w:rPr>
          <w:b w:val="0"/>
        </w:rPr>
        <w:t>Nach belastbaren Einzelverfahren wird eine Auswahlregel mit der besten festen Regel und einfachen Auswahlheuristiken verglichen. Nur zur Laufzeit verfügbare Daten und Metadaten sind zulässig. Auswahlkosten, Umschaltartefakte und Fehlentscheidungen zählen mit. Identität als Rückfall garantiert keine sichere Diagnose.</w:t>
      </w:r>
    </w:p>
    <w:p>
      <w:r>
        <w:rPr>
          <w:b w:val="0"/>
        </w:rPr>
        <w:t>Lernende Verfahren folgen erst bei ausreichender Datengrundlage. Selbstüberwachte Verfahren verlangen geprüfte Voraussetzungen; Noise2Self setzt insbesondere geeignete bedingte Rauschunabhängigkeit voraus. Korrelierte Maschinenstörungen erfüllen dies nicht automatisch. [S5]</w:t>
      </w:r>
    </w:p>
    <w:p>
      <w:r>
        <w:br w:type="page"/>
      </w:r>
    </w:p>
    <w:p>
      <w:pPr>
        <w:pStyle w:val="Heading1"/>
      </w:pPr>
      <w:r>
        <w:rPr>
          <w:b w:val="0"/>
        </w:rPr>
        <w:t>3 Erfolg mit bekannter Referenz</w:t>
      </w:r>
    </w:p>
    <w:p>
      <w:r>
        <w:rPr>
          <w:b w:val="0"/>
        </w:rPr>
        <w:t>Die Rekonstruktionsrouten gelten nur für bekannte saubere oder ausreichend charakterisierte Referenzen. Ein Kandidat erhält vor dem Abschlusstest genau eine primäre Route. Die Vergleichsreferenz wird auf Entwicklungs- und Validierungsdaten bestimmt und eingefroren.</w:t>
      </w:r>
    </w:p>
    <w:p>
      <w:r>
        <w:rPr>
          <w:b w:val="0"/>
        </w:rPr>
        <w:t>Für jede unabhängige Einheit i ist MSE der mittlere quadratische Fehler über den vorab definierten gültigen Bereich. Kanalgewichtung, Randbereiche, Anlaufzeit und Zeitzuordnung werden vorher festgelegt. Eine nachträglich optimierte Verschiebung darf Fehler nicht verbergen; unkorrigierte und zulässig ausgerichtete Ergebnisse werden getrennt berichtet.</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shd w:fill="E8EDF1"/>
          </w:tcPr>
          <w:p>
            <w:pPr>
              <w:spacing w:before="100" w:after="100" w:line="250" w:lineRule="auto"/>
            </w:pPr>
            <w:r>
              <w:rPr>
                <w:b/>
                <w:sz w:val="19"/>
              </w:rPr>
              <w:t>Route</w:t>
            </w:r>
          </w:p>
        </w:tc>
        <w:tc>
          <w:tcPr>
            <w:tcW w:type="dxa" w:w="6576"/>
            <w:vAlign w:val="center"/>
            <w:shd w:fill="E8EDF1"/>
          </w:tcPr>
          <w:p>
            <w:pPr>
              <w:spacing w:before="100" w:after="100" w:line="250" w:lineRule="auto"/>
            </w:pPr>
            <w:r>
              <w:rPr>
                <w:b/>
                <w:sz w:val="19"/>
              </w:rPr>
              <w:t>Vorgeschlagenes bestätigendes Kriterium</w:t>
            </w:r>
          </w:p>
        </w:tc>
      </w:tr>
      <w:tr>
        <w:trPr>
          <w:cantSplit/>
        </w:trPr>
        <w:tc>
          <w:tcPr>
            <w:tcW w:type="dxa" w:w="3061"/>
            <w:vAlign w:val="center"/>
          </w:tcPr>
          <w:p>
            <w:pPr>
              <w:spacing w:before="100" w:after="100" w:line="250" w:lineRule="auto"/>
            </w:pPr>
            <w:r>
              <w:rPr>
                <w:b w:val="0"/>
                <w:sz w:val="19"/>
              </w:rPr>
              <w:t>Q Rekonstruktionsqualität</w:t>
            </w:r>
          </w:p>
        </w:tc>
        <w:tc>
          <w:tcPr>
            <w:tcW w:type="dxa" w:w="6576"/>
            <w:vAlign w:val="center"/>
          </w:tcPr>
          <w:p>
            <w:pPr>
              <w:spacing w:before="100" w:after="100" w:line="250" w:lineRule="auto"/>
            </w:pPr>
            <w:r>
              <w:rPr>
                <w:b w:val="0"/>
                <w:sz w:val="19"/>
              </w:rPr>
              <w:t>Untere einseitige Vertrauensgrenze der mittleren gepaarten Verbesserung über 1 dB; alle festgelegten Ressourcen- und Schutzgrenzen erfüllt</w:t>
            </w:r>
          </w:p>
        </w:tc>
      </w:tr>
      <w:tr>
        <w:trPr>
          <w:cantSplit/>
        </w:trPr>
        <w:tc>
          <w:tcPr>
            <w:tcW w:type="dxa" w:w="3061"/>
            <w:vAlign w:val="center"/>
          </w:tcPr>
          <w:p>
            <w:pPr>
              <w:spacing w:before="100" w:after="100" w:line="250" w:lineRule="auto"/>
            </w:pPr>
            <w:r>
              <w:rPr>
                <w:b w:val="0"/>
                <w:sz w:val="19"/>
              </w:rPr>
              <w:t>E Rechenaufwand</w:t>
            </w:r>
          </w:p>
        </w:tc>
        <w:tc>
          <w:tcPr>
            <w:tcW w:type="dxa" w:w="6576"/>
            <w:vAlign w:val="center"/>
          </w:tcPr>
          <w:p>
            <w:pPr>
              <w:spacing w:before="100" w:after="100" w:line="250" w:lineRule="auto"/>
            </w:pPr>
            <w:r>
              <w:rPr>
                <w:b w:val="0"/>
                <w:sz w:val="19"/>
              </w:rPr>
              <w:t>Obere einseitige Vertrauensgrenze des mittleren Laufzeitverhältnisses unter 0,70 und obere Grenze des mittleren MSE-Verhältnisses höchstens 1,02; alle Schutzgrenzen erfüllt</w:t>
            </w:r>
          </w:p>
        </w:tc>
      </w:tr>
    </w:tbl>
    <w:p>
      <w:pPr>
        <w:spacing w:after="0"/>
      </w:pPr>
    </w:p>
    <w:p>
      <w:r>
        <w:rPr>
          <w:b w:val="0"/>
        </w:rPr>
        <w:t>Für Q gilt je Einheit g_i = 10 log10(MSE_Referenz,i / MSE_Kandidat,i). Gemittelt werden g_i mit vorab festgelegten Gewichten. Für E werden Laufzeit_Kandidat / Laufzeit_Referenz und MSE_Kandidat / MSE_Referenz arithmetisch gemittelt. Einheiten mit vielen Fenstern erhalten dadurch nicht automatisch mehr Gewicht. Die Bedeutung von 30 % bezieht sich auf diesen mittleren Quotienten, nicht auf jede Aufnahme.</w:t>
      </w:r>
    </w:p>
    <w:p>
      <w:r>
        <w:rPr>
          <w:b w:val="0"/>
        </w:rPr>
        <w:t>Nullnenner werden als eigene vorab spezifizierte Spezialfälle behandelt, niemals still durch ein günstiges Epsilon ersetzt. Gleichheit bei zwei exakt fehlerfreien Ausgängen ist kein Vorteil. Nicht identifizierbare Quotienten blockieren die betreffende bestätigende Route; absolute Fehler bleiben berichtbar.</w:t>
      </w:r>
    </w:p>
    <w:p>
      <w:pPr>
        <w:pStyle w:val="Heading2"/>
      </w:pPr>
      <w:r>
        <w:rPr>
          <w:b w:val="0"/>
        </w:rPr>
        <w:t>Gemeinsame Schutzgrenzen</w:t>
      </w:r>
    </w:p>
    <w:p>
      <w:r>
        <w:rPr>
          <w:b w:val="0"/>
        </w:rPr>
        <w:t>AP1 legt numerische Grenzen für Amplitudenfehler, Phase, Ereignisverlust, Ereigniszeit und saubere Signale fest. Für V1 kommen die Diagnoseanforderungen aus Abschnitt 4 hinzu. Referenzunsicherheit und Korrelationen werden fortgepflanzt; die Entscheidung muss über den vorab erlaubten Unsicherheitsbereich stabil sein. Reicht die Referenzauflösung nicht für die vorgeschlagene 2-%-Marge, ist Route E nicht auswertbar.</w:t>
      </w:r>
    </w:p>
    <w:p>
      <w:r>
        <w:rPr>
          <w:b w:val="0"/>
        </w:rPr>
        <w:t>Ohne Energieinstrumentierung ist nur eine Aussage zur Rechenzeit zulässig. Ein Energieanspruch erfordert zusätzlich ein vorab definiertes Energiebudget und eine entsprechend abgesicherte Messung.</w:t>
      </w:r>
    </w:p>
    <w:p>
      <w:r>
        <w:br w:type="page"/>
      </w:r>
    </w:p>
    <w:p>
      <w:pPr>
        <w:pStyle w:val="Heading1"/>
      </w:pPr>
      <w:r>
        <w:rPr>
          <w:b w:val="0"/>
        </w:rPr>
        <w:t>4 Erfolg auf realen Maschinendaten</w:t>
      </w:r>
    </w:p>
    <w:p>
      <w:r>
        <w:rPr>
          <w:b w:val="0"/>
        </w:rPr>
        <w:t>Reale Diagnose und Wellenformrekonstruktion sind getrennte Nachweise. Ein bekannter Lagerzustand liefert Klasseninformation, aber nicht automatisch genaue Schadensereigniszeitpunkte. Zeitmetriken werden nur bei belastbarer Ereignisreferenz ausgewertet.</w:t>
      </w:r>
    </w:p>
    <w:p>
      <w:r>
        <w:rPr>
          <w:b w:val="0"/>
        </w:rPr>
        <w:t>Das bestätigende V1-Profil definiert positive Ereignisse, negative Gelegenheiten, Beobachtungsdauer, Alarmzusammenfassung, Totzeit und Detektionsfenster. Sensitivität ist der Anteil erkannter positiver Referenzeinheiten. Falschpositivrate ist der Anteil negativer Referenzeinheiten mit Alarm. Diese Einheiten müssen zum praktischen Einsatz passen. Eine Rate pro Fenster darf nicht als Alarmrate pro Maschinenstunde ausgegeben werden.</w:t>
      </w:r>
    </w:p>
    <w:p>
      <w:pPr>
        <w:pStyle w:val="Heading2"/>
      </w:pPr>
      <w:r>
        <w:rPr>
          <w:b w:val="0"/>
        </w:rPr>
        <w:t>Verbindliche Diagnosebedingungen</w:t>
      </w:r>
    </w:p>
    <w:p>
      <w:r>
        <w:rPr>
          <w:b w:val="0"/>
        </w:rPr>
        <w:t>Alle eingefrorenen Pipelines erhalten dasselbe Daten- und Suchbudget. Detektorfamilie, Trainingsverfahren und Schwellen werden ausschliesslich auf Entwicklungsdaten festgelegt. Ein Vergleich mit unveränderter nachgeschalteter Diagnose isoliert den Filtereffekt; eine separat optimierte Gesamtkette ist eine eigene, vorab benannte Fragestellung.</w:t>
      </w:r>
    </w:p>
    <w:p>
      <w:r>
        <w:rPr>
          <w:b w:val="0"/>
        </w:rPr>
        <w:t>Für die gewählte Vergleichskette und jeden freizugebenden Kandidaten gilt: obere einseitige Vertrauensgrenze der Test-Falschpositivrate höchstens 1 %. Zusätzlich muss die untere Grenze der Sensitivität mindestens den in AP1 begründeten Wert S_min erreichen. S_min ist noch offen. Ein auf Validierungsdaten auf 1 % abgestimmter Schwellenwert allein erfüllt die Testanforderung nicht.</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shd w:fill="E8EDF1"/>
          </w:tcPr>
          <w:p>
            <w:pPr>
              <w:spacing w:before="100" w:after="100" w:line="250" w:lineRule="auto"/>
            </w:pPr>
            <w:r>
              <w:rPr>
                <w:b/>
                <w:sz w:val="19"/>
              </w:rPr>
              <w:t>Primäre Route für reale V1 Daten</w:t>
            </w:r>
          </w:p>
        </w:tc>
        <w:tc>
          <w:tcPr>
            <w:tcW w:type="dxa" w:w="6576"/>
            <w:vAlign w:val="center"/>
            <w:shd w:fill="E8EDF1"/>
          </w:tcPr>
          <w:p>
            <w:pPr>
              <w:spacing w:before="100" w:after="100" w:line="250" w:lineRule="auto"/>
            </w:pPr>
            <w:r>
              <w:rPr>
                <w:b/>
                <w:sz w:val="19"/>
              </w:rPr>
              <w:t>Zusätzlicher Erfolgsnachweis</w:t>
            </w:r>
          </w:p>
        </w:tc>
      </w:tr>
      <w:tr>
        <w:trPr>
          <w:cantSplit/>
        </w:trPr>
        <w:tc>
          <w:tcPr>
            <w:tcW w:type="dxa" w:w="3061"/>
            <w:vAlign w:val="center"/>
          </w:tcPr>
          <w:p>
            <w:pPr>
              <w:spacing w:before="100" w:after="100" w:line="250" w:lineRule="auto"/>
            </w:pPr>
            <w:r>
              <w:rPr>
                <w:b w:val="0"/>
                <w:sz w:val="19"/>
              </w:rPr>
              <w:t>D Diagnosequalität</w:t>
            </w:r>
          </w:p>
        </w:tc>
        <w:tc>
          <w:tcPr>
            <w:tcW w:type="dxa" w:w="6576"/>
            <w:vAlign w:val="center"/>
          </w:tcPr>
          <w:p>
            <w:pPr>
              <w:spacing w:before="100" w:after="100" w:line="250" w:lineRule="auto"/>
            </w:pPr>
            <w:r>
              <w:rPr>
                <w:b w:val="0"/>
                <w:sz w:val="19"/>
              </w:rPr>
              <w:t>Untere Grenze der gepaarten Sensitivitätsverbesserung über eine vorab begründete positive Marge delta_D; Ressourcenbudgets erfüllt</w:t>
            </w:r>
          </w:p>
        </w:tc>
      </w:tr>
      <w:tr>
        <w:trPr>
          <w:cantSplit/>
        </w:trPr>
        <w:tc>
          <w:tcPr>
            <w:tcW w:type="dxa" w:w="3061"/>
            <w:vAlign w:val="center"/>
          </w:tcPr>
          <w:p>
            <w:pPr>
              <w:spacing w:before="100" w:after="100" w:line="250" w:lineRule="auto"/>
            </w:pPr>
            <w:r>
              <w:rPr>
                <w:b w:val="0"/>
                <w:sz w:val="19"/>
              </w:rPr>
              <w:t>ED Rechenaufwand</w:t>
            </w:r>
          </w:p>
        </w:tc>
        <w:tc>
          <w:tcPr>
            <w:tcW w:type="dxa" w:w="6576"/>
            <w:vAlign w:val="center"/>
          </w:tcPr>
          <w:p>
            <w:pPr>
              <w:spacing w:before="100" w:after="100" w:line="250" w:lineRule="auto"/>
            </w:pPr>
            <w:r>
              <w:rPr>
                <w:b w:val="0"/>
                <w:sz w:val="19"/>
              </w:rPr>
              <w:t>Obere Grenze des mittleren Laufzeitverhältnisses unter 0,70; untere Grenze der Sensitivitätsdifferenz mindestens minus 1 Prozentpunkt</w:t>
            </w:r>
          </w:p>
        </w:tc>
      </w:tr>
    </w:tbl>
    <w:p>
      <w:pPr>
        <w:spacing w:after="0"/>
      </w:pPr>
    </w:p>
    <w:p>
      <w:r>
        <w:rPr>
          <w:b w:val="0"/>
        </w:rPr>
        <w:t>delta_D und S_min werden vor Einsicht in Testdaten numerisch festgelegt. Die Nichtunterlegenheitsmarge von 1 Prozentpunkt ist ein Forschungsvorschlag und muss zum Schadensrisiko passen. Eine wirkungslose Vergleichskette erlaubt keine Freigabe allein durch Nichtunterlegenheit.</w:t>
      </w:r>
    </w:p>
    <w:p>
      <w:r>
        <w:rPr>
          <w:b w:val="0"/>
        </w:rPr>
        <w:t xml:space="preserve">Zusätzlich bleiben Amplituden-, Ereignis- und Zeitgrenzen verbindlich, soweit beobachtbar. Aufgabengüte, Fehlalarme und Laufzeit werden gemeinsam entschieden. Ohne diese Festlegungen ist V1 </w:t>
      </w:r>
      <w:r>
        <w:rPr>
          <w:b/>
        </w:rPr>
        <w:t>NOT_READY</w:t>
      </w:r>
      <w:r>
        <w:rPr>
          <w:b w:val="0"/>
        </w:rPr>
        <w:t>; keine Rekonstruktionsmetrik wird ersatzweise erfunden.</w:t>
      </w:r>
    </w:p>
    <w:p>
      <w:r>
        <w:br w:type="page"/>
      </w:r>
    </w:p>
    <w:p>
      <w:pPr>
        <w:pStyle w:val="Heading1"/>
      </w:pPr>
      <w:r>
        <w:rPr>
          <w:b w:val="0"/>
        </w:rPr>
        <w:t>5 Statistik und Freigabe</w:t>
      </w:r>
    </w:p>
    <w:p>
      <w:r>
        <w:rPr>
          <w:b w:val="0"/>
        </w:rPr>
        <w:t>Die unabhängige Auswertungseinheit, Zielpopulation, Gewichtung, Schätzgrösse, einseitige Intervallmethode und Fallzahlplanung werden in AP1 festgeschrieben. Maschinen, Lager oder vollständige Versuche sind mögliche Einheiten. Überlappende Fenster derselben Aufnahme sind keine unabhängigen Replikate.</w:t>
      </w:r>
    </w:p>
    <w:p>
      <w:r>
        <w:rPr>
          <w:b w:val="0"/>
        </w:rPr>
        <w:t>Gepaarte Vergleiche verwenden dieselben Eingaben. Ein Resampling muss die oberste relevante Gruppenstruktur und Paarung erhalten. Sind mehrere Läufe desselben Lagers abhängig, genügt Resampling einzelner Läufe nicht. Bei wenigen Gruppen ist ein gewöhnlicher Bootstrap kein automatischer Ausweg; Modellannahmen, Abdeckung und Teststärke müssen vorab geprüft werden.</w:t>
      </w:r>
    </w:p>
    <w:p>
      <w:pPr>
        <w:pStyle w:val="Heading2"/>
      </w:pPr>
      <w:r>
        <w:rPr>
          <w:b w:val="0"/>
        </w:rPr>
        <w:t>Mehrfachentscheidungen</w:t>
      </w:r>
    </w:p>
    <w:p>
      <w:r>
        <w:rPr>
          <w:b w:val="0"/>
        </w:rPr>
        <w:t>Für eine vorab festgelegte bestätigende Familie von K Kandidaten-Profil-Ansprüchen wird alpha je Anspruch auf 0,05/K begrenzt. Die erste Runde erlaubt höchstens zwei neue Kandidaten in genau einem Profil und je eine primäre Route: bei zwei Ansprüchen sind einseitige 97,5-%-Grenzen vorgesehen. Weitere bestätigende Profile erweitern die Familie oder benötigen einen vorab begründeten hierarchischen Plan.</w:t>
      </w:r>
    </w:p>
    <w:p>
      <w:r>
        <w:rPr>
          <w:b w:val="0"/>
        </w:rPr>
        <w:t>Ein Anspruch verlangt das gleichzeitige Bestehen aller Bedingungen. Dies ist ein Intersection-Union-Prinzip; alternative Erfolgsrouten dürfen nach Testeinsicht nicht ausgewählt werden. Separate Behauptungen über einzelne Endpunkte und nachträgliche Untergruppen sind nicht automatisch mitabgesichert.</w:t>
      </w:r>
    </w:p>
    <w:p>
      <w:pPr>
        <w:pStyle w:val="Heading2"/>
      </w:pPr>
      <w:r>
        <w:rPr>
          <w:b w:val="0"/>
        </w:rPr>
        <w:t>Nullereignisse und Fallzahl</w:t>
      </w:r>
    </w:p>
    <w:p>
      <w:r>
        <w:rPr>
          <w:b w:val="0"/>
        </w:rPr>
        <w:t>Ein Percentile-Bootstrap kann bei null beobachteten Fehlern [0,0] liefern. Dies ist kein belastbarer Nachweis einer Nullfehlerrate. Unter ausdrücklich unabhängigen identisch verteilten Bernoulli-Einheiten beträgt bei null Fehlern die exakte einseitige obere Grenze 1 − alpha^(1/n). Für höchstens 1 % ergeben sich mindestens 299 negative Einheiten bei alpha = 0,05 beziehungsweise 368 bei alpha = 0,025. Das sind Rechenbeispiele, keine Fallzahlplanung für abhängige Maschinenfenster. [S9]</w:t>
      </w:r>
    </w:p>
    <w:p>
      <w:r>
        <w:rPr>
          <w:b w:val="0"/>
        </w:rPr>
        <w:t>Die Gesamtplanung muss alle Schutzgrenzen, positive und negative Einheiten, Unsicherheit und mindestens 80 % Zielteststärke für den festgelegten Anspruch berücksichtigen. Die Annahmen werden dokumentiert und auf Entwicklungsdaten geprüft.</w:t>
      </w:r>
    </w:p>
    <w:p>
      <w:r>
        <w:rPr>
          <w:b/>
        </w:rPr>
        <w:t>PASS:</w:t>
      </w:r>
      <w:r>
        <w:rPr>
          <w:b w:val="0"/>
        </w:rPr>
        <w:t xml:space="preserve"> sämtliche vorab festgelegten Grenzen abgesichert. </w:t>
      </w:r>
      <w:r>
        <w:rPr>
          <w:b/>
        </w:rPr>
        <w:t>FAIL:</w:t>
      </w:r>
      <w:r>
        <w:rPr>
          <w:b w:val="0"/>
        </w:rPr>
        <w:t xml:space="preserve"> eine relevante Grenze nachweislich verletzt oder ein deterministischer Schutztest gescheitert. </w:t>
      </w:r>
      <w:r>
        <w:rPr>
          <w:b/>
        </w:rPr>
        <w:t>INCONCLUSIVE:</w:t>
      </w:r>
      <w:r>
        <w:rPr>
          <w:b w:val="0"/>
        </w:rPr>
        <w:t xml:space="preserve"> weder Einhaltung noch Verletzung hinreichend belegt, etwa bei zu breiten Intervallen. </w:t>
      </w:r>
      <w:r>
        <w:rPr>
          <w:b/>
        </w:rPr>
        <w:t>NOT_READY:</w:t>
      </w:r>
      <w:r>
        <w:rPr>
          <w:b w:val="0"/>
        </w:rPr>
        <w:t xml:space="preserve"> Testplan unvollständig. Nur PASS erlaubt den jeweiligen Anspruch.</w:t>
      </w:r>
    </w:p>
    <w:p>
      <w:r>
        <w:br w:type="page"/>
      </w:r>
    </w:p>
    <w:p>
      <w:pPr>
        <w:pStyle w:val="Heading1"/>
      </w:pPr>
      <w:r>
        <w:rPr>
          <w:b w:val="0"/>
        </w:rPr>
        <w:t>6 Datenaufteilung und begrenzte Suche</w:t>
      </w:r>
    </w:p>
    <w:p>
      <w:r>
        <w:rPr>
          <w:b w:val="0"/>
        </w:rPr>
        <w:t>Die bisherigen 1’440 X6-Vergleichsfälle werden ausschliesslich Entwicklungs- und Regressionsdaten. Ein neuer Abschlusstest benötigt unangetastete Daten. Eine neue Rauschfolge auf einer bereits bekannten Grundkurve prüft Wiederholbarkeit unter diesem Modell, aber keine Übertragbarkeit auf neue Signalarten.</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shd w:fill="E8EDF1"/>
          </w:tcPr>
          <w:p>
            <w:pPr>
              <w:spacing w:before="100" w:after="100" w:line="250" w:lineRule="auto"/>
            </w:pPr>
            <w:r>
              <w:rPr>
                <w:b/>
                <w:sz w:val="19"/>
              </w:rPr>
              <w:t>Phase</w:t>
            </w:r>
          </w:p>
        </w:tc>
        <w:tc>
          <w:tcPr>
            <w:tcW w:type="dxa" w:w="6576"/>
            <w:vAlign w:val="center"/>
            <w:shd w:fill="E8EDF1"/>
          </w:tcPr>
          <w:p>
            <w:pPr>
              <w:spacing w:before="100" w:after="100" w:line="250" w:lineRule="auto"/>
            </w:pPr>
            <w:r>
              <w:rPr>
                <w:b/>
                <w:sz w:val="19"/>
              </w:rPr>
              <w:t>Zulässige Nutzung</w:t>
            </w:r>
          </w:p>
        </w:tc>
      </w:tr>
      <w:tr>
        <w:trPr>
          <w:cantSplit/>
        </w:trPr>
        <w:tc>
          <w:tcPr>
            <w:tcW w:type="dxa" w:w="3061"/>
            <w:vAlign w:val="center"/>
          </w:tcPr>
          <w:p>
            <w:pPr>
              <w:spacing w:before="100" w:after="100" w:line="250" w:lineRule="auto"/>
            </w:pPr>
            <w:r>
              <w:rPr>
                <w:b w:val="0"/>
                <w:sz w:val="19"/>
              </w:rPr>
              <w:t>Entwicklung</w:t>
            </w:r>
          </w:p>
        </w:tc>
        <w:tc>
          <w:tcPr>
            <w:tcW w:type="dxa" w:w="6576"/>
            <w:vAlign w:val="center"/>
          </w:tcPr>
          <w:p>
            <w:pPr>
              <w:spacing w:before="100" w:after="100" w:line="250" w:lineRule="auto"/>
            </w:pPr>
            <w:r>
              <w:rPr>
                <w:b w:val="0"/>
                <w:sz w:val="19"/>
              </w:rPr>
              <w:t>Implementierung, Fehlersuche, Merkmale und Suchräume definieren</w:t>
            </w:r>
          </w:p>
        </w:tc>
      </w:tr>
      <w:tr>
        <w:trPr>
          <w:cantSplit/>
        </w:trPr>
        <w:tc>
          <w:tcPr>
            <w:tcW w:type="dxa" w:w="3061"/>
            <w:vAlign w:val="center"/>
          </w:tcPr>
          <w:p>
            <w:pPr>
              <w:spacing w:before="100" w:after="100" w:line="250" w:lineRule="auto"/>
            </w:pPr>
            <w:r>
              <w:rPr>
                <w:b w:val="0"/>
                <w:sz w:val="19"/>
              </w:rPr>
              <w:t>Validierung</w:t>
            </w:r>
          </w:p>
        </w:tc>
        <w:tc>
          <w:tcPr>
            <w:tcW w:type="dxa" w:w="6576"/>
            <w:vAlign w:val="center"/>
          </w:tcPr>
          <w:p>
            <w:pPr>
              <w:spacing w:before="100" w:after="100" w:line="250" w:lineRule="auto"/>
            </w:pPr>
            <w:r>
              <w:rPr>
                <w:b w:val="0"/>
                <w:sz w:val="19"/>
              </w:rPr>
              <w:t>Parameter und starke Referenz wählen; Ressourcen abschätzen; Fallzahl planen</w:t>
            </w:r>
          </w:p>
        </w:tc>
      </w:tr>
      <w:tr>
        <w:trPr>
          <w:cantSplit/>
        </w:trPr>
        <w:tc>
          <w:tcPr>
            <w:tcW w:type="dxa" w:w="3061"/>
            <w:vAlign w:val="center"/>
          </w:tcPr>
          <w:p>
            <w:pPr>
              <w:spacing w:before="100" w:after="100" w:line="250" w:lineRule="auto"/>
            </w:pPr>
            <w:r>
              <w:rPr>
                <w:b w:val="0"/>
                <w:sz w:val="19"/>
              </w:rPr>
              <w:t>Abschluss</w:t>
            </w:r>
          </w:p>
        </w:tc>
        <w:tc>
          <w:tcPr>
            <w:tcW w:type="dxa" w:w="6576"/>
            <w:vAlign w:val="center"/>
          </w:tcPr>
          <w:p>
            <w:pPr>
              <w:spacing w:before="100" w:after="100" w:line="250" w:lineRule="auto"/>
            </w:pPr>
            <w:r>
              <w:rPr>
                <w:b w:val="0"/>
                <w:sz w:val="19"/>
              </w:rPr>
              <w:t>Eingefrorene Ansprüche einmal auswerten; keine Anpassung anhand der Ergebnisse</w:t>
            </w:r>
          </w:p>
        </w:tc>
      </w:tr>
      <w:tr>
        <w:trPr>
          <w:cantSplit/>
        </w:trPr>
        <w:tc>
          <w:tcPr>
            <w:tcW w:type="dxa" w:w="3061"/>
            <w:vAlign w:val="center"/>
          </w:tcPr>
          <w:p>
            <w:pPr>
              <w:spacing w:before="100" w:after="100" w:line="250" w:lineRule="auto"/>
            </w:pPr>
            <w:r>
              <w:rPr>
                <w:b w:val="0"/>
                <w:sz w:val="19"/>
              </w:rPr>
              <w:t>Externe Replikation</w:t>
            </w:r>
          </w:p>
        </w:tc>
        <w:tc>
          <w:tcPr>
            <w:tcW w:type="dxa" w:w="6576"/>
            <w:vAlign w:val="center"/>
          </w:tcPr>
          <w:p>
            <w:pPr>
              <w:spacing w:before="100" w:after="100" w:line="250" w:lineRule="auto"/>
            </w:pPr>
            <w:r>
              <w:rPr>
                <w:b w:val="0"/>
                <w:sz w:val="19"/>
              </w:rPr>
              <w:t>Neue Maschine oder Standort und Zielplattform nach fixiertem Protokoll</w:t>
            </w:r>
          </w:p>
        </w:tc>
      </w:tr>
    </w:tbl>
    <w:p>
      <w:pPr>
        <w:spacing w:after="0"/>
      </w:pPr>
    </w:p>
    <w:p>
      <w:r>
        <w:rPr>
          <w:b w:val="0"/>
        </w:rPr>
        <w:t>Bei Maschinendaten erfolgt die Trennung nach Lager, Maschine, vollständigem Versuch und gegebenenfalls Standort. Verwandte Aufnahmen werden zusammengehalten. Skalierung, Merkmalswahl, Detektorschwellen und lernende Rauschmodelle werden ohne Zugriff auf Testlabels bestimmt. Eine kausale Onlineanpassung darf nur bereits eingetroffene Daten und zuvor festgelegte Regeln nutzen.</w:t>
      </w:r>
    </w:p>
    <w:p>
      <w:r>
        <w:rPr>
          <w:b w:val="0"/>
        </w:rPr>
        <w:t>Die erste Runde umfasst höchstens 30 vorab bestimmte Konfigurationen je relevanter Referenzfamilie und Kandidat. Zusätzlich werden gesamtes Rechenbudget, Suchstrategie, Abbruchregel und Informationszugang begrenzt. Gleiche Konfigurationszahlen allein garantieren keinen fairen Vergleich. Eine unzureichend abgestimmte Baseline begründet keinen Innovationsnachweis.</w:t>
      </w:r>
    </w:p>
    <w:p>
      <w:pPr>
        <w:pStyle w:val="Heading2"/>
      </w:pPr>
      <w:r>
        <w:rPr>
          <w:b w:val="0"/>
        </w:rPr>
        <w:t>Vor der Öffnung des Abschlusstests</w:t>
      </w:r>
    </w:p>
    <w:p>
      <w:r>
        <w:rPr>
          <w:b w:val="0"/>
        </w:rPr>
        <w:t>Zu archivieren sind Datensatzversionen und Prüfsummen, Gruppenaufteilung, Zielpopulation, Ausschlussregeln, Zufallsstartwerte, Algorithmen und Parameter, Metriken, Vergleichskette, primäre Route, Mehrfachtestfamilie, Intervallverfahren, Fallzahl, Zielhardware und Grenzwerte. Eine Prüfsumme fixiert Inhalt, belegt allein aber keinen unabhängigen Zeitpunkt. Ein öffentlich datierter Freeze oder eine geeignete externe Registrierung erhöht die Nachvollziehbarkeit.</w:t>
      </w:r>
    </w:p>
    <w:p>
      <w:r>
        <w:rPr>
          <w:b w:val="0"/>
        </w:rPr>
        <w:t>Missingness, ungültige Ausgabe, Abbruch und Zeitüberschreitung erhalten vorher definierte Behandlung. Problematische Fälle werden nicht nachträglich aus dem Nenner entfernt. Eine engere Zielpopulation wird mit einer neuen Profilversion und neuem Test geprüft.</w:t>
      </w:r>
    </w:p>
    <w:p>
      <w:r>
        <w:rPr>
          <w:b w:val="0"/>
        </w:rPr>
        <w:t>Zwei erfolglose begrenzte Entwicklungsrunden führen zur Archivierung oder einer neu begründeten Hypothese. Eingesehene Testdaten bleiben verbraucht. Wiederholtes Nachtesten auf demselben Holdout ist keine unabhängige Bestätigung.</w:t>
      </w:r>
    </w:p>
    <w:p>
      <w:r>
        <w:br w:type="page"/>
      </w:r>
    </w:p>
    <w:p>
      <w:pPr>
        <w:pStyle w:val="Heading1"/>
      </w:pPr>
      <w:r>
        <w:rPr>
          <w:b w:val="0"/>
        </w:rPr>
        <w:t>7 Rechenzeit Speicher und Energie</w:t>
      </w:r>
    </w:p>
    <w:p>
      <w:r>
        <w:rPr>
          <w:b w:val="0"/>
        </w:rPr>
        <w:t>Effizienz wird auf benannter Hardware gemessen. AP1 fixiert CPU beziehungsweise Beschleuniger, Betriebssystem, Laufzeitumgebung, Bibliotheken, Präzision, Threadzahl, Energiezustand und Parallelbelastung. Ein flüssiger Browser und eine kleine Operationszahl ersetzen keine Messung.</w:t>
      </w:r>
    </w:p>
    <w:p>
      <w:pPr>
        <w:pStyle w:val="Heading2"/>
      </w:pPr>
      <w:r>
        <w:rPr>
          <w:b w:val="0"/>
        </w:rPr>
        <w:t>Streamingprofil</w:t>
      </w:r>
    </w:p>
    <w:p>
      <w:r>
        <w:rPr>
          <w:b w:val="0"/>
        </w:rPr>
        <w:t>Vier Kanäle mit je 256 Samples treffen bei 25,6 kSamples/s alle 10 ms ein. Für das vorgeschlagene Profil muss der Stream dauerhaft ohne anwachsenden Rückstau verarbeitet werden. Blockverarbeitung, Pufferung, Filterverzögerung, Look-ahead, Datentransport und Ausgabeverfügbarkeit werden in der gesamten Datenlatenz bilanziert. Das Arbeitsziel von 50 ms gestattet keine fortlaufende Verarbeitung von 50 ms pro 10-ms-Block.</w:t>
      </w:r>
    </w:p>
    <w:p>
      <w:r>
        <w:rPr>
          <w:b w:val="0"/>
        </w:rPr>
        <w:t>Zeitstempeldefinition, Dauer, Warm-up, Worst-Case-Eingaben und zulässige Ausfälle sind vor dem Test festzulegen. Das 8-MiB-Ziel zählt zusätzlichen Filterzustand, Puffer, temporäre Arrays und Auswahlmodell; gemeinsame Laufzeit- und Prozesskosten werden zusätzlich ausgewiesen.</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shd w:fill="E8EDF1"/>
          </w:tcPr>
          <w:p>
            <w:pPr>
              <w:spacing w:before="100" w:after="100" w:line="250" w:lineRule="auto"/>
            </w:pPr>
            <w:r>
              <w:rPr>
                <w:b/>
                <w:sz w:val="19"/>
              </w:rPr>
              <w:t>Messgrösse</w:t>
            </w:r>
          </w:p>
        </w:tc>
        <w:tc>
          <w:tcPr>
            <w:tcW w:type="dxa" w:w="6576"/>
            <w:vAlign w:val="center"/>
            <w:shd w:fill="E8EDF1"/>
          </w:tcPr>
          <w:p>
            <w:pPr>
              <w:spacing w:before="100" w:after="100" w:line="250" w:lineRule="auto"/>
            </w:pPr>
            <w:r>
              <w:rPr>
                <w:b/>
                <w:sz w:val="19"/>
              </w:rPr>
              <w:t>Berichtspflicht</w:t>
            </w:r>
          </w:p>
        </w:tc>
      </w:tr>
      <w:tr>
        <w:trPr>
          <w:cantSplit/>
        </w:trPr>
        <w:tc>
          <w:tcPr>
            <w:tcW w:type="dxa" w:w="3061"/>
            <w:vAlign w:val="center"/>
          </w:tcPr>
          <w:p>
            <w:pPr>
              <w:spacing w:before="100" w:after="100" w:line="250" w:lineRule="auto"/>
            </w:pPr>
            <w:r>
              <w:rPr>
                <w:b w:val="0"/>
                <w:sz w:val="19"/>
              </w:rPr>
              <w:t>Rechenzeit</w:t>
            </w:r>
          </w:p>
        </w:tc>
        <w:tc>
          <w:tcPr>
            <w:tcW w:type="dxa" w:w="6576"/>
            <w:vAlign w:val="center"/>
          </w:tcPr>
          <w:p>
            <w:pPr>
              <w:spacing w:before="100" w:after="100" w:line="250" w:lineRule="auto"/>
            </w:pPr>
            <w:r>
              <w:rPr>
                <w:b w:val="0"/>
                <w:sz w:val="19"/>
              </w:rPr>
              <w:t>Initialisierung getrennt; CPU- und verstrichene Zeit; Wiederholungen in ausgewogener Reihenfolge</w:t>
            </w:r>
          </w:p>
        </w:tc>
      </w:tr>
      <w:tr>
        <w:trPr>
          <w:cantSplit/>
        </w:trPr>
        <w:tc>
          <w:tcPr>
            <w:tcW w:type="dxa" w:w="3061"/>
            <w:vAlign w:val="center"/>
          </w:tcPr>
          <w:p>
            <w:pPr>
              <w:spacing w:before="100" w:after="100" w:line="250" w:lineRule="auto"/>
            </w:pPr>
            <w:r>
              <w:rPr>
                <w:b w:val="0"/>
                <w:sz w:val="19"/>
              </w:rPr>
              <w:t>Datenlatenz</w:t>
            </w:r>
          </w:p>
        </w:tc>
        <w:tc>
          <w:tcPr>
            <w:tcW w:type="dxa" w:w="6576"/>
            <w:vAlign w:val="center"/>
          </w:tcPr>
          <w:p>
            <w:pPr>
              <w:spacing w:before="100" w:after="100" w:line="250" w:lineRule="auto"/>
            </w:pPr>
            <w:r>
              <w:rPr>
                <w:b w:val="0"/>
                <w:sz w:val="19"/>
              </w:rPr>
              <w:t>p50, p95, p99, grösster beobachteter Wert, Fristverletzungen und Rückstau</w:t>
            </w:r>
          </w:p>
        </w:tc>
      </w:tr>
      <w:tr>
        <w:trPr>
          <w:cantSplit/>
        </w:trPr>
        <w:tc>
          <w:tcPr>
            <w:tcW w:type="dxa" w:w="3061"/>
            <w:vAlign w:val="center"/>
          </w:tcPr>
          <w:p>
            <w:pPr>
              <w:spacing w:before="100" w:after="100" w:line="250" w:lineRule="auto"/>
            </w:pPr>
            <w:r>
              <w:rPr>
                <w:b w:val="0"/>
                <w:sz w:val="19"/>
              </w:rPr>
              <w:t>Speicher</w:t>
            </w:r>
          </w:p>
        </w:tc>
        <w:tc>
          <w:tcPr>
            <w:tcW w:type="dxa" w:w="6576"/>
            <w:vAlign w:val="center"/>
          </w:tcPr>
          <w:p>
            <w:pPr>
              <w:spacing w:before="100" w:after="100" w:line="250" w:lineRule="auto"/>
            </w:pPr>
            <w:r>
              <w:rPr>
                <w:b w:val="0"/>
                <w:sz w:val="19"/>
              </w:rPr>
              <w:t>Spitzenwert, Messmethode, Messgrenze und inkludierte Komponenten</w:t>
            </w:r>
          </w:p>
        </w:tc>
      </w:tr>
      <w:tr>
        <w:trPr>
          <w:cantSplit/>
        </w:trPr>
        <w:tc>
          <w:tcPr>
            <w:tcW w:type="dxa" w:w="3061"/>
            <w:vAlign w:val="center"/>
          </w:tcPr>
          <w:p>
            <w:pPr>
              <w:spacing w:before="100" w:after="100" w:line="250" w:lineRule="auto"/>
            </w:pPr>
            <w:r>
              <w:rPr>
                <w:b w:val="0"/>
                <w:sz w:val="19"/>
              </w:rPr>
              <w:t>Aufwand der Gesamtkette</w:t>
            </w:r>
          </w:p>
        </w:tc>
        <w:tc>
          <w:tcPr>
            <w:tcW w:type="dxa" w:w="6576"/>
            <w:vAlign w:val="center"/>
          </w:tcPr>
          <w:p>
            <w:pPr>
              <w:spacing w:before="100" w:after="100" w:line="250" w:lineRule="auto"/>
            </w:pPr>
            <w:r>
              <w:rPr>
                <w:b w:val="0"/>
                <w:sz w:val="19"/>
              </w:rPr>
              <w:t>Vorverarbeitung, Filter, Auswahl, Transport und Diagnose einzeln und zusammen</w:t>
            </w:r>
          </w:p>
        </w:tc>
      </w:tr>
      <w:tr>
        <w:trPr>
          <w:cantSplit/>
        </w:trPr>
        <w:tc>
          <w:tcPr>
            <w:tcW w:type="dxa" w:w="3061"/>
            <w:vAlign w:val="center"/>
          </w:tcPr>
          <w:p>
            <w:pPr>
              <w:spacing w:before="100" w:after="100" w:line="250" w:lineRule="auto"/>
            </w:pPr>
            <w:r>
              <w:rPr>
                <w:b w:val="0"/>
                <w:sz w:val="19"/>
              </w:rPr>
              <w:t>Energie</w:t>
            </w:r>
          </w:p>
        </w:tc>
        <w:tc>
          <w:tcPr>
            <w:tcW w:type="dxa" w:w="6576"/>
            <w:vAlign w:val="center"/>
          </w:tcPr>
          <w:p>
            <w:pPr>
              <w:spacing w:before="100" w:after="100" w:line="250" w:lineRule="auto"/>
            </w:pPr>
            <w:r>
              <w:rPr>
                <w:b w:val="0"/>
                <w:sz w:val="19"/>
              </w:rPr>
              <w:t>Messgerät, Messgrenze, zeitliche Integration, Leerlaufbehandlung, Unsicherheit und Joule pro definierter Arbeitseinheit</w:t>
            </w:r>
          </w:p>
        </w:tc>
      </w:tr>
    </w:tbl>
    <w:p>
      <w:pPr>
        <w:spacing w:after="0"/>
      </w:pPr>
    </w:p>
    <w:p>
      <w:r>
        <w:rPr>
          <w:b w:val="0"/>
        </w:rPr>
        <w:t>Laufzeitquotienten werden gepaart bei identischer Arbeit gebildet. Sehr kurze Aufrufe benötigen Bündelung, damit Timerauflösung und Aufrufkosten die Aussage nicht dominieren. Warm-up und Reihenfolge dürfen nicht anhand günstiger Resultate ausgewählt werden. Qualitative Ausfälle und ungültige Ausgaben werden mitgezählt.</w:t>
      </w:r>
    </w:p>
    <w:p>
      <w:r>
        <w:rPr>
          <w:b w:val="0"/>
        </w:rPr>
        <w:t xml:space="preserve">Ein beobachtetes Maximum ist kein formaler Nachweis harter Echtzeit. Ohne Energiemessung lautet der Energiestatus </w:t>
      </w:r>
      <w:r>
        <w:rPr>
          <w:b/>
        </w:rPr>
        <w:t>NOT_MEASURED</w:t>
      </w:r>
      <w:r>
        <w:rPr>
          <w:b w:val="0"/>
        </w:rPr>
        <w:t>. Ein relativer Energiegewinn und ein absolutes Energiebudget benötigen eigene vorab festgelegte Grenzen; bisher sind diese offen. Fehlende Energieangaben sperren einen Energieanspruch, nicht automatisch einen korrekt begrenzten Laufzeitvergleich.</w:t>
      </w:r>
    </w:p>
    <w:p>
      <w:r>
        <w:br w:type="page"/>
      </w:r>
    </w:p>
    <w:p>
      <w:pPr>
        <w:pStyle w:val="Heading1"/>
      </w:pPr>
      <w:r>
        <w:rPr>
          <w:b w:val="0"/>
        </w:rPr>
        <w:t>8 Datenrechte und Referenzmessungen</w:t>
      </w:r>
    </w:p>
    <w:tbl>
      <w:tblPr>
        <w:tblW w:type="auto" w:w="0"/>
        <w:jc w:val="center"/>
        <w:tblLayout w:type="fixed"/>
        <w:tblLook w:firstColumn="1" w:firstRow="1" w:lastColumn="0" w:lastRow="0" w:noHBand="0" w:noVBand="1" w:val="04A0"/>
      </w:tblPr>
      <w:tblGrid>
        <w:gridCol w:w="1928"/>
        <w:gridCol w:w="3798"/>
        <w:gridCol w:w="3912"/>
      </w:tblGrid>
      <w:tr>
        <w:trPr>
          <w:cantSplit/>
          <w:tblHeader/>
        </w:trPr>
        <w:tc>
          <w:tcPr>
            <w:tcW w:type="dxa" w:w="1928"/>
            <w:vAlign w:val="center"/>
            <w:shd w:fill="E8EDF1"/>
          </w:tcPr>
          <w:p>
            <w:pPr>
              <w:spacing w:before="100" w:after="100" w:line="250" w:lineRule="auto"/>
            </w:pPr>
            <w:r>
              <w:rPr>
                <w:b/>
                <w:sz w:val="19"/>
              </w:rPr>
              <w:t>Evidenzstufe</w:t>
            </w:r>
          </w:p>
        </w:tc>
        <w:tc>
          <w:tcPr>
            <w:tcW w:type="dxa" w:w="3798"/>
            <w:vAlign w:val="center"/>
            <w:shd w:fill="E8EDF1"/>
          </w:tcPr>
          <w:p>
            <w:pPr>
              <w:spacing w:before="100" w:after="100" w:line="250" w:lineRule="auto"/>
            </w:pPr>
            <w:r>
              <w:rPr>
                <w:b/>
                <w:sz w:val="19"/>
              </w:rPr>
              <w:t>Zulässiger Schluss</w:t>
            </w:r>
          </w:p>
        </w:tc>
        <w:tc>
          <w:tcPr>
            <w:tcW w:type="dxa" w:w="3912"/>
            <w:vAlign w:val="center"/>
            <w:shd w:fill="E8EDF1"/>
          </w:tcPr>
          <w:p>
            <w:pPr>
              <w:spacing w:before="100" w:after="100" w:line="250" w:lineRule="auto"/>
            </w:pPr>
            <w:r>
              <w:rPr>
                <w:b/>
                <w:sz w:val="19"/>
              </w:rPr>
              <w:t>Grenze</w:t>
            </w:r>
          </w:p>
        </w:tc>
      </w:tr>
      <w:tr>
        <w:trPr>
          <w:cantSplit/>
        </w:trPr>
        <w:tc>
          <w:tcPr>
            <w:tcW w:type="dxa" w:w="1928"/>
            <w:vAlign w:val="center"/>
          </w:tcPr>
          <w:p>
            <w:pPr>
              <w:spacing w:before="100" w:after="100" w:line="250" w:lineRule="auto"/>
            </w:pPr>
            <w:r>
              <w:rPr>
                <w:b w:val="0"/>
                <w:sz w:val="19"/>
              </w:rPr>
              <w:t>A Analytisch</w:t>
            </w:r>
          </w:p>
        </w:tc>
        <w:tc>
          <w:tcPr>
            <w:tcW w:type="dxa" w:w="3798"/>
            <w:vAlign w:val="center"/>
          </w:tcPr>
          <w:p>
            <w:pPr>
              <w:spacing w:before="100" w:after="100" w:line="250" w:lineRule="auto"/>
            </w:pPr>
            <w:r>
              <w:rPr>
                <w:b w:val="0"/>
                <w:sz w:val="19"/>
              </w:rPr>
              <w:t>Spezialfall, Eigenschaft oder Gegenbeispiel</w:t>
            </w:r>
          </w:p>
        </w:tc>
        <w:tc>
          <w:tcPr>
            <w:tcW w:type="dxa" w:w="3912"/>
            <w:vAlign w:val="center"/>
          </w:tcPr>
          <w:p>
            <w:pPr>
              <w:spacing w:before="100" w:after="100" w:line="250" w:lineRule="auto"/>
            </w:pPr>
            <w:r>
              <w:rPr>
                <w:b w:val="0"/>
                <w:sz w:val="19"/>
              </w:rPr>
              <w:t>Kein Sensorversuch</w:t>
            </w:r>
          </w:p>
        </w:tc>
      </w:tr>
      <w:tr>
        <w:trPr>
          <w:cantSplit/>
        </w:trPr>
        <w:tc>
          <w:tcPr>
            <w:tcW w:type="dxa" w:w="1928"/>
            <w:vAlign w:val="center"/>
          </w:tcPr>
          <w:p>
            <w:pPr>
              <w:spacing w:before="100" w:after="100" w:line="250" w:lineRule="auto"/>
            </w:pPr>
            <w:r>
              <w:rPr>
                <w:b w:val="0"/>
                <w:sz w:val="19"/>
              </w:rPr>
              <w:t>B Synthetisch</w:t>
            </w:r>
          </w:p>
        </w:tc>
        <w:tc>
          <w:tcPr>
            <w:tcW w:type="dxa" w:w="3798"/>
            <w:vAlign w:val="center"/>
          </w:tcPr>
          <w:p>
            <w:pPr>
              <w:spacing w:before="100" w:after="100" w:line="250" w:lineRule="auto"/>
            </w:pPr>
            <w:r>
              <w:rPr>
                <w:b w:val="0"/>
                <w:sz w:val="19"/>
              </w:rPr>
              <w:t>Fehler gegen bekannte Referenz</w:t>
            </w:r>
          </w:p>
        </w:tc>
        <w:tc>
          <w:tcPr>
            <w:tcW w:type="dxa" w:w="3912"/>
            <w:vAlign w:val="center"/>
          </w:tcPr>
          <w:p>
            <w:pPr>
              <w:spacing w:before="100" w:after="100" w:line="250" w:lineRule="auto"/>
            </w:pPr>
            <w:r>
              <w:rPr>
                <w:b w:val="0"/>
                <w:sz w:val="19"/>
              </w:rPr>
              <w:t>Bedingt auf Simulationsmodell</w:t>
            </w:r>
          </w:p>
        </w:tc>
      </w:tr>
      <w:tr>
        <w:trPr>
          <w:cantSplit/>
        </w:trPr>
        <w:tc>
          <w:tcPr>
            <w:tcW w:type="dxa" w:w="1928"/>
            <w:vAlign w:val="center"/>
          </w:tcPr>
          <w:p>
            <w:pPr>
              <w:spacing w:before="100" w:after="100" w:line="250" w:lineRule="auto"/>
            </w:pPr>
            <w:r>
              <w:rPr>
                <w:b w:val="0"/>
                <w:sz w:val="19"/>
              </w:rPr>
              <w:t>C Reale Daten</w:t>
            </w:r>
          </w:p>
        </w:tc>
        <w:tc>
          <w:tcPr>
            <w:tcW w:type="dxa" w:w="3798"/>
            <w:vAlign w:val="center"/>
          </w:tcPr>
          <w:p>
            <w:pPr>
              <w:spacing w:before="100" w:after="100" w:line="250" w:lineRule="auto"/>
            </w:pPr>
            <w:r>
              <w:rPr>
                <w:b w:val="0"/>
                <w:sz w:val="19"/>
              </w:rPr>
              <w:t>Diagnoseleistung auf dokumentierter Stichprobe</w:t>
            </w:r>
          </w:p>
        </w:tc>
        <w:tc>
          <w:tcPr>
            <w:tcW w:type="dxa" w:w="3912"/>
            <w:vAlign w:val="center"/>
          </w:tcPr>
          <w:p>
            <w:pPr>
              <w:spacing w:before="100" w:after="100" w:line="250" w:lineRule="auto"/>
            </w:pPr>
            <w:r>
              <w:rPr>
                <w:b w:val="0"/>
                <w:sz w:val="19"/>
              </w:rPr>
              <w:t>Saubere Wellenform oft unbekannt</w:t>
            </w:r>
          </w:p>
        </w:tc>
      </w:tr>
      <w:tr>
        <w:trPr>
          <w:cantSplit/>
        </w:trPr>
        <w:tc>
          <w:tcPr>
            <w:tcW w:type="dxa" w:w="1928"/>
            <w:vAlign w:val="center"/>
          </w:tcPr>
          <w:p>
            <w:pPr>
              <w:spacing w:before="100" w:after="100" w:line="250" w:lineRule="auto"/>
            </w:pPr>
            <w:r>
              <w:rPr>
                <w:b w:val="0"/>
                <w:sz w:val="19"/>
              </w:rPr>
              <w:t>D Referenzmessung</w:t>
            </w:r>
          </w:p>
        </w:tc>
        <w:tc>
          <w:tcPr>
            <w:tcW w:type="dxa" w:w="3798"/>
            <w:vAlign w:val="center"/>
          </w:tcPr>
          <w:p>
            <w:pPr>
              <w:spacing w:before="100" w:after="100" w:line="250" w:lineRule="auto"/>
            </w:pPr>
            <w:r>
              <w:rPr>
                <w:b w:val="0"/>
                <w:sz w:val="19"/>
              </w:rPr>
              <w:t>Messgüte mit Unsicherheitsbudget</w:t>
            </w:r>
          </w:p>
        </w:tc>
        <w:tc>
          <w:tcPr>
            <w:tcW w:type="dxa" w:w="3912"/>
            <w:vAlign w:val="center"/>
          </w:tcPr>
          <w:p>
            <w:pPr>
              <w:spacing w:before="100" w:after="100" w:line="250" w:lineRule="auto"/>
            </w:pPr>
            <w:r>
              <w:rPr>
                <w:b w:val="0"/>
                <w:sz w:val="19"/>
              </w:rPr>
              <w:t>Geprüfte Messkette und Betriebsbereich</w:t>
            </w:r>
          </w:p>
        </w:tc>
      </w:tr>
      <w:tr>
        <w:trPr>
          <w:cantSplit/>
        </w:trPr>
        <w:tc>
          <w:tcPr>
            <w:tcW w:type="dxa" w:w="1928"/>
            <w:vAlign w:val="center"/>
          </w:tcPr>
          <w:p>
            <w:pPr>
              <w:spacing w:before="100" w:after="100" w:line="250" w:lineRule="auto"/>
            </w:pPr>
            <w:r>
              <w:rPr>
                <w:b w:val="0"/>
                <w:sz w:val="19"/>
              </w:rPr>
              <w:t>E Externer Pilot</w:t>
            </w:r>
          </w:p>
        </w:tc>
        <w:tc>
          <w:tcPr>
            <w:tcW w:type="dxa" w:w="3798"/>
            <w:vAlign w:val="center"/>
          </w:tcPr>
          <w:p>
            <w:pPr>
              <w:spacing w:before="100" w:after="100" w:line="250" w:lineRule="auto"/>
            </w:pPr>
            <w:r>
              <w:rPr>
                <w:b w:val="0"/>
                <w:sz w:val="19"/>
              </w:rPr>
              <w:t>Replikation und auftragsbezogener Nutzen</w:t>
            </w:r>
          </w:p>
        </w:tc>
        <w:tc>
          <w:tcPr>
            <w:tcW w:type="dxa" w:w="3912"/>
            <w:vAlign w:val="center"/>
          </w:tcPr>
          <w:p>
            <w:pPr>
              <w:spacing w:before="100" w:after="100" w:line="250" w:lineRule="auto"/>
            </w:pPr>
            <w:r>
              <w:rPr>
                <w:b w:val="0"/>
                <w:sz w:val="19"/>
              </w:rPr>
              <w:t>Keine universelle Industriequalifikation</w:t>
            </w:r>
          </w:p>
        </w:tc>
      </w:tr>
    </w:tbl>
    <w:p>
      <w:pPr>
        <w:spacing w:after="0"/>
      </w:pPr>
    </w:p>
    <w:p>
      <w:r>
        <w:rPr>
          <w:b w:val="0"/>
        </w:rPr>
        <w:t>NASA IMS Bearings ist ein Kandidat für reale Lagerzustandsdaten. Der offizielle Katalog nennt das IMS der University of Cincinnati als Datengeber. Er liefert damit keine saubere Wellenformreferenz. Originaldateien, Beschreibung, Zustandslabels, Gruppenstruktur und Nutzungsbedingungen sind vor Aufnahme zu prüfen. Öffentliche Verfügbarkeit wird nicht mit einer pauschalen Nutzungserlaubnis gleichgesetzt. [S6]</w:t>
      </w:r>
    </w:p>
    <w:p>
      <w:r>
        <w:rPr>
          <w:b w:val="0"/>
        </w:rPr>
        <w:t>Der Paderborner Bearing DataCenter bietet Schwingungs- und Motorstromdaten mit dokumentierten Betriebsbedingungen und Lagerzuständen. Die Quelle nennt CC BY-NC 4.0 und verlangt für kommerzielle Verwendung Kontakt mit den Urhebern. Die Eignung für den vorgesehenen Entwicklungszweck ist vor Nutzung zu klären. Diese Veröffentlichung enthält keine Kopien dieser externen Datensätze. [S7]</w:t>
      </w:r>
    </w:p>
    <w:p>
      <w:r>
        <w:rPr>
          <w:b w:val="0"/>
        </w:rPr>
        <w:t>Das Datenregister führt Herkunft, Abrufdatum, Datei-Hashes, Version, Messkette, Einheiten, Zustandsermittlung, bekannte Mängel, Gruppenschlüssel und belegte Nutzungsbedingungen. Softwarelizenz und Datenrechte werden getrennt geführt.</w:t>
      </w:r>
    </w:p>
    <w:p>
      <w:pPr>
        <w:pStyle w:val="Heading2"/>
      </w:pPr>
      <w:r>
        <w:rPr>
          <w:b w:val="0"/>
        </w:rPr>
        <w:t>Kleiner Referenzversuch</w:t>
      </w:r>
    </w:p>
    <w:p>
      <w:r>
        <w:rPr>
          <w:b w:val="0"/>
        </w:rPr>
        <w:t>Ein gemeinsamer Signalgenerator oder eine dokumentierte Modulationsquelle speist Referenz- und Messpfad. Pegel, Bandbreite, Last, Zeitbasis und Übertragungsfunktionen werden charakterisiert. Zusatzstörung, Drift und echte Ereignisse werden kontrolliert eingebracht. Gemeinsame Fehler und Korrelationen beider Kanäle gehen in das Unsicherheitsbudget ein. [S1, S2]</w:t>
      </w:r>
    </w:p>
    <w:p>
      <w:r>
        <w:rPr>
          <w:b w:val="0"/>
        </w:rPr>
        <w:t>Ein zweiter Kanal oder eine höhere Abtastrate allein ergibt keine kalibrierte Wahrheit. Eine I/Q-Auswertung mit zwei Quadraturen ist für die bekannte Trägeraufgabe eine etablierte Referenz. Sie bestätigt jedoch nicht die Übertragbarkeit auf Lagerschadensimpulse. Die Anforderungen an Synchronisation und Drift werden separat geprüft. [S8]</w:t>
      </w:r>
    </w:p>
    <w:p>
      <w:r>
        <w:br w:type="page"/>
      </w:r>
    </w:p>
    <w:p>
      <w:pPr>
        <w:pStyle w:val="Heading1"/>
      </w:pPr>
      <w:r>
        <w:rPr>
          <w:b w:val="0"/>
        </w:rPr>
        <w:t>9 Robustheit und Gegenbeispiele</w:t>
      </w:r>
    </w:p>
    <w:p>
      <w:r>
        <w:rPr>
          <w:b w:val="0"/>
        </w:rPr>
        <w:t>Das Versuchsdesign schützt diagnostische Information. Eine Verringerung des Gesamtfehlers kann gleichzeitig kleine wichtige Ereignisse auslöschen. Deshalb werden Rekonstruktion, Ereignisverlust und Diagnose getrennt berichtet und gemeinsam freigegeben.</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shd w:fill="E8EDF1"/>
          </w:tcPr>
          <w:p>
            <w:pPr>
              <w:spacing w:before="100" w:after="100" w:line="250" w:lineRule="auto"/>
            </w:pPr>
            <w:r>
              <w:rPr>
                <w:b/>
                <w:sz w:val="19"/>
              </w:rPr>
              <w:t>Pflichtfall</w:t>
            </w:r>
          </w:p>
        </w:tc>
        <w:tc>
          <w:tcPr>
            <w:tcW w:type="dxa" w:w="6576"/>
            <w:vAlign w:val="center"/>
            <w:shd w:fill="E8EDF1"/>
          </w:tcPr>
          <w:p>
            <w:pPr>
              <w:spacing w:before="100" w:after="100" w:line="250" w:lineRule="auto"/>
            </w:pPr>
            <w:r>
              <w:rPr>
                <w:b/>
                <w:sz w:val="19"/>
              </w:rPr>
              <w:t>Zu prüfende Fehlinterpretation</w:t>
            </w:r>
          </w:p>
        </w:tc>
      </w:tr>
      <w:tr>
        <w:trPr>
          <w:cantSplit/>
        </w:trPr>
        <w:tc>
          <w:tcPr>
            <w:tcW w:type="dxa" w:w="3061"/>
            <w:vAlign w:val="center"/>
          </w:tcPr>
          <w:p>
            <w:pPr>
              <w:spacing w:before="100" w:after="100" w:line="250" w:lineRule="auto"/>
            </w:pPr>
            <w:r>
              <w:rPr>
                <w:b w:val="0"/>
                <w:sz w:val="19"/>
              </w:rPr>
              <w:t>Saubere Signale und sehr schwache Ereignisse</w:t>
            </w:r>
          </w:p>
        </w:tc>
        <w:tc>
          <w:tcPr>
            <w:tcW w:type="dxa" w:w="6576"/>
            <w:vAlign w:val="center"/>
          </w:tcPr>
          <w:p>
            <w:pPr>
              <w:spacing w:before="100" w:after="100" w:line="250" w:lineRule="auto"/>
            </w:pPr>
            <w:r>
              <w:rPr>
                <w:b w:val="0"/>
                <w:sz w:val="19"/>
              </w:rPr>
              <w:t>Filter erzeugt erst den Fehler oder entfernt Frühsymptome</w:t>
            </w:r>
          </w:p>
        </w:tc>
      </w:tr>
      <w:tr>
        <w:trPr>
          <w:cantSplit/>
        </w:trPr>
        <w:tc>
          <w:tcPr>
            <w:tcW w:type="dxa" w:w="3061"/>
            <w:vAlign w:val="center"/>
          </w:tcPr>
          <w:p>
            <w:pPr>
              <w:spacing w:before="100" w:after="100" w:line="250" w:lineRule="auto"/>
            </w:pPr>
            <w:r>
              <w:rPr>
                <w:b w:val="0"/>
                <w:sz w:val="19"/>
              </w:rPr>
              <w:t>Weisses, farbiges und signalabhängiges Rauschen</w:t>
            </w:r>
          </w:p>
        </w:tc>
        <w:tc>
          <w:tcPr>
            <w:tcW w:type="dxa" w:w="6576"/>
            <w:vAlign w:val="center"/>
          </w:tcPr>
          <w:p>
            <w:pPr>
              <w:spacing w:before="100" w:after="100" w:line="250" w:lineRule="auto"/>
            </w:pPr>
            <w:r>
              <w:rPr>
                <w:b w:val="0"/>
                <w:sz w:val="19"/>
              </w:rPr>
              <w:t>Modell passt nur zu einer günstigen Rauschart</w:t>
            </w:r>
          </w:p>
        </w:tc>
      </w:tr>
      <w:tr>
        <w:trPr>
          <w:cantSplit/>
        </w:trPr>
        <w:tc>
          <w:tcPr>
            <w:tcW w:type="dxa" w:w="3061"/>
            <w:vAlign w:val="center"/>
          </w:tcPr>
          <w:p>
            <w:pPr>
              <w:spacing w:before="100" w:after="100" w:line="250" w:lineRule="auto"/>
            </w:pPr>
            <w:r>
              <w:rPr>
                <w:b w:val="0"/>
                <w:sz w:val="19"/>
              </w:rPr>
              <w:t>Störimpuls und echter Impuls ähnlicher Form</w:t>
            </w:r>
          </w:p>
        </w:tc>
        <w:tc>
          <w:tcPr>
            <w:tcW w:type="dxa" w:w="6576"/>
            <w:vAlign w:val="center"/>
          </w:tcPr>
          <w:p>
            <w:pPr>
              <w:spacing w:before="100" w:after="100" w:line="250" w:lineRule="auto"/>
            </w:pPr>
            <w:r>
              <w:rPr>
                <w:b w:val="0"/>
                <w:sz w:val="19"/>
              </w:rPr>
              <w:t>Ereignisschutz bewahrt Störung oder entfernt Schaden</w:t>
            </w:r>
          </w:p>
        </w:tc>
      </w:tr>
      <w:tr>
        <w:trPr>
          <w:cantSplit/>
        </w:trPr>
        <w:tc>
          <w:tcPr>
            <w:tcW w:type="dxa" w:w="3061"/>
            <w:vAlign w:val="center"/>
          </w:tcPr>
          <w:p>
            <w:pPr>
              <w:spacing w:before="100" w:after="100" w:line="250" w:lineRule="auto"/>
            </w:pPr>
            <w:r>
              <w:rPr>
                <w:b w:val="0"/>
                <w:sz w:val="19"/>
              </w:rPr>
              <w:t>Frequenz-, Phasen-, Amplituden- und Lastwechsel</w:t>
            </w:r>
          </w:p>
        </w:tc>
        <w:tc>
          <w:tcPr>
            <w:tcW w:type="dxa" w:w="6576"/>
            <w:vAlign w:val="center"/>
          </w:tcPr>
          <w:p>
            <w:pPr>
              <w:spacing w:before="100" w:after="100" w:line="250" w:lineRule="auto"/>
            </w:pPr>
            <w:r>
              <w:rPr>
                <w:b w:val="0"/>
                <w:sz w:val="19"/>
              </w:rPr>
              <w:t>Bekannte Bandgrenzen oder Referenzen verlieren Gültigkeit</w:t>
            </w:r>
          </w:p>
        </w:tc>
      </w:tr>
      <w:tr>
        <w:trPr>
          <w:cantSplit/>
        </w:trPr>
        <w:tc>
          <w:tcPr>
            <w:tcW w:type="dxa" w:w="3061"/>
            <w:vAlign w:val="center"/>
          </w:tcPr>
          <w:p>
            <w:pPr>
              <w:spacing w:before="100" w:after="100" w:line="250" w:lineRule="auto"/>
            </w:pPr>
            <w:r>
              <w:rPr>
                <w:b w:val="0"/>
                <w:sz w:val="19"/>
              </w:rPr>
              <w:t>Nutzsignal und Störung im selben Band</w:t>
            </w:r>
          </w:p>
        </w:tc>
        <w:tc>
          <w:tcPr>
            <w:tcW w:type="dxa" w:w="6576"/>
            <w:vAlign w:val="center"/>
          </w:tcPr>
          <w:p>
            <w:pPr>
              <w:spacing w:before="100" w:after="100" w:line="250" w:lineRule="auto"/>
            </w:pPr>
            <w:r>
              <w:rPr>
                <w:b w:val="0"/>
                <w:sz w:val="19"/>
              </w:rPr>
              <w:t>Spektralselektion trennt nicht identifizierbare Anteile</w:t>
            </w:r>
          </w:p>
        </w:tc>
      </w:tr>
      <w:tr>
        <w:trPr>
          <w:cantSplit/>
        </w:trPr>
        <w:tc>
          <w:tcPr>
            <w:tcW w:type="dxa" w:w="3061"/>
            <w:vAlign w:val="center"/>
          </w:tcPr>
          <w:p>
            <w:pPr>
              <w:spacing w:before="100" w:after="100" w:line="250" w:lineRule="auto"/>
            </w:pPr>
            <w:r>
              <w:rPr>
                <w:b w:val="0"/>
                <w:sz w:val="19"/>
              </w:rPr>
              <w:t>Anlauf, Reset, Blockgrenze und Umschalten</w:t>
            </w:r>
          </w:p>
        </w:tc>
        <w:tc>
          <w:tcPr>
            <w:tcW w:type="dxa" w:w="6576"/>
            <w:vAlign w:val="center"/>
          </w:tcPr>
          <w:p>
            <w:pPr>
              <w:spacing w:before="100" w:after="100" w:line="250" w:lineRule="auto"/>
            </w:pPr>
            <w:r>
              <w:rPr>
                <w:b w:val="0"/>
                <w:sz w:val="19"/>
              </w:rPr>
              <w:t>Randartefakte werden als Ereignisse fehlgedeutet</w:t>
            </w:r>
          </w:p>
        </w:tc>
      </w:tr>
      <w:tr>
        <w:trPr>
          <w:cantSplit/>
        </w:trPr>
        <w:tc>
          <w:tcPr>
            <w:tcW w:type="dxa" w:w="3061"/>
            <w:vAlign w:val="center"/>
          </w:tcPr>
          <w:p>
            <w:pPr>
              <w:spacing w:before="100" w:after="100" w:line="250" w:lineRule="auto"/>
            </w:pPr>
            <w:r>
              <w:rPr>
                <w:b w:val="0"/>
                <w:sz w:val="19"/>
              </w:rPr>
              <w:t>Clipping, Aussetzer und Zeitstempelfehler</w:t>
            </w:r>
          </w:p>
        </w:tc>
        <w:tc>
          <w:tcPr>
            <w:tcW w:type="dxa" w:w="6576"/>
            <w:vAlign w:val="center"/>
          </w:tcPr>
          <w:p>
            <w:pPr>
              <w:spacing w:before="100" w:after="100" w:line="250" w:lineRule="auto"/>
            </w:pPr>
            <w:r>
              <w:rPr>
                <w:b w:val="0"/>
                <w:sz w:val="19"/>
              </w:rPr>
              <w:t>Messfehler werden als gewöhnliches Rauschen behandelt</w:t>
            </w:r>
          </w:p>
        </w:tc>
      </w:tr>
      <w:tr>
        <w:trPr>
          <w:cantSplit/>
        </w:trPr>
        <w:tc>
          <w:tcPr>
            <w:tcW w:type="dxa" w:w="3061"/>
            <w:vAlign w:val="center"/>
          </w:tcPr>
          <w:p>
            <w:pPr>
              <w:spacing w:before="100" w:after="100" w:line="250" w:lineRule="auto"/>
            </w:pPr>
            <w:r>
              <w:rPr>
                <w:b w:val="0"/>
                <w:sz w:val="19"/>
              </w:rPr>
              <w:t>Geänderte Maschine oder Sensorankopplung</w:t>
            </w:r>
          </w:p>
        </w:tc>
        <w:tc>
          <w:tcPr>
            <w:tcW w:type="dxa" w:w="6576"/>
            <w:vAlign w:val="center"/>
          </w:tcPr>
          <w:p>
            <w:pPr>
              <w:spacing w:before="100" w:after="100" w:line="250" w:lineRule="auto"/>
            </w:pPr>
            <w:r>
              <w:rPr>
                <w:b w:val="0"/>
                <w:sz w:val="19"/>
              </w:rPr>
              <w:t>Verdeckte Verteilungsänderung entwertet den Vergleich</w:t>
            </w:r>
          </w:p>
        </w:tc>
      </w:tr>
    </w:tbl>
    <w:p>
      <w:pPr>
        <w:spacing w:after="0"/>
      </w:pPr>
    </w:p>
    <w:p>
      <w:r>
        <w:rPr>
          <w:b w:val="0"/>
        </w:rPr>
        <w:t>Bei ununterscheidbaren Eingaben mit unterschiedlichen gewünschten Ausgängen kann kein allein auf dieser Eingabe beruhender Filter beide Aufgaben sicher lösen. Dann müssen zusätzliche Referenzen, ein engerer Einsatzbereich oder eine explizite Unbestimmtheit vorgesehen werden. Das ist eine Grenze der Information, kein durch stärkere Glättung lösbarer Fehler.</w:t>
      </w:r>
    </w:p>
    <w:p>
      <w:r>
        <w:rPr>
          <w:b w:val="0"/>
        </w:rPr>
        <w:t xml:space="preserve">Ereignisannotation und Zeitfenster werden unabhängig vom gefilterten Ausgang festgelegt. Wo eine reale Aufnahme keine zuverlässige Ereigniszeit liefert, entfällt der Zeitnachweis als </w:t>
      </w:r>
      <w:r>
        <w:rPr>
          <w:b/>
        </w:rPr>
        <w:t>NOT_AVAILABLE</w:t>
      </w:r>
      <w:r>
        <w:rPr>
          <w:b w:val="0"/>
        </w:rPr>
        <w:t>. Er wird in einem geeigneten Referenzversuch untersucht. Dies ist keine stillschweigende Erfüllung der Schutzanforderung.</w:t>
      </w:r>
    </w:p>
    <w:p>
      <w:r>
        <w:rPr>
          <w:b w:val="0"/>
        </w:rPr>
        <w:t>Gegenbeispiele werden mit Eingabe, Parametern, erwartetem Verhalten und tatsächlichem Ausgang archiviert. Neue Versagensfälle werden Regressionstests und können den Einsatzbereich einschränken. Ein robustes Ergebnis verlangt nicht nur einen positiven Durchschnitt, sondern die Einhaltung aller vorab definierten Schutzbedingungen im beanspruchten Profil.</w:t>
      </w:r>
    </w:p>
    <w:p>
      <w:r>
        <w:br w:type="page"/>
      </w:r>
    </w:p>
    <w:p>
      <w:pPr>
        <w:pStyle w:val="Heading1"/>
      </w:pPr>
      <w:r>
        <w:rPr>
          <w:b w:val="0"/>
        </w:rPr>
        <w:t>10 Anschluss an das Astrolabium</w:t>
      </w:r>
    </w:p>
    <w:p>
      <w:r>
        <w:rPr>
          <w:b w:val="0"/>
        </w:rPr>
        <w:t xml:space="preserve">Der geprüfte Referenzstand ist Commit </w:t>
      </w:r>
      <w:r>
        <w:rPr>
          <w:b w:val="0"/>
          <w:sz w:val="18"/>
        </w:rPr>
        <w:t>5d4a711202dfd4c0befd098369842e08281d2caa</w:t>
      </w:r>
      <w:r>
        <w:rPr>
          <w:b w:val="0"/>
        </w:rPr>
        <w:t xml:space="preserve">, Datei </w:t>
      </w:r>
      <w:r>
        <w:rPr>
          <w:b w:val="0"/>
          <w:sz w:val="18"/>
        </w:rPr>
        <w:t>app/signal-lab-core.js</w:t>
      </w:r>
      <w:r>
        <w:rPr>
          <w:b w:val="0"/>
        </w:rPr>
        <w:t xml:space="preserve">, Version 1.0.0. Der Kern exportiert </w:t>
      </w:r>
      <w:r>
        <w:rPr>
          <w:b w:val="0"/>
          <w:sz w:val="18"/>
        </w:rPr>
        <w:t>defaults</w:t>
      </w:r>
      <w:r>
        <w:rPr>
          <w:b w:val="0"/>
        </w:rPr>
        <w:t xml:space="preserve">, </w:t>
      </w:r>
      <w:r>
        <w:rPr>
          <w:b w:val="0"/>
          <w:sz w:val="18"/>
        </w:rPr>
        <w:t>validate</w:t>
      </w:r>
      <w:r>
        <w:rPr>
          <w:b w:val="0"/>
        </w:rPr>
        <w:t xml:space="preserve">, </w:t>
      </w:r>
      <w:r>
        <w:rPr>
          <w:b w:val="0"/>
          <w:sz w:val="18"/>
        </w:rPr>
        <w:t>run</w:t>
      </w:r>
      <w:r>
        <w:rPr>
          <w:b w:val="0"/>
        </w:rPr>
        <w:t xml:space="preserve">, </w:t>
      </w:r>
      <w:r>
        <w:rPr>
          <w:b w:val="0"/>
          <w:sz w:val="18"/>
        </w:rPr>
        <w:t>evaluate</w:t>
      </w:r>
      <w:r>
        <w:rPr>
          <w:b w:val="0"/>
        </w:rPr>
        <w:t xml:space="preserve"> und </w:t>
      </w:r>
      <w:r>
        <w:rPr>
          <w:b w:val="0"/>
          <w:sz w:val="18"/>
        </w:rPr>
        <w:t>runCounterexamples</w:t>
      </w:r>
      <w:r>
        <w:rPr>
          <w:b w:val="0"/>
        </w:rPr>
        <w:t xml:space="preserve">. </w:t>
      </w:r>
      <w:r>
        <w:rPr>
          <w:b w:val="0"/>
          <w:sz w:val="18"/>
        </w:rPr>
        <w:t>run</w:t>
      </w:r>
      <w:r>
        <w:rPr>
          <w:b w:val="0"/>
        </w:rPr>
        <w:t xml:space="preserve"> führt vier fest benannte Verfahren aus. </w:t>
      </w:r>
      <w:r>
        <w:rPr>
          <w:b w:val="0"/>
          <w:sz w:val="18"/>
        </w:rPr>
        <w:t>evaluate</w:t>
      </w:r>
      <w:r>
        <w:rPr>
          <w:b w:val="0"/>
        </w:rPr>
        <w:t xml:space="preserve"> erwartet dichte, gleich lange gewöhnliche Arrays mit Zweierpotenzlänge 128 bis 4096 und gibt derzeit </w:t>
      </w:r>
      <w:r>
        <w:rPr>
          <w:b w:val="0"/>
          <w:sz w:val="18"/>
        </w:rPr>
        <w:t>SYNTHETIC_RESULT</w:t>
      </w:r>
      <w:r>
        <w:rPr>
          <w:b w:val="0"/>
        </w:rPr>
        <w:t xml:space="preserve"> aus. [E2]</w:t>
      </w:r>
    </w:p>
    <w:p>
      <w:r>
        <w:rPr>
          <w:b w:val="0"/>
        </w:rPr>
        <w:t>Ein versionierter Adapter soll das Portfolio unabhängig von der Oberfläche ausführen. Die vorhandene synthetische Prüfung bleibt Referenz. Gemessene Daten benötigen überprüfte Herkunft und Referenzart. Ein blosses Umbenennen des Ergebnislabels würde die Gültigkeit der bestehenden Annahmen nicht ändern.</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shd w:fill="E8EDF1"/>
          </w:tcPr>
          <w:p>
            <w:pPr>
              <w:spacing w:before="100" w:after="100" w:line="250" w:lineRule="auto"/>
            </w:pPr>
            <w:r>
              <w:rPr>
                <w:b/>
                <w:sz w:val="19"/>
              </w:rPr>
              <w:t>Vertragsteil</w:t>
            </w:r>
          </w:p>
        </w:tc>
        <w:tc>
          <w:tcPr>
            <w:tcW w:type="dxa" w:w="6576"/>
            <w:vAlign w:val="center"/>
            <w:shd w:fill="E8EDF1"/>
          </w:tcPr>
          <w:p>
            <w:pPr>
              <w:spacing w:before="100" w:after="100" w:line="250" w:lineRule="auto"/>
            </w:pPr>
            <w:r>
              <w:rPr>
                <w:b/>
                <w:sz w:val="19"/>
              </w:rPr>
              <w:t>Vorgesehener Inhalt</w:t>
            </w:r>
          </w:p>
        </w:tc>
      </w:tr>
      <w:tr>
        <w:trPr>
          <w:cantSplit/>
        </w:trPr>
        <w:tc>
          <w:tcPr>
            <w:tcW w:type="dxa" w:w="3061"/>
            <w:vAlign w:val="center"/>
          </w:tcPr>
          <w:p>
            <w:pPr>
              <w:spacing w:before="100" w:after="100" w:line="250" w:lineRule="auto"/>
            </w:pPr>
            <w:r>
              <w:rPr>
                <w:b w:val="0"/>
                <w:sz w:val="19"/>
              </w:rPr>
              <w:t>Eingang</w:t>
            </w:r>
          </w:p>
        </w:tc>
        <w:tc>
          <w:tcPr>
            <w:tcW w:type="dxa" w:w="6576"/>
            <w:vAlign w:val="center"/>
          </w:tcPr>
          <w:p>
            <w:pPr>
              <w:spacing w:before="100" w:after="100" w:line="250" w:lineRule="auto"/>
            </w:pPr>
            <w:r>
              <w:rPr>
                <w:b w:val="0"/>
                <w:sz w:val="19"/>
              </w:rPr>
              <w:t>Samples, Kanalnamen, Einheit, Abtastrate oder Zeitstempel, Herkunft, Referenztyp, gültige Bereiche</w:t>
            </w:r>
          </w:p>
        </w:tc>
      </w:tr>
      <w:tr>
        <w:trPr>
          <w:cantSplit/>
        </w:trPr>
        <w:tc>
          <w:tcPr>
            <w:tcW w:type="dxa" w:w="3061"/>
            <w:vAlign w:val="center"/>
          </w:tcPr>
          <w:p>
            <w:pPr>
              <w:spacing w:before="100" w:after="100" w:line="250" w:lineRule="auto"/>
            </w:pPr>
            <w:r>
              <w:rPr>
                <w:b w:val="0"/>
                <w:sz w:val="19"/>
              </w:rPr>
              <w:t>Filter</w:t>
            </w:r>
          </w:p>
        </w:tc>
        <w:tc>
          <w:tcPr>
            <w:tcW w:type="dxa" w:w="6576"/>
            <w:vAlign w:val="center"/>
          </w:tcPr>
          <w:p>
            <w:pPr>
              <w:spacing w:before="100" w:after="100" w:line="250" w:lineRule="auto"/>
            </w:pPr>
            <w:r>
              <w:rPr>
                <w:b w:val="0"/>
                <w:sz w:val="19"/>
              </w:rPr>
              <w:t>ID, Quellversion, Parameter, Präzision, Zustand, Kausalität, Vorschau, zulässige Blockgrössen</w:t>
            </w:r>
          </w:p>
        </w:tc>
      </w:tr>
      <w:tr>
        <w:trPr>
          <w:cantSplit/>
        </w:trPr>
        <w:tc>
          <w:tcPr>
            <w:tcW w:type="dxa" w:w="3061"/>
            <w:vAlign w:val="center"/>
          </w:tcPr>
          <w:p>
            <w:pPr>
              <w:spacing w:before="100" w:after="100" w:line="250" w:lineRule="auto"/>
            </w:pPr>
            <w:r>
              <w:rPr>
                <w:b w:val="0"/>
                <w:sz w:val="19"/>
              </w:rPr>
              <w:t>Ausgang</w:t>
            </w:r>
          </w:p>
        </w:tc>
        <w:tc>
          <w:tcPr>
            <w:tcW w:type="dxa" w:w="6576"/>
            <w:vAlign w:val="center"/>
          </w:tcPr>
          <w:p>
            <w:pPr>
              <w:spacing w:before="100" w:after="100" w:line="250" w:lineRule="auto"/>
            </w:pPr>
            <w:r>
              <w:rPr>
                <w:b w:val="0"/>
                <w:sz w:val="19"/>
              </w:rPr>
              <w:t>Samples und Zeitzuordnung, Anlauf und Ränder, ungültige Abschnitte, Verzögerung und Ressourcen</w:t>
            </w:r>
          </w:p>
        </w:tc>
      </w:tr>
      <w:tr>
        <w:trPr>
          <w:cantSplit/>
        </w:trPr>
        <w:tc>
          <w:tcPr>
            <w:tcW w:type="dxa" w:w="3061"/>
            <w:vAlign w:val="center"/>
          </w:tcPr>
          <w:p>
            <w:pPr>
              <w:spacing w:before="100" w:after="100" w:line="250" w:lineRule="auto"/>
            </w:pPr>
            <w:r>
              <w:rPr>
                <w:b w:val="0"/>
                <w:sz w:val="19"/>
              </w:rPr>
              <w:t>Bewertung</w:t>
            </w:r>
          </w:p>
        </w:tc>
        <w:tc>
          <w:tcPr>
            <w:tcW w:type="dxa" w:w="6576"/>
            <w:vAlign w:val="center"/>
          </w:tcPr>
          <w:p>
            <w:pPr>
              <w:spacing w:before="100" w:after="100" w:line="250" w:lineRule="auto"/>
            </w:pPr>
            <w:r>
              <w:rPr>
                <w:b w:val="0"/>
                <w:sz w:val="19"/>
              </w:rPr>
              <w:t>Profilversion, Metrik, Einheit, Schätzgrösse, Unsicherheit, Referenz sowie Entscheidungsstatus</w:t>
            </w:r>
          </w:p>
        </w:tc>
      </w:tr>
      <w:tr>
        <w:trPr>
          <w:cantSplit/>
        </w:trPr>
        <w:tc>
          <w:tcPr>
            <w:tcW w:type="dxa" w:w="3061"/>
            <w:vAlign w:val="center"/>
          </w:tcPr>
          <w:p>
            <w:pPr>
              <w:spacing w:before="100" w:after="100" w:line="250" w:lineRule="auto"/>
            </w:pPr>
            <w:r>
              <w:rPr>
                <w:b w:val="0"/>
                <w:sz w:val="19"/>
              </w:rPr>
              <w:t>Nachweis</w:t>
            </w:r>
          </w:p>
        </w:tc>
        <w:tc>
          <w:tcPr>
            <w:tcW w:type="dxa" w:w="6576"/>
            <w:vAlign w:val="center"/>
          </w:tcPr>
          <w:p>
            <w:pPr>
              <w:spacing w:before="100" w:after="100" w:line="250" w:lineRule="auto"/>
            </w:pPr>
            <w:r>
              <w:rPr>
                <w:b w:val="0"/>
                <w:sz w:val="19"/>
              </w:rPr>
              <w:t>Code- und Daten-Hashes, Umgebung, Seeds, Aufteilung, Fehlerprotokoll und Ergebnisdateien</w:t>
            </w:r>
          </w:p>
        </w:tc>
      </w:tr>
    </w:tbl>
    <w:p>
      <w:pPr>
        <w:spacing w:after="0"/>
      </w:pPr>
    </w:p>
    <w:p>
      <w:r>
        <w:rPr>
          <w:b w:val="0"/>
        </w:rPr>
        <w:t>Python dient zunächst als überprüfbarer Referenzrunner. JavaScript oder WebAssembly erhalten denselben Vertrag erst nach unabhängigen Vergleichstests. Lange und mehrkanalige Signale dürfen weder still gekürzt noch unbemerkt umskaliert werden. Streamingtests prüfen Reset, Zustandsübergänge und Äquivalenz bei erlaubter Blockaufteilung.</w:t>
      </w:r>
    </w:p>
    <w:p>
      <w:r>
        <w:rPr>
          <w:b w:val="0"/>
        </w:rPr>
        <w:t xml:space="preserve">Die Oberfläche soll Rohdaten, Ergebnis und Differenz mit Filterparametern und Herkunft zeigen. Nicht verfügbare Metriken erhalten einen Grund, niemals eine erfundene Zahl. </w:t>
      </w:r>
      <w:r>
        <w:rPr>
          <w:b/>
        </w:rPr>
        <w:t>NOT_RUN</w:t>
      </w:r>
      <w:r>
        <w:rPr>
          <w:b w:val="0"/>
        </w:rPr>
        <w:t xml:space="preserve">, </w:t>
      </w:r>
      <w:r>
        <w:rPr>
          <w:b/>
        </w:rPr>
        <w:t>NOT_AVAILABLE</w:t>
      </w:r>
      <w:r>
        <w:rPr>
          <w:b w:val="0"/>
        </w:rPr>
        <w:t xml:space="preserve">, </w:t>
      </w:r>
      <w:r>
        <w:rPr>
          <w:b/>
        </w:rPr>
        <w:t>NOT_READY</w:t>
      </w:r>
      <w:r>
        <w:rPr>
          <w:b w:val="0"/>
        </w:rPr>
        <w:t xml:space="preserve"> und </w:t>
      </w:r>
      <w:r>
        <w:rPr>
          <w:b/>
        </w:rPr>
        <w:t>INCONCLUSIVE</w:t>
      </w:r>
      <w:r>
        <w:rPr>
          <w:b w:val="0"/>
        </w:rPr>
        <w:t xml:space="preserve"> bleiben von </w:t>
      </w:r>
      <w:r>
        <w:rPr>
          <w:b/>
        </w:rPr>
        <w:t>PASS</w:t>
      </w:r>
      <w:r>
        <w:rPr>
          <w:b w:val="0"/>
        </w:rPr>
        <w:t xml:space="preserve"> und </w:t>
      </w:r>
      <w:r>
        <w:rPr>
          <w:b/>
        </w:rPr>
        <w:t>FAIL</w:t>
      </w:r>
      <w:r>
        <w:rPr>
          <w:b w:val="0"/>
        </w:rPr>
        <w:t xml:space="preserve"> getrennt.</w:t>
      </w:r>
    </w:p>
    <w:p>
      <w:r>
        <w:rPr>
          <w:b/>
        </w:rPr>
        <w:t>Implementierungsstand:</w:t>
      </w:r>
      <w:r>
        <w:rPr>
          <w:b w:val="0"/>
        </w:rPr>
        <w:t xml:space="preserve"> Dieser Adaptervertrag und das neue Portfolio sind spezifiziert, aber nicht implementiert. Die Veröffentlichung ändert keinen Anwendungskern und führt keine Hardwaresteuerung ein. Leistungsnachweise entstehen auf benannter Zielhardware mit protokollierter Gesamtkette.</w:t>
      </w:r>
    </w:p>
    <w:p>
      <w:r>
        <w:br w:type="page"/>
      </w:r>
    </w:p>
    <w:p>
      <w:pPr>
        <w:pStyle w:val="Heading1"/>
      </w:pPr>
      <w:r>
        <w:rPr>
          <w:b w:val="0"/>
        </w:rPr>
        <w:t>11 Dokumentierter X6 Befund</w:t>
      </w:r>
    </w:p>
    <w:p>
      <w:r>
        <w:rPr>
          <w:b w:val="0"/>
        </w:rPr>
        <w:t>Der untersuchte ursprüngliche Filter wählt nach absoluter Fourierphase. Hauptkonfiguration ist Zentrum 0°, Gesamtbreite 45°, Pass-Modus; dies entspricht einem Durchlass von ±22,5°. Die Aussagen betreffen diese Konfiguration und die deklarierten synthetischen Offlineversuche. [E1]</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shd w:fill="E8EDF1"/>
          </w:tcPr>
          <w:p>
            <w:pPr>
              <w:spacing w:before="100" w:after="100" w:line="250" w:lineRule="auto"/>
            </w:pPr>
            <w:r>
              <w:rPr>
                <w:b/>
                <w:sz w:val="19"/>
              </w:rPr>
              <w:t>Nachweis aus dem Archiv</w:t>
            </w:r>
          </w:p>
        </w:tc>
        <w:tc>
          <w:tcPr>
            <w:tcW w:type="dxa" w:w="6576"/>
            <w:vAlign w:val="center"/>
            <w:shd w:fill="E8EDF1"/>
          </w:tcPr>
          <w:p>
            <w:pPr>
              <w:spacing w:before="100" w:after="100" w:line="250" w:lineRule="auto"/>
            </w:pPr>
            <w:r>
              <w:rPr>
                <w:b/>
                <w:sz w:val="19"/>
              </w:rPr>
              <w:t>Ergebnis</w:t>
            </w:r>
          </w:p>
        </w:tc>
      </w:tr>
      <w:tr>
        <w:trPr>
          <w:cantSplit/>
        </w:trPr>
        <w:tc>
          <w:tcPr>
            <w:tcW w:type="dxa" w:w="3061"/>
            <w:vAlign w:val="center"/>
          </w:tcPr>
          <w:p>
            <w:pPr>
              <w:spacing w:before="100" w:after="100" w:line="250" w:lineRule="auto"/>
            </w:pPr>
            <w:r>
              <w:rPr>
                <w:b w:val="0"/>
                <w:sz w:val="19"/>
              </w:rPr>
              <w:t>Numerische Prüfungen</w:t>
            </w:r>
          </w:p>
        </w:tc>
        <w:tc>
          <w:tcPr>
            <w:tcW w:type="dxa" w:w="6576"/>
            <w:vAlign w:val="center"/>
          </w:tcPr>
          <w:p>
            <w:pPr>
              <w:spacing w:before="100" w:after="100" w:line="250" w:lineRule="auto"/>
            </w:pPr>
            <w:r>
              <w:rPr>
                <w:b w:val="0"/>
                <w:sz w:val="19"/>
              </w:rPr>
              <w:t>25 Kerntests und 198 Referenzprüfungen bestanden; 64 zusätzliche Oracle-Datensätze innerhalb der Toleranz</w:t>
            </w:r>
          </w:p>
        </w:tc>
      </w:tr>
      <w:tr>
        <w:trPr>
          <w:cantSplit/>
        </w:trPr>
        <w:tc>
          <w:tcPr>
            <w:tcW w:type="dxa" w:w="3061"/>
            <w:vAlign w:val="center"/>
          </w:tcPr>
          <w:p>
            <w:pPr>
              <w:spacing w:before="100" w:after="100" w:line="250" w:lineRule="auto"/>
            </w:pPr>
            <w:r>
              <w:rPr>
                <w:b w:val="0"/>
                <w:sz w:val="19"/>
              </w:rPr>
              <w:t>Gemischte Signalsuite</w:t>
            </w:r>
          </w:p>
        </w:tc>
        <w:tc>
          <w:tcPr>
            <w:tcW w:type="dxa" w:w="6576"/>
            <w:vAlign w:val="center"/>
          </w:tcPr>
          <w:p>
            <w:pPr>
              <w:spacing w:before="100" w:after="100" w:line="250" w:lineRule="auto"/>
            </w:pPr>
            <w:r>
              <w:rPr>
                <w:b w:val="0"/>
                <w:sz w:val="19"/>
              </w:rPr>
              <w:t>953 von 1’152 Fällen mit erhöhtem Fehler; mittlere Verbesserung X6 −7,75 dB, FIR +3,97 dB</w:t>
            </w:r>
          </w:p>
        </w:tc>
      </w:tr>
      <w:tr>
        <w:trPr>
          <w:cantSplit/>
        </w:trPr>
        <w:tc>
          <w:tcPr>
            <w:tcW w:type="dxa" w:w="3061"/>
            <w:vAlign w:val="center"/>
          </w:tcPr>
          <w:p>
            <w:pPr>
              <w:spacing w:before="100" w:after="100" w:line="250" w:lineRule="auto"/>
            </w:pPr>
            <w:r>
              <w:rPr>
                <w:b w:val="0"/>
                <w:sz w:val="19"/>
              </w:rPr>
              <w:t>Ideal bekannte Referenzphase</w:t>
            </w:r>
          </w:p>
        </w:tc>
        <w:tc>
          <w:tcPr>
            <w:tcW w:type="dxa" w:w="6576"/>
            <w:vAlign w:val="center"/>
          </w:tcPr>
          <w:p>
            <w:pPr>
              <w:spacing w:before="100" w:after="100" w:line="250" w:lineRule="auto"/>
            </w:pPr>
            <w:r>
              <w:rPr>
                <w:b w:val="0"/>
                <w:sz w:val="19"/>
              </w:rPr>
              <w:t>288 Fälle; X6 +8,85 dB, kohärente Projektion +31,54 dB</w:t>
            </w:r>
          </w:p>
        </w:tc>
      </w:tr>
      <w:tr>
        <w:trPr>
          <w:cantSplit/>
        </w:trPr>
        <w:tc>
          <w:tcPr>
            <w:tcW w:type="dxa" w:w="3061"/>
            <w:vAlign w:val="center"/>
          </w:tcPr>
          <w:p>
            <w:pPr>
              <w:spacing w:before="100" w:after="100" w:line="250" w:lineRule="auto"/>
            </w:pPr>
            <w:r>
              <w:rPr>
                <w:b w:val="0"/>
                <w:sz w:val="19"/>
              </w:rPr>
              <w:t>Sauberer 16-Hz-Ton</w:t>
            </w:r>
          </w:p>
        </w:tc>
        <w:tc>
          <w:tcPr>
            <w:tcW w:type="dxa" w:w="6576"/>
            <w:vAlign w:val="center"/>
          </w:tcPr>
          <w:p>
            <w:pPr>
              <w:spacing w:before="100" w:after="100" w:line="250" w:lineRule="auto"/>
            </w:pPr>
            <w:r>
              <w:rPr>
                <w:b w:val="0"/>
                <w:sz w:val="19"/>
              </w:rPr>
              <w:t>Bei 0° erhalten, bei 90° praktisch vollständig verworfen</w:t>
            </w:r>
          </w:p>
        </w:tc>
      </w:tr>
      <w:tr>
        <w:trPr>
          <w:cantSplit/>
        </w:trPr>
        <w:tc>
          <w:tcPr>
            <w:tcW w:type="dxa" w:w="3061"/>
            <w:vAlign w:val="center"/>
          </w:tcPr>
          <w:p>
            <w:pPr>
              <w:spacing w:before="100" w:after="100" w:line="250" w:lineRule="auto"/>
            </w:pPr>
            <w:r>
              <w:rPr>
                <w:b w:val="0"/>
                <w:sz w:val="19"/>
              </w:rPr>
              <w:t>Strukturelle Gegenbeispiele</w:t>
            </w:r>
          </w:p>
        </w:tc>
        <w:tc>
          <w:tcPr>
            <w:tcW w:type="dxa" w:w="6576"/>
            <w:vAlign w:val="center"/>
          </w:tcPr>
          <w:p>
            <w:pPr>
              <w:spacing w:before="100" w:after="100" w:line="250" w:lineRule="auto"/>
            </w:pPr>
            <w:r>
              <w:rPr>
                <w:b w:val="0"/>
                <w:sz w:val="19"/>
              </w:rPr>
              <w:t>Additivität und Zeitinvarianz verletzt; unstetige Auswahl an harter Maskengrenze</w:t>
            </w:r>
          </w:p>
        </w:tc>
      </w:tr>
      <w:tr>
        <w:trPr>
          <w:cantSplit/>
        </w:trPr>
        <w:tc>
          <w:tcPr>
            <w:tcW w:type="dxa" w:w="3061"/>
            <w:vAlign w:val="center"/>
          </w:tcPr>
          <w:p>
            <w:pPr>
              <w:spacing w:before="100" w:after="100" w:line="250" w:lineRule="auto"/>
            </w:pPr>
            <w:r>
              <w:rPr>
                <w:b w:val="0"/>
                <w:sz w:val="19"/>
              </w:rPr>
              <w:t>Anwendungsscreening</w:t>
            </w:r>
          </w:p>
        </w:tc>
        <w:tc>
          <w:tcPr>
            <w:tcW w:type="dxa" w:w="6576"/>
            <w:vAlign w:val="center"/>
          </w:tcPr>
          <w:p>
            <w:pPr>
              <w:spacing w:before="100" w:after="100" w:line="250" w:lineRule="auto"/>
            </w:pPr>
            <w:r>
              <w:rPr>
                <w:b w:val="0"/>
                <w:sz w:val="19"/>
              </w:rPr>
              <w:t>FAIL; kein Hardwareversuch</w:t>
            </w:r>
          </w:p>
        </w:tc>
      </w:tr>
    </w:tbl>
    <w:p>
      <w:pPr>
        <w:spacing w:after="0"/>
      </w:pPr>
    </w:p>
    <w:p>
      <w:r>
        <w:rPr>
          <w:b w:val="0"/>
        </w:rPr>
        <w:t>Die dB-Werte sind arithmetische Mittel gepaarter Fehlerverbesserungen gegenüber Identität. Sie sind keine gemessenen physikalischen Rauschleistungen. Die bekannte Bandbreite begünstigt die gewählten Tiefpässe; daraus folgt keine universelle Rangfolge. Der Referenzphasenversuch enthält keine reale Synchronisationsunsicherheit.</w:t>
      </w:r>
    </w:p>
    <w:p>
      <w:pPr>
        <w:pStyle w:val="Heading2"/>
      </w:pPr>
      <w:r>
        <w:rPr>
          <w:b w:val="0"/>
        </w:rPr>
        <w:t>Statistische Nachprüfungsnotiz</w:t>
      </w:r>
    </w:p>
    <w:p>
      <w:r>
        <w:rPr>
          <w:b w:val="0"/>
        </w:rPr>
        <w:t>Das unveränderte Archiv enthält Percentile-Bootstrap-Intervalle [0,0] für manche beobachtete Schadensraten von null. Diese Intervalle werden nicht als verlässliche obere Risikogrenzen verwendet. Bei Identität ist eine relative Verschlechterung gegenüber sich selbst definitionsgemäss null; bei anderen Verfahren folgt daraus keine allgemeine Nullrisikoaussage. Die 1’152 beziehungsweise 288 Fälle sind zudem nicht sämtlich unabhängige Einheiten: resampelt wurden 32 Wiederholungscluster.</w:t>
      </w:r>
    </w:p>
    <w:p>
      <w:r>
        <w:rPr>
          <w:b w:val="0"/>
        </w:rPr>
        <w:t>Am 13. Oktober 2026 wurden die 36 enthaltenen Dateiprüfsummen sowie 10’368 Metrikzeilen und die aggregierten Verbesserungen aus den gespeicherten Arrays erneut nachgerechnet. Sie stimmen innerhalb der deklarierten Toleranzen. Diese Konsistenzprüfung bestätigt weder die statistische Abdeckung aller Intervalle noch Hardwareeignung. Das negative X6-Screening bleibt bestehen.</w:t>
      </w:r>
    </w:p>
    <w:p>
      <w:r>
        <w:rPr>
          <w:b w:val="0"/>
        </w:rPr>
        <w:t xml:space="preserve">Status: </w:t>
      </w:r>
      <w:r>
        <w:rPr>
          <w:b/>
        </w:rPr>
        <w:t>EXPERIMENTAL_PHASE_SELECTOR</w:t>
      </w:r>
      <w:r>
        <w:rPr>
          <w:b w:val="0"/>
        </w:rPr>
        <w:t xml:space="preserve">, numerisch im deklarierten Testumfang geprüft; allgemeines Anwendungskriterium nicht erfüllt; Hardware </w:t>
      </w:r>
      <w:r>
        <w:rPr>
          <w:b/>
        </w:rPr>
        <w:t>NOT_TESTED</w:t>
      </w:r>
      <w:r>
        <w:rPr>
          <w:b w:val="0"/>
        </w:rPr>
        <w:t>. Ein grosser Quotient von Ausgangs- zu Eingangsdifferenzen nahe der Maskengrenze bedeutet Empfindlichkeit zwischen Eingaben, keine Energieverstärkung eines einzelnen Signals.</w:t>
      </w:r>
    </w:p>
    <w:p>
      <w:r>
        <w:br w:type="page"/>
      </w:r>
    </w:p>
    <w:p>
      <w:pPr>
        <w:pStyle w:val="Heading1"/>
      </w:pPr>
      <w:r>
        <w:rPr>
          <w:b w:val="0"/>
        </w:rPr>
        <w:t>12 Arbeitspakete und verbindliche Sperren</w:t>
      </w:r>
    </w:p>
    <w:tbl>
      <w:tblPr>
        <w:tblW w:type="auto" w:w="0"/>
        <w:jc w:val="center"/>
        <w:tblLayout w:type="fixed"/>
        <w:tblLook w:firstColumn="1" w:firstRow="1" w:lastColumn="0" w:lastRow="0" w:noHBand="0" w:noVBand="1" w:val="04A0"/>
      </w:tblPr>
      <w:tblGrid>
        <w:gridCol w:w="1928"/>
        <w:gridCol w:w="3798"/>
        <w:gridCol w:w="3912"/>
      </w:tblGrid>
      <w:tr>
        <w:trPr>
          <w:cantSplit/>
          <w:tblHeader/>
        </w:trPr>
        <w:tc>
          <w:tcPr>
            <w:tcW w:type="dxa" w:w="1928"/>
            <w:vAlign w:val="center"/>
            <w:shd w:fill="E8EDF1"/>
          </w:tcPr>
          <w:p>
            <w:pPr>
              <w:spacing w:before="100" w:after="100" w:line="250" w:lineRule="auto"/>
            </w:pPr>
            <w:r>
              <w:rPr>
                <w:b/>
                <w:sz w:val="19"/>
              </w:rPr>
              <w:t>Paket</w:t>
            </w:r>
          </w:p>
        </w:tc>
        <w:tc>
          <w:tcPr>
            <w:tcW w:type="dxa" w:w="3798"/>
            <w:vAlign w:val="center"/>
            <w:shd w:fill="E8EDF1"/>
          </w:tcPr>
          <w:p>
            <w:pPr>
              <w:spacing w:before="100" w:after="100" w:line="250" w:lineRule="auto"/>
            </w:pPr>
            <w:r>
              <w:rPr>
                <w:b/>
                <w:sz w:val="19"/>
              </w:rPr>
              <w:t>Ergebnis</w:t>
            </w:r>
          </w:p>
        </w:tc>
        <w:tc>
          <w:tcPr>
            <w:tcW w:type="dxa" w:w="3912"/>
            <w:vAlign w:val="center"/>
            <w:shd w:fill="E8EDF1"/>
          </w:tcPr>
          <w:p>
            <w:pPr>
              <w:spacing w:before="100" w:after="100" w:line="250" w:lineRule="auto"/>
            </w:pPr>
            <w:r>
              <w:rPr>
                <w:b/>
                <w:sz w:val="19"/>
              </w:rPr>
              <w:t>Freigabekriterium</w:t>
            </w:r>
          </w:p>
        </w:tc>
      </w:tr>
      <w:tr>
        <w:trPr>
          <w:cantSplit/>
        </w:trPr>
        <w:tc>
          <w:tcPr>
            <w:tcW w:type="dxa" w:w="1928"/>
            <w:vAlign w:val="center"/>
          </w:tcPr>
          <w:p>
            <w:pPr>
              <w:spacing w:before="100" w:after="100" w:line="250" w:lineRule="auto"/>
            </w:pPr>
            <w:r>
              <w:rPr>
                <w:b w:val="0"/>
                <w:sz w:val="19"/>
              </w:rPr>
              <w:t>AP0</w:t>
            </w:r>
          </w:p>
        </w:tc>
        <w:tc>
          <w:tcPr>
            <w:tcW w:type="dxa" w:w="3798"/>
            <w:vAlign w:val="center"/>
          </w:tcPr>
          <w:p>
            <w:pPr>
              <w:spacing w:before="100" w:after="100" w:line="250" w:lineRule="auto"/>
            </w:pPr>
            <w:r>
              <w:rPr>
                <w:b w:val="0"/>
                <w:sz w:val="19"/>
              </w:rPr>
              <w:t>Programm 0.2, X6-Archiv und Korrekturhinweis</w:t>
            </w:r>
          </w:p>
        </w:tc>
        <w:tc>
          <w:tcPr>
            <w:tcW w:type="dxa" w:w="3912"/>
            <w:vAlign w:val="center"/>
          </w:tcPr>
          <w:p>
            <w:pPr>
              <w:spacing w:before="100" w:after="100" w:line="250" w:lineRule="auto"/>
            </w:pPr>
            <w:r>
              <w:rPr>
                <w:b w:val="0"/>
                <w:sz w:val="19"/>
              </w:rPr>
              <w:t>Inhalt und Nachweisgrenzen dokumentiert; externer Audit offen</w:t>
            </w:r>
          </w:p>
        </w:tc>
      </w:tr>
      <w:tr>
        <w:trPr>
          <w:cantSplit/>
        </w:trPr>
        <w:tc>
          <w:tcPr>
            <w:tcW w:type="dxa" w:w="1928"/>
            <w:vAlign w:val="center"/>
          </w:tcPr>
          <w:p>
            <w:pPr>
              <w:spacing w:before="100" w:after="100" w:line="250" w:lineRule="auto"/>
            </w:pPr>
            <w:r>
              <w:rPr>
                <w:b w:val="0"/>
                <w:sz w:val="19"/>
              </w:rPr>
              <w:t>AP1</w:t>
            </w:r>
          </w:p>
        </w:tc>
        <w:tc>
          <w:tcPr>
            <w:tcW w:type="dxa" w:w="3798"/>
            <w:vAlign w:val="center"/>
          </w:tcPr>
          <w:p>
            <w:pPr>
              <w:spacing w:before="100" w:after="100" w:line="250" w:lineRule="auto"/>
            </w:pPr>
            <w:r>
              <w:rPr>
                <w:b w:val="0"/>
                <w:sz w:val="19"/>
              </w:rPr>
              <w:t>Ein Messprofil und vollständiger Testplan</w:t>
            </w:r>
          </w:p>
        </w:tc>
        <w:tc>
          <w:tcPr>
            <w:tcW w:type="dxa" w:w="3912"/>
            <w:vAlign w:val="center"/>
          </w:tcPr>
          <w:p>
            <w:pPr>
              <w:spacing w:before="100" w:after="100" w:line="250" w:lineRule="auto"/>
            </w:pPr>
            <w:r>
              <w:rPr>
                <w:b w:val="0"/>
                <w:sz w:val="19"/>
              </w:rPr>
              <w:t>Datenrechte, Zielhardware, Labels, Fehlergrenzen, S_min, primäre Route und Statistik vollständig</w:t>
            </w:r>
          </w:p>
        </w:tc>
      </w:tr>
      <w:tr>
        <w:trPr>
          <w:cantSplit/>
        </w:trPr>
        <w:tc>
          <w:tcPr>
            <w:tcW w:type="dxa" w:w="1928"/>
            <w:vAlign w:val="center"/>
          </w:tcPr>
          <w:p>
            <w:pPr>
              <w:spacing w:before="100" w:after="100" w:line="250" w:lineRule="auto"/>
            </w:pPr>
            <w:r>
              <w:rPr>
                <w:b w:val="0"/>
                <w:sz w:val="19"/>
              </w:rPr>
              <w:t>AP2</w:t>
            </w:r>
          </w:p>
        </w:tc>
        <w:tc>
          <w:tcPr>
            <w:tcW w:type="dxa" w:w="3798"/>
            <w:vAlign w:val="center"/>
          </w:tcPr>
          <w:p>
            <w:pPr>
              <w:spacing w:before="100" w:after="100" w:line="250" w:lineRule="auto"/>
            </w:pPr>
            <w:r>
              <w:rPr>
                <w:b w:val="0"/>
                <w:sz w:val="19"/>
              </w:rPr>
              <w:t>Baselines und Adapter</w:t>
            </w:r>
          </w:p>
        </w:tc>
        <w:tc>
          <w:tcPr>
            <w:tcW w:type="dxa" w:w="3912"/>
            <w:vAlign w:val="center"/>
          </w:tcPr>
          <w:p>
            <w:pPr>
              <w:spacing w:before="100" w:after="100" w:line="250" w:lineRule="auto"/>
            </w:pPr>
            <w:r>
              <w:rPr>
                <w:b w:val="0"/>
                <w:sz w:val="19"/>
              </w:rPr>
              <w:t>Numerik-, Schema-, Streaming- und Fehlerfalltests bestanden; faire Vergleichsbedingungen fixiert</w:t>
            </w:r>
          </w:p>
        </w:tc>
      </w:tr>
      <w:tr>
        <w:trPr>
          <w:cantSplit/>
        </w:trPr>
        <w:tc>
          <w:tcPr>
            <w:tcW w:type="dxa" w:w="1928"/>
            <w:vAlign w:val="center"/>
          </w:tcPr>
          <w:p>
            <w:pPr>
              <w:spacing w:before="100" w:after="100" w:line="250" w:lineRule="auto"/>
            </w:pPr>
            <w:r>
              <w:rPr>
                <w:b w:val="0"/>
                <w:sz w:val="19"/>
              </w:rPr>
              <w:t>AP3</w:t>
            </w:r>
          </w:p>
        </w:tc>
        <w:tc>
          <w:tcPr>
            <w:tcW w:type="dxa" w:w="3798"/>
            <w:vAlign w:val="center"/>
          </w:tcPr>
          <w:p>
            <w:pPr>
              <w:spacing w:before="100" w:after="100" w:line="250" w:lineRule="auto"/>
            </w:pPr>
            <w:r>
              <w:rPr>
                <w:b w:val="0"/>
                <w:sz w:val="19"/>
              </w:rPr>
              <w:t>H1 Kandidaten, Ablationen und Neuheitsmatrix</w:t>
            </w:r>
          </w:p>
        </w:tc>
        <w:tc>
          <w:tcPr>
            <w:tcW w:type="dxa" w:w="3912"/>
            <w:vAlign w:val="center"/>
          </w:tcPr>
          <w:p>
            <w:pPr>
              <w:spacing w:before="100" w:after="100" w:line="250" w:lineRule="auto"/>
            </w:pPr>
            <w:r>
              <w:rPr>
                <w:b w:val="0"/>
                <w:sz w:val="19"/>
              </w:rPr>
              <w:t>Vorteil auf Validierungsdaten und begründete Einsatzgrenze</w:t>
            </w:r>
          </w:p>
        </w:tc>
      </w:tr>
      <w:tr>
        <w:trPr>
          <w:cantSplit/>
        </w:trPr>
        <w:tc>
          <w:tcPr>
            <w:tcW w:type="dxa" w:w="1928"/>
            <w:vAlign w:val="center"/>
          </w:tcPr>
          <w:p>
            <w:pPr>
              <w:spacing w:before="100" w:after="100" w:line="250" w:lineRule="auto"/>
            </w:pPr>
            <w:r>
              <w:rPr>
                <w:b w:val="0"/>
                <w:sz w:val="19"/>
              </w:rPr>
              <w:t>AP4</w:t>
            </w:r>
          </w:p>
        </w:tc>
        <w:tc>
          <w:tcPr>
            <w:tcW w:type="dxa" w:w="3798"/>
            <w:vAlign w:val="center"/>
          </w:tcPr>
          <w:p>
            <w:pPr>
              <w:spacing w:before="100" w:after="100" w:line="250" w:lineRule="auto"/>
            </w:pPr>
            <w:r>
              <w:rPr>
                <w:b w:val="0"/>
                <w:sz w:val="19"/>
              </w:rPr>
              <w:t>Eingefrorener Abschlusstest</w:t>
            </w:r>
          </w:p>
        </w:tc>
        <w:tc>
          <w:tcPr>
            <w:tcW w:type="dxa" w:w="3912"/>
            <w:vAlign w:val="center"/>
          </w:tcPr>
          <w:p>
            <w:pPr>
              <w:spacing w:before="100" w:after="100" w:line="250" w:lineRule="auto"/>
            </w:pPr>
            <w:r>
              <w:rPr>
                <w:b w:val="0"/>
                <w:sz w:val="19"/>
              </w:rPr>
              <w:t>PASS oder transparentes FAIL beziehungsweise INCONCLUSIVE</w:t>
            </w:r>
          </w:p>
        </w:tc>
      </w:tr>
      <w:tr>
        <w:trPr>
          <w:cantSplit/>
        </w:trPr>
        <w:tc>
          <w:tcPr>
            <w:tcW w:type="dxa" w:w="1928"/>
            <w:vAlign w:val="center"/>
          </w:tcPr>
          <w:p>
            <w:pPr>
              <w:spacing w:before="100" w:after="100" w:line="250" w:lineRule="auto"/>
            </w:pPr>
            <w:r>
              <w:rPr>
                <w:b w:val="0"/>
                <w:sz w:val="19"/>
              </w:rPr>
              <w:t>AP5</w:t>
            </w:r>
          </w:p>
        </w:tc>
        <w:tc>
          <w:tcPr>
            <w:tcW w:type="dxa" w:w="3798"/>
            <w:vAlign w:val="center"/>
          </w:tcPr>
          <w:p>
            <w:pPr>
              <w:spacing w:before="100" w:after="100" w:line="250" w:lineRule="auto"/>
            </w:pPr>
            <w:r>
              <w:rPr>
                <w:b w:val="0"/>
                <w:sz w:val="19"/>
              </w:rPr>
              <w:t>Referenzmessung und Unsicherheitsbudget</w:t>
            </w:r>
          </w:p>
        </w:tc>
        <w:tc>
          <w:tcPr>
            <w:tcW w:type="dxa" w:w="3912"/>
            <w:vAlign w:val="center"/>
          </w:tcPr>
          <w:p>
            <w:pPr>
              <w:spacing w:before="100" w:after="100" w:line="250" w:lineRule="auto"/>
            </w:pPr>
            <w:r>
              <w:rPr>
                <w:b w:val="0"/>
                <w:sz w:val="19"/>
              </w:rPr>
              <w:t>Vorteil bleibt unter charakterisierten realen Messbedingungen bestehen</w:t>
            </w:r>
          </w:p>
        </w:tc>
      </w:tr>
      <w:tr>
        <w:trPr>
          <w:cantSplit/>
        </w:trPr>
        <w:tc>
          <w:tcPr>
            <w:tcW w:type="dxa" w:w="1928"/>
            <w:vAlign w:val="center"/>
          </w:tcPr>
          <w:p>
            <w:pPr>
              <w:spacing w:before="100" w:after="100" w:line="250" w:lineRule="auto"/>
            </w:pPr>
            <w:r>
              <w:rPr>
                <w:b w:val="0"/>
                <w:sz w:val="19"/>
              </w:rPr>
              <w:t>AP6</w:t>
            </w:r>
          </w:p>
        </w:tc>
        <w:tc>
          <w:tcPr>
            <w:tcW w:type="dxa" w:w="3798"/>
            <w:vAlign w:val="center"/>
          </w:tcPr>
          <w:p>
            <w:pPr>
              <w:spacing w:before="100" w:after="100" w:line="250" w:lineRule="auto"/>
            </w:pPr>
            <w:r>
              <w:rPr>
                <w:b w:val="0"/>
                <w:sz w:val="19"/>
              </w:rPr>
              <w:t>Unabhängiger Pilot und Kostenbilanz</w:t>
            </w:r>
          </w:p>
        </w:tc>
        <w:tc>
          <w:tcPr>
            <w:tcW w:type="dxa" w:w="3912"/>
            <w:vAlign w:val="center"/>
          </w:tcPr>
          <w:p>
            <w:pPr>
              <w:spacing w:before="100" w:after="100" w:line="250" w:lineRule="auto"/>
            </w:pPr>
            <w:r>
              <w:rPr>
                <w:b w:val="0"/>
                <w:sz w:val="19"/>
              </w:rPr>
              <w:t>Replikation, Zielhardware und auftragsbezogener Nutzen dokumentiert</w:t>
            </w:r>
          </w:p>
        </w:tc>
      </w:tr>
    </w:tbl>
    <w:p>
      <w:pPr>
        <w:spacing w:after="0"/>
      </w:pPr>
    </w:p>
    <w:p>
      <w:pPr>
        <w:pStyle w:val="Heading2"/>
      </w:pPr>
      <w:r>
        <w:rPr>
          <w:b w:val="0"/>
        </w:rPr>
        <w:t>AP1 muss vor einem bestätigenden Test geschlossen sein</w:t>
      </w:r>
    </w:p>
    <w:p>
      <w:r>
        <w:rPr>
          <w:b w:val="0"/>
        </w:rPr>
        <w:t>Offen sind Zielmaschine, Nutzband, Ereignis- und Negativdefinition, Messreferenz, Amplituden- und Zeitgrenzen, S_min, gegebenenfalls delta_D, Zielrechner, Laufdauer und vollständiger Stichprobenplan. Ebenso offen sind endgültige Datensatzauswahl und Nutzungserlaubnis für den vorgesehenen Zweck. Ein Energieanspruch verlangt zusätzlich Messinstrumentierung und Grenzwerte.</w:t>
      </w:r>
    </w:p>
    <w:p>
      <w:r>
        <w:rPr>
          <w:b w:val="0"/>
        </w:rPr>
        <w:t xml:space="preserve">Ein offenes Pflichtfeld bedeutet </w:t>
      </w:r>
      <w:r>
        <w:rPr>
          <w:b/>
        </w:rPr>
        <w:t>NOT_READY</w:t>
      </w:r>
      <w:r>
        <w:rPr>
          <w:b w:val="0"/>
        </w:rPr>
        <w:t>. Eine Datei mit Entwurfsparametern oder eine öffentliche Ablage ist keine Präregistrierung eines vollständigen Tests. Nachträgliche Änderungen werden versioniert und können einen neuen Holdout verlangen.</w:t>
      </w:r>
    </w:p>
    <w:p>
      <w:pPr>
        <w:pStyle w:val="Heading2"/>
      </w:pPr>
      <w:r>
        <w:rPr>
          <w:b w:val="0"/>
        </w:rPr>
        <w:t>Neuheit und industrieller Nutzen</w:t>
      </w:r>
    </w:p>
    <w:p>
      <w:r>
        <w:rPr>
          <w:b w:val="0"/>
        </w:rPr>
        <w:t>Vor einer Neuheitsbehauptung wird eine Matrix nächster veröffentlichter Verfahren erstellt: Operator, Annahmen, Informationszugang, Optimierung, Rechenkosten und belegter Unterschied. Verpackung bestehender Bibliotheken ist keine neue Entrauschungsmethode. Kombination, Implementierung und Aufgabenadaption werden jeweils zutreffend bezeichnet.</w:t>
      </w:r>
    </w:p>
    <w:p>
      <w:r>
        <w:rPr>
          <w:b w:val="0"/>
        </w:rPr>
        <w:t>Ein positiver synthetischer Vergleich bleibt ein synthetischer Vergleich. Kausale Verarbeitung verlangt Streamingnachweise; Energieeffizienz verlangt Energiemessung. Industrieller Nutzen wird erst nach unabhängiger Replikation im benannten Anwendungsbereich behauptet. Negative Ergebnisse und reproduzierbare Einsatzgrenzen bleiben gültige Forschungsergebnisse.</w:t>
      </w:r>
    </w:p>
    <w:p>
      <w:r>
        <w:br w:type="page"/>
      </w:r>
    </w:p>
    <w:p>
      <w:pPr>
        <w:pStyle w:val="Heading1"/>
      </w:pPr>
      <w:r>
        <w:rPr>
          <w:b w:val="0"/>
        </w:rPr>
        <w:t>13 Quellen und Nachweisregister</w:t>
      </w:r>
    </w:p>
    <w:p>
      <w:r>
        <w:rPr>
          <w:b w:val="0"/>
        </w:rPr>
        <w:t>Primärquellen und offizielle Dokumentation, geprüft am 13. Oktober 2026. Sie begründen Methoden und Messbegriffe. Programmgrenzen und Entwicklungsbudgets sind eigene Vorschläge. Eine vollständige Neuheitsrecherche steht aus.</w:t>
      </w:r>
    </w:p>
    <w:p>
      <w:pPr>
        <w:spacing w:after="140"/>
      </w:pPr>
      <w:r>
        <w:rPr>
          <w:b w:val="0"/>
          <w:sz w:val="19"/>
        </w:rPr>
        <w:t xml:space="preserve">[S1] JCGM 100:2008, Guide to the expression of uncertainty in measurement. BIPM Publikationsverzeichnis; die für einen Messplan verwendeten Ausgaben und Ergänzungen werden festgehalten. </w:t>
      </w:r>
      <w:hyperlink r:id="rId9">
        <w:r>
          <w:rPr>
            <w:color w:val="264B62"/>
          </w:rPr>
          <w:t>https://www.bipm.org/en/committees/jc/jcgm/publications</w:t>
        </w:r>
      </w:hyperlink>
    </w:p>
    <w:p>
      <w:pPr>
        <w:spacing w:after="140"/>
      </w:pPr>
      <w:r>
        <w:rPr>
          <w:b w:val="0"/>
          <w:sz w:val="19"/>
        </w:rPr>
        <w:t xml:space="preserve">[S2] NIST, Statistical Methods in Waveform Metrology. Wellenformkovarianz und Zeitbasisfehler. </w:t>
      </w:r>
      <w:hyperlink r:id="rId10">
        <w:r>
          <w:rPr>
            <w:color w:val="264B62"/>
          </w:rPr>
          <w:t>https://www.nist.gov/programs-projects/statistical-methods-waveform-metrology</w:t>
        </w:r>
      </w:hyperlink>
    </w:p>
    <w:p>
      <w:pPr>
        <w:spacing w:after="140"/>
      </w:pPr>
      <w:r>
        <w:rPr>
          <w:b w:val="0"/>
          <w:sz w:val="19"/>
        </w:rPr>
        <w:t xml:space="preserve">[S3] SciPy 1.17.0, scipy.signal.wiener. Versionsgebundene Referenz der lokalen Variante; kein Nachweis für einen beliebigen spektralen Wienerfilter. </w:t>
      </w:r>
      <w:hyperlink r:id="rId11">
        <w:r>
          <w:rPr>
            <w:color w:val="264B62"/>
          </w:rPr>
          <w:t>https://docs.scipy.org/doc/scipy-1.17.0/reference/generated/scipy.signal.wiener.html</w:t>
        </w:r>
      </w:hyperlink>
    </w:p>
    <w:p>
      <w:pPr>
        <w:spacing w:after="140"/>
      </w:pPr>
      <w:r>
        <w:rPr>
          <w:b w:val="0"/>
          <w:sz w:val="19"/>
        </w:rPr>
        <w:t xml:space="preserve">[S4] D. L. Donoho, I. M. Johnstone, G. Kerkyacharian, D. Picard. Wavelet Shrinkage: Asymptopia? Stanford Technical Report EFS NSF 419, 1993. </w:t>
      </w:r>
      <w:hyperlink r:id="rId12">
        <w:r>
          <w:rPr>
            <w:color w:val="264B62"/>
          </w:rPr>
          <w:t>https://statistics.stanford.edu/technical-reports/wavelet-shrinkage-asymptopia</w:t>
        </w:r>
      </w:hyperlink>
    </w:p>
    <w:p>
      <w:pPr>
        <w:spacing w:after="140"/>
      </w:pPr>
      <w:r>
        <w:rPr>
          <w:b w:val="0"/>
          <w:sz w:val="19"/>
        </w:rPr>
        <w:t xml:space="preserve">[S5] J. Batson, L. Royer. Noise2Self: Blind Denoising by Self-Supervision. PMLR 97, 524–533, 2019. </w:t>
      </w:r>
      <w:hyperlink r:id="rId13">
        <w:r>
          <w:rPr>
            <w:color w:val="264B62"/>
          </w:rPr>
          <w:t>https://proceedings.mlr.press/v97/batson19a.html</w:t>
        </w:r>
      </w:hyperlink>
    </w:p>
    <w:p>
      <w:pPr>
        <w:spacing w:after="140"/>
      </w:pPr>
      <w:r>
        <w:rPr>
          <w:b w:val="0"/>
          <w:sz w:val="19"/>
        </w:rPr>
        <w:t xml:space="preserve">[S6] NASA Open Data Portal, IMS Bearings. Herkunftseintrag; Detailprüfung der Daten bleibt AP1. </w:t>
      </w:r>
      <w:hyperlink r:id="rId14">
        <w:r>
          <w:rPr>
            <w:color w:val="264B62"/>
          </w:rPr>
          <w:t>https://data.nasa.gov/dataset/ims-bearings</w:t>
        </w:r>
      </w:hyperlink>
    </w:p>
    <w:p>
      <w:pPr>
        <w:spacing w:after="140"/>
      </w:pPr>
      <w:r>
        <w:rPr>
          <w:b w:val="0"/>
          <w:sz w:val="19"/>
        </w:rPr>
        <w:t xml:space="preserve">[S7] Universität Paderborn, Bearing DataCenter. Beschreibung und Nutzungsbedingungen. </w:t>
      </w:r>
      <w:hyperlink r:id="rId15">
        <w:r>
          <w:rPr>
            <w:color w:val="264B62"/>
          </w:rPr>
          <w:t>https://mb.uni-paderborn.de/en/kat/research/bearing-datacenter</w:t>
        </w:r>
      </w:hyperlink>
    </w:p>
    <w:p>
      <w:pPr>
        <w:spacing w:after="140"/>
      </w:pPr>
      <w:r>
        <w:rPr>
          <w:b w:val="0"/>
          <w:sz w:val="19"/>
        </w:rPr>
        <w:t xml:space="preserve">[S8] Zurich Instruments, Principles of Lock-in Detection. Herstellerdokumentation zur Messmethode; keine Produktüberlegenheitsbehauptung übernommen. </w:t>
      </w:r>
      <w:hyperlink r:id="rId16">
        <w:r>
          <w:rPr>
            <w:color w:val="264B62"/>
          </w:rPr>
          <w:t>https://www.zhinst.com/europe/de/resources/principles-of-lock-in-detection/</w:t>
        </w:r>
      </w:hyperlink>
    </w:p>
    <w:p>
      <w:pPr>
        <w:spacing w:after="140"/>
      </w:pPr>
      <w:r>
        <w:rPr>
          <w:b w:val="0"/>
          <w:sz w:val="19"/>
        </w:rPr>
        <w:t xml:space="preserve">[S9] NIST Dataplot, Exact Binomial Confidence Limits. Anwendung nur unter den deklarierten Binomialannahmen. </w:t>
      </w:r>
      <w:hyperlink r:id="rId17">
        <w:r>
          <w:rPr>
            <w:color w:val="264B62"/>
          </w:rPr>
          <w:t>https://www.itl.nist.gov/div898/software/dataplot/refman2/auxillar/exacbici.htm</w:t>
        </w:r>
      </w:hyperlink>
    </w:p>
    <w:p>
      <w:r>
        <w:rPr>
          <w:b/>
        </w:rPr>
        <w:t>E1 Eigenes Nachweisarchiv:</w:t>
      </w:r>
      <w:r>
        <w:rPr>
          <w:b w:val="0"/>
        </w:rPr>
        <w:t xml:space="preserve"> </w:t>
      </w:r>
      <w:r>
        <w:rPr>
          <w:b w:val="0"/>
          <w:sz w:val="18"/>
        </w:rPr>
        <w:t>evidence/X6_Signalvalidierung_v0_1.zip</w:t>
      </w:r>
      <w:r>
        <w:rPr>
          <w:b w:val="0"/>
        </w:rPr>
        <w:t xml:space="preserve">, unverändert. SHA-256: </w:t>
      </w:r>
      <w:r>
        <w:rPr>
          <w:b w:val="0"/>
          <w:sz w:val="18"/>
        </w:rPr>
        <w:t>d2dc2c13996b9f23e9dbfb36f19dfbe3cca4ee5ab406acc064ed0a2d8ed0d803</w:t>
      </w:r>
      <w:r>
        <w:rPr>
          <w:b w:val="0"/>
        </w:rPr>
        <w:t xml:space="preserve">. Inhalt: Originalquellen, Protokoll, vollständige Arrays, Skripte und Ergebnisse. Nachrechnung: </w:t>
      </w:r>
      <w:r>
        <w:rPr>
          <w:b w:val="0"/>
          <w:sz w:val="18"/>
        </w:rPr>
        <w:t>REPRODUCE.md</w:t>
      </w:r>
      <w:r>
        <w:rPr>
          <w:b w:val="0"/>
        </w:rPr>
        <w:t xml:space="preserve">; Ausführungsergebnis: </w:t>
      </w:r>
      <w:r>
        <w:rPr>
          <w:b w:val="0"/>
          <w:sz w:val="18"/>
        </w:rPr>
        <w:t>verification/verification_2026-10-13.txt</w:t>
      </w:r>
      <w:r>
        <w:rPr>
          <w:b w:val="0"/>
        </w:rPr>
        <w:t>.</w:t>
      </w:r>
    </w:p>
    <w:p>
      <w:r>
        <w:rPr>
          <w:b/>
        </w:rPr>
        <w:t>E2 Quellreferenz:</w:t>
      </w:r>
      <w:r>
        <w:rPr>
          <w:b w:val="0"/>
        </w:rPr>
        <w:t xml:space="preserve"> </w:t>
      </w:r>
      <w:hyperlink r:id="rId18">
        <w:r>
          <w:rPr>
            <w:color w:val="264B62"/>
          </w:rPr>
          <w:t>https://github.com/thomasmgfeller/x6-spectral-astrolabium/tree/5d4a711202dfd4c0befd098369842e08281d2caa</w:t>
        </w:r>
      </w:hyperlink>
    </w:p>
    <w:p>
      <w:r>
        <w:br w:type="page"/>
      </w:r>
    </w:p>
    <w:p>
      <w:pPr>
        <w:pStyle w:val="Heading1"/>
      </w:pPr>
      <w:r>
        <w:rPr>
          <w:b w:val="0"/>
        </w:rPr>
        <w:t>14 Änderungen und Veröffentlichungsumfang</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shd w:fill="E8EDF1"/>
          </w:tcPr>
          <w:p>
            <w:pPr>
              <w:spacing w:before="100" w:after="100" w:line="250" w:lineRule="auto"/>
            </w:pPr>
            <w:r>
              <w:rPr>
                <w:b/>
                <w:sz w:val="19"/>
              </w:rPr>
              <w:t>Präzisierung gegenüber 0.1</w:t>
            </w:r>
          </w:p>
        </w:tc>
        <w:tc>
          <w:tcPr>
            <w:tcW w:type="dxa" w:w="6576"/>
            <w:vAlign w:val="center"/>
            <w:shd w:fill="E8EDF1"/>
          </w:tcPr>
          <w:p>
            <w:pPr>
              <w:spacing w:before="100" w:after="100" w:line="250" w:lineRule="auto"/>
            </w:pPr>
            <w:r>
              <w:rPr>
                <w:b/>
                <w:sz w:val="19"/>
              </w:rPr>
              <w:t>Wirkung</w:t>
            </w:r>
          </w:p>
        </w:tc>
      </w:tr>
      <w:tr>
        <w:trPr>
          <w:cantSplit/>
        </w:trPr>
        <w:tc>
          <w:tcPr>
            <w:tcW w:type="dxa" w:w="3061"/>
            <w:vAlign w:val="center"/>
          </w:tcPr>
          <w:p>
            <w:pPr>
              <w:spacing w:before="100" w:after="100" w:line="250" w:lineRule="auto"/>
            </w:pPr>
            <w:r>
              <w:rPr>
                <w:b w:val="0"/>
                <w:sz w:val="19"/>
              </w:rPr>
              <w:t>Getrennte Rekonstruktions- und Diagnoserouten</w:t>
            </w:r>
          </w:p>
        </w:tc>
        <w:tc>
          <w:tcPr>
            <w:tcW w:type="dxa" w:w="6576"/>
            <w:vAlign w:val="center"/>
          </w:tcPr>
          <w:p>
            <w:pPr>
              <w:spacing w:before="100" w:after="100" w:line="250" w:lineRule="auto"/>
            </w:pPr>
            <w:r>
              <w:rPr>
                <w:b w:val="0"/>
                <w:sz w:val="19"/>
              </w:rPr>
              <w:t>Keine erfundene saubere Referenz für reale Lagerdaten</w:t>
            </w:r>
          </w:p>
        </w:tc>
      </w:tr>
      <w:tr>
        <w:trPr>
          <w:cantSplit/>
        </w:trPr>
        <w:tc>
          <w:tcPr>
            <w:tcW w:type="dxa" w:w="3061"/>
            <w:vAlign w:val="center"/>
          </w:tcPr>
          <w:p>
            <w:pPr>
              <w:spacing w:before="100" w:after="100" w:line="250" w:lineRule="auto"/>
            </w:pPr>
            <w:r>
              <w:rPr>
                <w:b w:val="0"/>
                <w:sz w:val="19"/>
              </w:rPr>
              <w:t>Fehlalarmgrenze als Test-Vertrauensgrenze</w:t>
            </w:r>
          </w:p>
        </w:tc>
        <w:tc>
          <w:tcPr>
            <w:tcW w:type="dxa" w:w="6576"/>
            <w:vAlign w:val="center"/>
          </w:tcPr>
          <w:p>
            <w:pPr>
              <w:spacing w:before="100" w:after="100" w:line="250" w:lineRule="auto"/>
            </w:pPr>
            <w:r>
              <w:rPr>
                <w:b w:val="0"/>
                <w:sz w:val="19"/>
              </w:rPr>
              <w:t>Validierungsschwelle allein genügt nicht</w:t>
            </w:r>
          </w:p>
        </w:tc>
      </w:tr>
      <w:tr>
        <w:trPr>
          <w:cantSplit/>
        </w:trPr>
        <w:tc>
          <w:tcPr>
            <w:tcW w:type="dxa" w:w="3061"/>
            <w:vAlign w:val="center"/>
          </w:tcPr>
          <w:p>
            <w:pPr>
              <w:spacing w:before="100" w:after="100" w:line="250" w:lineRule="auto"/>
            </w:pPr>
            <w:r>
              <w:rPr>
                <w:b w:val="0"/>
                <w:sz w:val="19"/>
              </w:rPr>
              <w:t>Mindestempfindlichkeit S_min</w:t>
            </w:r>
          </w:p>
        </w:tc>
        <w:tc>
          <w:tcPr>
            <w:tcW w:type="dxa" w:w="6576"/>
            <w:vAlign w:val="center"/>
          </w:tcPr>
          <w:p>
            <w:pPr>
              <w:spacing w:before="100" w:after="100" w:line="250" w:lineRule="auto"/>
            </w:pPr>
            <w:r>
              <w:rPr>
                <w:b w:val="0"/>
                <w:sz w:val="19"/>
              </w:rPr>
              <w:t>Nichtunterlegenheit gegenüber nutzloser Baseline genügt nicht</w:t>
            </w:r>
          </w:p>
        </w:tc>
      </w:tr>
      <w:tr>
        <w:trPr>
          <w:cantSplit/>
        </w:trPr>
        <w:tc>
          <w:tcPr>
            <w:tcW w:type="dxa" w:w="3061"/>
            <w:vAlign w:val="center"/>
          </w:tcPr>
          <w:p>
            <w:pPr>
              <w:spacing w:before="100" w:after="100" w:line="250" w:lineRule="auto"/>
            </w:pPr>
            <w:r>
              <w:rPr>
                <w:b w:val="0"/>
                <w:sz w:val="19"/>
              </w:rPr>
              <w:t>Explizite Mehrfachtestfamilie und Fallzahlplanung</w:t>
            </w:r>
          </w:p>
        </w:tc>
        <w:tc>
          <w:tcPr>
            <w:tcW w:type="dxa" w:w="6576"/>
            <w:vAlign w:val="center"/>
          </w:tcPr>
          <w:p>
            <w:pPr>
              <w:spacing w:before="100" w:after="100" w:line="250" w:lineRule="auto"/>
            </w:pPr>
            <w:r>
              <w:rPr>
                <w:b w:val="0"/>
                <w:sz w:val="19"/>
              </w:rPr>
              <w:t>Kandidaten, Profile und Schutzbedingungen werden gemeinsam geplant</w:t>
            </w:r>
          </w:p>
        </w:tc>
      </w:tr>
      <w:tr>
        <w:trPr>
          <w:cantSplit/>
        </w:trPr>
        <w:tc>
          <w:tcPr>
            <w:tcW w:type="dxa" w:w="3061"/>
            <w:vAlign w:val="center"/>
          </w:tcPr>
          <w:p>
            <w:pPr>
              <w:spacing w:before="100" w:after="100" w:line="250" w:lineRule="auto"/>
            </w:pPr>
            <w:r>
              <w:rPr>
                <w:b w:val="0"/>
                <w:sz w:val="19"/>
              </w:rPr>
              <w:t>Durchsatz und Gesamtlatenz getrennt</w:t>
            </w:r>
          </w:p>
        </w:tc>
        <w:tc>
          <w:tcPr>
            <w:tcW w:type="dxa" w:w="6576"/>
            <w:vAlign w:val="center"/>
          </w:tcPr>
          <w:p>
            <w:pPr>
              <w:spacing w:before="100" w:after="100" w:line="250" w:lineRule="auto"/>
            </w:pPr>
            <w:r>
              <w:rPr>
                <w:b w:val="0"/>
                <w:sz w:val="19"/>
              </w:rPr>
              <w:t>50-ms-Latenzziel wird nicht mit 10-ms-Blocktakt verwechselt</w:t>
            </w:r>
          </w:p>
        </w:tc>
      </w:tr>
      <w:tr>
        <w:trPr>
          <w:cantSplit/>
        </w:trPr>
        <w:tc>
          <w:tcPr>
            <w:tcW w:type="dxa" w:w="3061"/>
            <w:vAlign w:val="center"/>
          </w:tcPr>
          <w:p>
            <w:pPr>
              <w:spacing w:before="100" w:after="100" w:line="250" w:lineRule="auto"/>
            </w:pPr>
            <w:r>
              <w:rPr>
                <w:b w:val="0"/>
                <w:sz w:val="19"/>
              </w:rPr>
              <w:t>Energieanspruch separat</w:t>
            </w:r>
          </w:p>
        </w:tc>
        <w:tc>
          <w:tcPr>
            <w:tcW w:type="dxa" w:w="6576"/>
            <w:vAlign w:val="center"/>
          </w:tcPr>
          <w:p>
            <w:pPr>
              <w:spacing w:before="100" w:after="100" w:line="250" w:lineRule="auto"/>
            </w:pPr>
            <w:r>
              <w:rPr>
                <w:b w:val="0"/>
                <w:sz w:val="19"/>
              </w:rPr>
              <w:t>Laufzeitgewinn wird nicht zu Energieersparnis umgedeutet</w:t>
            </w:r>
          </w:p>
        </w:tc>
      </w:tr>
      <w:tr>
        <w:trPr>
          <w:cantSplit/>
        </w:trPr>
        <w:tc>
          <w:tcPr>
            <w:tcW w:type="dxa" w:w="3061"/>
            <w:vAlign w:val="center"/>
          </w:tcPr>
          <w:p>
            <w:pPr>
              <w:spacing w:before="100" w:after="100" w:line="250" w:lineRule="auto"/>
            </w:pPr>
            <w:r>
              <w:rPr>
                <w:b w:val="0"/>
                <w:sz w:val="19"/>
              </w:rPr>
              <w:t>Öffentliches X6-Archiv mit Nachprüfungsnotiz</w:t>
            </w:r>
          </w:p>
        </w:tc>
        <w:tc>
          <w:tcPr>
            <w:tcW w:type="dxa" w:w="6576"/>
            <w:vAlign w:val="center"/>
          </w:tcPr>
          <w:p>
            <w:pPr>
              <w:spacing w:before="100" w:after="100" w:line="250" w:lineRule="auto"/>
            </w:pPr>
            <w:r>
              <w:rPr>
                <w:b w:val="0"/>
                <w:sz w:val="19"/>
              </w:rPr>
              <w:t>Negative Ergebnisse bleiben sichtbar; [0,0]-Intervalle werden begrenzt interpretiert</w:t>
            </w:r>
          </w:p>
        </w:tc>
      </w:tr>
      <w:tr>
        <w:trPr>
          <w:cantSplit/>
        </w:trPr>
        <w:tc>
          <w:tcPr>
            <w:tcW w:type="dxa" w:w="3061"/>
            <w:vAlign w:val="center"/>
          </w:tcPr>
          <w:p>
            <w:pPr>
              <w:spacing w:before="100" w:after="100" w:line="250" w:lineRule="auto"/>
            </w:pPr>
            <w:r>
              <w:rPr>
                <w:b w:val="0"/>
                <w:sz w:val="19"/>
              </w:rPr>
              <w:t>NOT_READY für offene Pflichtfelder</w:t>
            </w:r>
          </w:p>
        </w:tc>
        <w:tc>
          <w:tcPr>
            <w:tcW w:type="dxa" w:w="6576"/>
            <w:vAlign w:val="center"/>
          </w:tcPr>
          <w:p>
            <w:pPr>
              <w:spacing w:before="100" w:after="100" w:line="250" w:lineRule="auto"/>
            </w:pPr>
            <w:r>
              <w:rPr>
                <w:b w:val="0"/>
                <w:sz w:val="19"/>
              </w:rPr>
              <w:t>Unvollständige Planung erlaubt keinen bestätigenden Test</w:t>
            </w:r>
          </w:p>
        </w:tc>
      </w:tr>
    </w:tbl>
    <w:p>
      <w:pPr>
        <w:spacing w:after="0"/>
      </w:pPr>
    </w:p>
    <w:p>
      <w:pPr>
        <w:pStyle w:val="Heading2"/>
      </w:pPr>
      <w:r>
        <w:rPr>
          <w:b w:val="0"/>
        </w:rPr>
        <w:t>Enthaltene Unterlagen</w:t>
      </w:r>
    </w:p>
    <w:p>
      <w:r>
        <w:rPr>
          <w:b w:val="0"/>
        </w:rPr>
        <w:t>Die Veröffentlichung umfasst diese lesbare Forschungsfassung, das entsprechende Word-Dokument, eine Übersicht, die Nachrechnungsanleitung, das unveränderte X6-Archiv, das Ergebnis der erneuten Konsistenzprüfung und ein SHA-256-Manifest. Die Word-Fassung wird aus demselben Text erzeugt. Layout- und Verweiskontrollen ersetzen keine wissenschaftliche Begutachtung.</w:t>
      </w:r>
    </w:p>
    <w:p>
      <w:r>
        <w:rPr>
          <w:b w:val="0"/>
        </w:rPr>
        <w:t>Die ursprünglichen X6-Testbedingungen und Ergebnisse werden nicht überschrieben. Die Programmfassung präzisiert deren Einordnung. Ein neuer Phasenbezug, eine geglättete Maske oder eine neue Auswahlregel benötigt eine neue Algorithmus-ID und eigene Prüfung.</w:t>
      </w:r>
    </w:p>
    <w:p>
      <w:pPr>
        <w:pStyle w:val="Heading2"/>
      </w:pPr>
      <w:r>
        <w:rPr>
          <w:b w:val="0"/>
        </w:rPr>
        <w:t>Zulässige öffentliche Aussage</w:t>
      </w:r>
    </w:p>
    <w:p>
      <w:r>
        <w:rPr>
          <w:b w:val="0"/>
        </w:rPr>
        <w:t>Veröffentlicht wird ein überprüfbares Forschungsprogramm zur industriellen Signalentrauschung mit transparenten Entscheidungsregeln und einem reproduzierbaren synthetischen Negativbefund zum bisherigen X6-Phasenfilter. Neue Filterleistung, Neuheit, Energiegewinn, Hardwaretauglichkeit und industrielle Validierung sind weiterhin offene Forschungsziele.</w:t>
      </w:r>
    </w:p>
    <w:p>
      <w:r>
        <w:rPr>
          <w:b w:val="0"/>
        </w:rPr>
        <w:t>Eine Aussage wie „auditbestätigt“, „neuartiger Hocheffizienzfilter nachgewiesen“ oder „industriell validiert“ ist durch diese Veröffentlichung nicht gedeckt. Öffentliche Zugänglichkeit und Prüfsummen schaffen Nachvollziehbarkeit; sie ersetzen keine externe Replikation.</w:t>
      </w:r>
    </w:p>
    <w:p>
      <w:r>
        <w:rPr>
          <w:b w:val="0"/>
        </w:rPr>
        <w:t>Als nächstes wird AP1 geschlossen. Erst danach folgen Referenzimplementierungen und begrenzte Kandidatenentwicklung. H2 und aufwendige lernende Verfahren bleiben zurückgestellt, bis Datenbasis und Einzelverfahren ausreichend geprüft sind.</w:t>
      </w:r>
    </w:p>
    <w:sectPr w:rsidR="00FC693F" w:rsidRPr="0006063C" w:rsidSect="00034616">
      <w:footerReference w:type="default" r:id="rId19"/>
      <w:pgSz w:w="11906" w:h="16838"/>
      <w:pgMar w:top="107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870"/>
        <w:sz w:val="16"/>
      </w:rPr>
      <w:t xml:space="preserve">Astrolabium Denoising Research 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ipm.org/en/committees/jc/jcgm/publications" TargetMode="External"/><Relationship Id="rId10" Type="http://schemas.openxmlformats.org/officeDocument/2006/relationships/hyperlink" Target="https://www.nist.gov/programs-projects/statistical-methods-waveform-metrology" TargetMode="External"/><Relationship Id="rId11" Type="http://schemas.openxmlformats.org/officeDocument/2006/relationships/hyperlink" Target="https://docs.scipy.org/doc/scipy-1.17.0/reference/generated/scipy.signal.wiener.html" TargetMode="External"/><Relationship Id="rId12" Type="http://schemas.openxmlformats.org/officeDocument/2006/relationships/hyperlink" Target="https://statistics.stanford.edu/technical-reports/wavelet-shrinkage-asymptopia" TargetMode="External"/><Relationship Id="rId13" Type="http://schemas.openxmlformats.org/officeDocument/2006/relationships/hyperlink" Target="https://proceedings.mlr.press/v97/batson19a.html" TargetMode="External"/><Relationship Id="rId14" Type="http://schemas.openxmlformats.org/officeDocument/2006/relationships/hyperlink" Target="https://data.nasa.gov/dataset/ims-bearings" TargetMode="External"/><Relationship Id="rId15" Type="http://schemas.openxmlformats.org/officeDocument/2006/relationships/hyperlink" Target="https://mb.uni-paderborn.de/en/kat/research/bearing-datacenter" TargetMode="External"/><Relationship Id="rId16" Type="http://schemas.openxmlformats.org/officeDocument/2006/relationships/hyperlink" Target="https://www.zhinst.com/europe/de/resources/principles-of-lock-in-detection/" TargetMode="External"/><Relationship Id="rId17" Type="http://schemas.openxmlformats.org/officeDocument/2006/relationships/hyperlink" Target="https://www.itl.nist.gov/div898/software/dataplot/refman2/auxillar/exacbici.htm" TargetMode="External"/><Relationship Id="rId18" Type="http://schemas.openxmlformats.org/officeDocument/2006/relationships/hyperlink" Target="https://github.com/thomasmgfeller/x6-spectral-astrolabium/tree/5d4a711202dfd4c0befd098369842e08281d2caa"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Forschungsprogramm industrielle Signalentrauschung</dc:title>
  <dc:subject>Astrolabium Industrial Denoising Research Version 0.2</dc:subject>
  <dc:creator>Thomas Gfeller</dc:creator>
  <cp:keywords/>
  <dc:description>Forschungsprogramm; kein unabhängiger Audit oder industrieller Leistungsnachweis.</dc:description>
  <cp:lastModifiedBy/>
  <cp:revision>1</cp:revision>
  <dcterms:created xsi:type="dcterms:W3CDTF">2013-12-23T23:15:00Z</dcterms:created>
  <dcterms:modified xsi:type="dcterms:W3CDTF">2013-12-23T23:15:00Z</dcterms:modified>
  <cp:category/>
</cp:coreProperties>
</file>