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lang w:val="de-CH"/>
        </w:rPr>
        <w:t>Anwendungsunabhängige Plattform für Edge Computing</w:t>
      </w:r>
    </w:p>
    <w:p>
      <w:pPr>
        <w:pStyle w:val="Subtitle"/>
      </w:pPr>
      <w:r>
        <w:rPr>
          <w:lang w:val="de-CH"/>
        </w:rPr>
        <w:t>Wissenschaftliches und ingenieurtechnisches Konzept</w:t>
      </w:r>
    </w:p>
    <w:p>
      <w:r>
        <w:rPr>
          <w:lang w:val="de-CH"/>
        </w:rPr>
        <w:t>Edge Application Platform · Konzeptfassung 0.1 · 14. Oktober 2026</w:t>
      </w:r>
    </w:p>
    <w:p>
      <w:r>
        <w:rPr>
          <w:lang w:val="de-CH"/>
        </w:rPr>
        <w:t>Ausarbeitung der vorgeschlagenen Plattformidee mit KI-Unterstützung. Die Bezeichnung Edge Application Platform ist eine beschreibende Arbeitsbezeichnung.</w:t>
      </w:r>
    </w:p>
    <w:p>
      <w:r>
        <w:rPr>
          <w:lang w:val="de-CH"/>
        </w:rPr>
        <w:t>Die Plattform soll Anwendungen auf geeigneten lokalen Rechenknoten ausführbar machen und Geräte über versionierte Schnittstellen anbinden. Ein gemeinsamer Kern übernimmt Identitäten, Rechte, Installation, Auftragsverwaltung, Datenhaltung und Diagnose. Browser dienen als Bedienoberfläche; die Ausführung erfolgt abhängig vom Profil auf Mikrocontrollern, nativen Linux-Prozessen oder in einer begrenzten WASM-Laufzeit.</w:t>
      </w:r>
    </w:p>
    <w:p>
      <w:r>
        <w:rPr>
          <w:lang w:val="de-CH"/>
        </w:rPr>
        <w:t>Der erwartete Nutzen liegt in wiederverwendbaren Geräteadaptern und Anwendungsbausteinen. Eine neue App soll vorhandene Gerätefunktionen nutzen können, ohne die gesamte Betriebsinfrastruktur erneut zu entwickeln. Ob dadurch Integrationsaufwand, Betriebskosten oder Bearbeitungszeiten sinken, ist experimentell zu untersuchen.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8064"/>
      </w:tblGrid>
      <w:tr>
        <w:trPr>
          <w:cantSplit/>
          <w:tblHeader/>
        </w:trPr>
        <w:tc>
          <w:tcPr>
            <w:tcW w:type="dxa" w:w="2016"/>
            <w:vAlign w:val="center"/>
            <w:shd w:fill="243B53"/>
            <w:tcMar>
              <w:top w:w="85" w:type="dxa"/>
              <w:bottom w:w="85" w:type="dxa"/>
              <w:left w:w="100" w:type="dxa"/>
              <w:right w:w="100" w:type="dxa"/>
            </w:tcMar>
          </w:tcPr>
          <w:p>
            <w:pPr>
              <w:spacing w:after="0" w:line="252" w:lineRule="auto"/>
              <w:jc w:val="center"/>
            </w:pPr>
            <w:r>
              <w:rPr>
                <w:b/>
                <w:color w:val="FFFFFF"/>
                <w:sz w:val="20"/>
              </w:rPr>
              <w:t>Gegenstand</w:t>
            </w:r>
          </w:p>
        </w:tc>
        <w:tc>
          <w:tcPr>
            <w:tcW w:type="dxa" w:w="8064"/>
            <w:vAlign w:val="center"/>
            <w:shd w:fill="243B53"/>
            <w:tcMar>
              <w:top w:w="85" w:type="dxa"/>
              <w:bottom w:w="85" w:type="dxa"/>
              <w:left w:w="100" w:type="dxa"/>
              <w:right w:w="100" w:type="dxa"/>
            </w:tcMar>
          </w:tcPr>
          <w:p>
            <w:pPr>
              <w:spacing w:after="0" w:line="252" w:lineRule="auto"/>
            </w:pPr>
            <w:r>
              <w:rPr>
                <w:b/>
                <w:color w:val="FFFFFF"/>
                <w:sz w:val="20"/>
              </w:rPr>
              <w:t>Festlegung</w:t>
            </w:r>
          </w:p>
        </w:tc>
      </w:tr>
      <w:tr>
        <w:trPr>
          <w:cantSplit/>
        </w:trPr>
        <w:tc>
          <w:tcPr>
            <w:tcW w:type="dxa" w:w="2016"/>
            <w:vAlign w:val="center"/>
            <w:shd w:fill="FFFFFF"/>
            <w:tcMar>
              <w:top w:w="85" w:type="dxa"/>
              <w:bottom w:w="85" w:type="dxa"/>
              <w:left w:w="100" w:type="dxa"/>
              <w:right w:w="100" w:type="dxa"/>
            </w:tcMar>
          </w:tcPr>
          <w:p>
            <w:pPr>
              <w:spacing w:after="0" w:line="252" w:lineRule="auto"/>
              <w:jc w:val="center"/>
            </w:pPr>
            <w:r>
              <w:rPr>
                <w:b w:val="0"/>
                <w:color w:val="000000"/>
                <w:sz w:val="20"/>
              </w:rPr>
              <w:t>Status</w:t>
            </w:r>
          </w:p>
        </w:tc>
        <w:tc>
          <w:tcPr>
            <w:tcW w:type="dxa" w:w="8064"/>
            <w:vAlign w:val="center"/>
            <w:shd w:fill="FFFFFF"/>
            <w:tcMar>
              <w:top w:w="85" w:type="dxa"/>
              <w:bottom w:w="85" w:type="dxa"/>
              <w:left w:w="100" w:type="dxa"/>
              <w:right w:w="100" w:type="dxa"/>
            </w:tcMar>
          </w:tcPr>
          <w:p>
            <w:pPr>
              <w:spacing w:after="0" w:line="252" w:lineRule="auto"/>
            </w:pPr>
            <w:r>
              <w:rPr>
                <w:b w:val="0"/>
                <w:color w:val="000000"/>
                <w:sz w:val="20"/>
              </w:rPr>
              <w:t>Architekturvorschlag und Prüfprogramm. Keine produktive Freigabe.</w:t>
            </w:r>
          </w:p>
        </w:tc>
      </w:tr>
      <w:tr>
        <w:trPr>
          <w:cantSplit/>
        </w:trPr>
        <w:tc>
          <w:tcPr>
            <w:tcW w:type="dxa" w:w="2016"/>
            <w:vAlign w:val="center"/>
            <w:shd w:fill="F3F6F8"/>
            <w:tcMar>
              <w:top w:w="85" w:type="dxa"/>
              <w:bottom w:w="85" w:type="dxa"/>
              <w:left w:w="100" w:type="dxa"/>
              <w:right w:w="100" w:type="dxa"/>
            </w:tcMar>
          </w:tcPr>
          <w:p>
            <w:pPr>
              <w:spacing w:after="0" w:line="252" w:lineRule="auto"/>
            </w:pPr>
            <w:r>
              <w:rPr>
                <w:b w:val="0"/>
                <w:color w:val="000000"/>
                <w:sz w:val="20"/>
              </w:rPr>
              <w:t>Geltungsbereich</w:t>
            </w:r>
          </w:p>
        </w:tc>
        <w:tc>
          <w:tcPr>
            <w:tcW w:type="dxa" w:w="8064"/>
            <w:vAlign w:val="center"/>
            <w:shd w:fill="F3F6F8"/>
            <w:tcMar>
              <w:top w:w="85" w:type="dxa"/>
              <w:bottom w:w="85" w:type="dxa"/>
              <w:left w:w="100" w:type="dxa"/>
              <w:right w:w="100" w:type="dxa"/>
            </w:tcMar>
          </w:tcPr>
          <w:p>
            <w:pPr>
              <w:spacing w:after="0" w:line="252" w:lineRule="auto"/>
            </w:pPr>
            <w:r>
              <w:rPr>
                <w:b w:val="0"/>
                <w:color w:val="000000"/>
                <w:sz w:val="20"/>
              </w:rPr>
              <w:t>Maker, Forschungs- und Entwicklungsumgebungen sowie vorbereitende industrielle Pilotprojekte.</w:t>
            </w:r>
          </w:p>
        </w:tc>
      </w:tr>
      <w:tr>
        <w:trPr>
          <w:cantSplit/>
        </w:trPr>
        <w:tc>
          <w:tcPr>
            <w:tcW w:type="dxa" w:w="2016"/>
            <w:vAlign w:val="center"/>
            <w:shd w:fill="FFFFFF"/>
            <w:tcMar>
              <w:top w:w="85" w:type="dxa"/>
              <w:bottom w:w="85" w:type="dxa"/>
              <w:left w:w="100" w:type="dxa"/>
              <w:right w:w="100" w:type="dxa"/>
            </w:tcMar>
          </w:tcPr>
          <w:p>
            <w:pPr>
              <w:spacing w:after="0" w:line="252" w:lineRule="auto"/>
              <w:jc w:val="center"/>
            </w:pPr>
            <w:r>
              <w:rPr>
                <w:b w:val="0"/>
                <w:color w:val="000000"/>
                <w:sz w:val="20"/>
              </w:rPr>
              <w:t>Bezug zu X6</w:t>
            </w:r>
          </w:p>
        </w:tc>
        <w:tc>
          <w:tcPr>
            <w:tcW w:type="dxa" w:w="8064"/>
            <w:vAlign w:val="center"/>
            <w:shd w:fill="FFFFFF"/>
            <w:tcMar>
              <w:top w:w="85" w:type="dxa"/>
              <w:bottom w:w="85" w:type="dxa"/>
              <w:left w:w="100" w:type="dxa"/>
              <w:right w:w="100" w:type="dxa"/>
            </w:tcMar>
          </w:tcPr>
          <w:p>
            <w:pPr>
              <w:spacing w:after="0" w:line="252" w:lineRule="auto"/>
            </w:pPr>
            <w:r>
              <w:rPr>
                <w:b w:val="0"/>
                <w:color w:val="000000"/>
                <w:sz w:val="20"/>
              </w:rPr>
              <w:t>X6 ist eine mögliche Referenzanwendung. Der Plattformkern setzt X6 nicht voraus.</w:t>
            </w:r>
          </w:p>
        </w:tc>
      </w:tr>
      <w:tr>
        <w:trPr>
          <w:cantSplit/>
        </w:trPr>
        <w:tc>
          <w:tcPr>
            <w:tcW w:type="dxa" w:w="2016"/>
            <w:vAlign w:val="center"/>
            <w:shd w:fill="F3F6F8"/>
            <w:tcMar>
              <w:top w:w="85" w:type="dxa"/>
              <w:bottom w:w="85" w:type="dxa"/>
              <w:left w:w="100" w:type="dxa"/>
              <w:right w:w="100" w:type="dxa"/>
            </w:tcMar>
          </w:tcPr>
          <w:p>
            <w:pPr>
              <w:spacing w:after="0" w:line="252" w:lineRule="auto"/>
            </w:pPr>
            <w:r>
              <w:rPr>
                <w:b w:val="0"/>
                <w:color w:val="000000"/>
                <w:sz w:val="20"/>
              </w:rPr>
              <w:t>Erste Entscheidung</w:t>
            </w:r>
          </w:p>
        </w:tc>
        <w:tc>
          <w:tcPr>
            <w:tcW w:type="dxa" w:w="8064"/>
            <w:vAlign w:val="center"/>
            <w:shd w:fill="F3F6F8"/>
            <w:tcMar>
              <w:top w:w="85" w:type="dxa"/>
              <w:bottom w:w="85" w:type="dxa"/>
              <w:left w:w="100" w:type="dxa"/>
              <w:right w:w="100" w:type="dxa"/>
            </w:tcMar>
          </w:tcPr>
          <w:p>
            <w:pPr>
              <w:spacing w:after="0" w:line="252" w:lineRule="auto"/>
            </w:pPr>
            <w:r>
              <w:rPr>
                <w:b w:val="0"/>
                <w:color w:val="000000"/>
                <w:sz w:val="20"/>
              </w:rPr>
              <w:t>Einen begrenzten Referenzkern entwickeln und seine Wiederverwendung auf zwei Rechnerarchitekturen prüfen.</w:t>
            </w:r>
          </w:p>
        </w:tc>
      </w:tr>
    </w:tbl>
    <w:p>
      <w:pPr>
        <w:spacing w:after="20"/>
      </w:pPr>
    </w:p>
    <w:p>
      <w:r>
        <w:rPr>
          <w:lang w:val="de-CH"/>
        </w:rPr>
        <w:t>Die Architektur verbindet etablierte Komponenten mit projektspezifischen Verträgen und Prüfverfahren. Neuheit, Leistungsüberlegenheit, allgemeine Hardwareportabilität und Sicherheit werden nicht als erreichte Eigenschaften vorausgesetzt. Die Post-Quanten-Strategie verwendet standardisierte Verfahren und getrennte Nachweise für jede geschützte Verbindung und Signatur.</w:t>
      </w:r>
    </w:p>
    <w:p>
      <w:r>
        <w:rPr>
          <w:lang w:val="de-CH"/>
        </w:rPr>
        <w:t>Leseführung: Systemgrenze und Architektur stehen auf den folgenden Seiten. Danach werden Ausführungsprofile, Verträge, Lebenszyklen, Evidenz, Sicherheitsmodell und ein falsifizierbares Prüfprogramm beschrieben. Die Quellen stehen am Ende; nummerierte Verweise beziehen sich auf diese Liste.</w:t>
      </w:r>
    </w:p>
    <w:p>
      <w:r>
        <w:rPr>
          <w:lang w:val="de-CH"/>
        </w:rPr>
        <w:br w:type="page"/>
      </w:r>
    </w:p>
    <w:p>
      <w:pPr>
        <w:pStyle w:val="Heading1"/>
      </w:pPr>
      <w:r>
        <w:rPr>
          <w:lang w:val="de-CH"/>
        </w:rPr>
        <w:t>1 Ziel und wissenschaftliche Einordnung</w:t>
      </w:r>
    </w:p>
    <w:p>
      <w:r>
        <w:rPr>
          <w:lang w:val="de-CH"/>
        </w:rPr>
        <w:t>Die Forschungsfrage lautet, ob ein gemeinsamer Plattformkern den Aufwand für Entwicklung und Betrieb verschiedener Edge-Anwendungen messbar reduziert, ohne vorab festgelegte Grenzen für Ergebnisqualität, Latenz, Ressourcenverbrauch und Zugriffsrechte zu verletzen. Edge bezeichnet hier die Verarbeitung auf oder nahe den Geräten beziehungsweise Datenquellen. Ein dauerhafter Cloudzugang ist für den lokalen Referenzbetrieb nicht erforderlich.</w:t>
      </w:r>
    </w:p>
    <w:p>
      <w:pPr>
        <w:pStyle w:val="Heading2"/>
      </w:pPr>
      <w:r>
        <w:rPr>
          <w:lang w:val="de-CH"/>
        </w:rPr>
        <w:t>Stand der Technik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4320"/>
        <w:gridCol w:w="3888"/>
      </w:tblGrid>
      <w:tr>
        <w:trPr>
          <w:cantSplit/>
          <w:tblHeader/>
        </w:trPr>
        <w:tc>
          <w:tcPr>
            <w:tcW w:type="dxa" w:w="1872"/>
            <w:vAlign w:val="center"/>
            <w:shd w:fill="243B53"/>
            <w:tcMar>
              <w:top w:w="85" w:type="dxa"/>
              <w:bottom w:w="85" w:type="dxa"/>
              <w:left w:w="100" w:type="dxa"/>
              <w:right w:w="100" w:type="dxa"/>
            </w:tcMar>
          </w:tcPr>
          <w:p>
            <w:pPr>
              <w:spacing w:after="0" w:line="252" w:lineRule="auto"/>
              <w:jc w:val="center"/>
            </w:pPr>
            <w:r>
              <w:rPr>
                <w:b/>
                <w:color w:val="FFFFFF"/>
                <w:sz w:val="20"/>
              </w:rPr>
              <w:t>Baustein</w:t>
            </w:r>
          </w:p>
        </w:tc>
        <w:tc>
          <w:tcPr>
            <w:tcW w:type="dxa" w:w="4320"/>
            <w:vAlign w:val="center"/>
            <w:shd w:fill="243B53"/>
            <w:tcMar>
              <w:top w:w="85" w:type="dxa"/>
              <w:bottom w:w="85" w:type="dxa"/>
              <w:left w:w="100" w:type="dxa"/>
              <w:right w:w="100" w:type="dxa"/>
            </w:tcMar>
          </w:tcPr>
          <w:p>
            <w:pPr>
              <w:spacing w:after="0" w:line="252" w:lineRule="auto"/>
            </w:pPr>
            <w:r>
              <w:rPr>
                <w:b/>
                <w:color w:val="FFFFFF"/>
                <w:sz w:val="20"/>
              </w:rPr>
              <w:t>Bestehende Grundlage</w:t>
            </w:r>
          </w:p>
        </w:tc>
        <w:tc>
          <w:tcPr>
            <w:tcW w:type="dxa" w:w="3888"/>
            <w:vAlign w:val="center"/>
            <w:shd w:fill="243B53"/>
            <w:tcMar>
              <w:top w:w="85" w:type="dxa"/>
              <w:bottom w:w="85" w:type="dxa"/>
              <w:left w:w="100" w:type="dxa"/>
              <w:right w:w="100" w:type="dxa"/>
            </w:tcMar>
          </w:tcPr>
          <w:p>
            <w:pPr>
              <w:spacing w:after="0" w:line="252" w:lineRule="auto"/>
            </w:pPr>
            <w:r>
              <w:rPr>
                <w:b/>
                <w:color w:val="FFFFFF"/>
                <w:sz w:val="20"/>
              </w:rPr>
              <w:t>Folgerung</w:t>
            </w:r>
          </w:p>
        </w:tc>
      </w:tr>
      <w:tr>
        <w:trPr>
          <w:cantSplit/>
        </w:trPr>
        <w:tc>
          <w:tcPr>
            <w:tcW w:type="dxa" w:w="1872"/>
            <w:vAlign w:val="center"/>
            <w:shd w:fill="FFFFFF"/>
            <w:tcMar>
              <w:top w:w="85" w:type="dxa"/>
              <w:bottom w:w="85" w:type="dxa"/>
              <w:left w:w="100" w:type="dxa"/>
              <w:right w:w="100" w:type="dxa"/>
            </w:tcMar>
          </w:tcPr>
          <w:p>
            <w:pPr>
              <w:spacing w:after="0" w:line="252" w:lineRule="auto"/>
            </w:pPr>
            <w:r>
              <w:rPr>
                <w:b w:val="0"/>
                <w:color w:val="000000"/>
                <w:sz w:val="20"/>
              </w:rPr>
              <w:t>Gerätebeschreibung</w:t>
            </w:r>
          </w:p>
        </w:tc>
        <w:tc>
          <w:tcPr>
            <w:tcW w:type="dxa" w:w="4320"/>
            <w:vAlign w:val="center"/>
            <w:shd w:fill="FFFFFF"/>
            <w:tcMar>
              <w:top w:w="85" w:type="dxa"/>
              <w:bottom w:w="85" w:type="dxa"/>
              <w:left w:w="100" w:type="dxa"/>
              <w:right w:w="100" w:type="dxa"/>
            </w:tcMar>
          </w:tcPr>
          <w:p>
            <w:pPr>
              <w:spacing w:after="0" w:line="252" w:lineRule="auto"/>
            </w:pPr>
            <w:r>
              <w:rPr>
                <w:b w:val="0"/>
                <w:color w:val="000000"/>
                <w:sz w:val="20"/>
              </w:rPr>
              <w:t>W3C Web of Things beschreibt interoperable Eigenschaften, Aktionen und Ereignisse. [1]</w:t>
            </w:r>
          </w:p>
        </w:tc>
        <w:tc>
          <w:tcPr>
            <w:tcW w:type="dxa" w:w="3888"/>
            <w:vAlign w:val="center"/>
            <w:shd w:fill="FFFFFF"/>
            <w:tcMar>
              <w:top w:w="85" w:type="dxa"/>
              <w:bottom w:w="85" w:type="dxa"/>
              <w:left w:w="100" w:type="dxa"/>
              <w:right w:w="100" w:type="dxa"/>
            </w:tcMar>
          </w:tcPr>
          <w:p>
            <w:pPr>
              <w:spacing w:after="0" w:line="252" w:lineRule="auto"/>
            </w:pPr>
            <w:r>
              <w:rPr>
                <w:b w:val="0"/>
                <w:color w:val="000000"/>
                <w:sz w:val="20"/>
              </w:rPr>
              <w:t>Gerätesemantik an vorhandene Modelle anschliessen.</w:t>
            </w:r>
          </w:p>
        </w:tc>
      </w:tr>
      <w:tr>
        <w:trPr>
          <w:cantSplit/>
        </w:trPr>
        <w:tc>
          <w:tcPr>
            <w:tcW w:type="dxa" w:w="1872"/>
            <w:vAlign w:val="center"/>
            <w:shd w:fill="F3F6F8"/>
            <w:tcMar>
              <w:top w:w="85" w:type="dxa"/>
              <w:bottom w:w="85" w:type="dxa"/>
              <w:left w:w="100" w:type="dxa"/>
              <w:right w:w="100" w:type="dxa"/>
            </w:tcMar>
          </w:tcPr>
          <w:p>
            <w:pPr>
              <w:spacing w:after="0" w:line="252" w:lineRule="auto"/>
            </w:pPr>
            <w:r>
              <w:rPr>
                <w:b w:val="0"/>
                <w:color w:val="000000"/>
                <w:sz w:val="20"/>
              </w:rPr>
              <w:t>Sensorsoftware</w:t>
            </w:r>
          </w:p>
        </w:tc>
        <w:tc>
          <w:tcPr>
            <w:tcW w:type="dxa" w:w="4320"/>
            <w:vAlign w:val="center"/>
            <w:shd w:fill="F3F6F8"/>
            <w:tcMar>
              <w:top w:w="85" w:type="dxa"/>
              <w:bottom w:w="85" w:type="dxa"/>
              <w:left w:w="100" w:type="dxa"/>
              <w:right w:w="100" w:type="dxa"/>
            </w:tcMar>
          </w:tcPr>
          <w:p>
            <w:pPr>
              <w:spacing w:after="0" w:line="252" w:lineRule="auto"/>
            </w:pPr>
            <w:r>
              <w:rPr>
                <w:b w:val="0"/>
                <w:color w:val="000000"/>
                <w:sz w:val="20"/>
              </w:rPr>
              <w:t>Zephyr stellt Sensorabstraktionen und ein optionales Sensing Subsystem bereit. [2]</w:t>
            </w:r>
          </w:p>
        </w:tc>
        <w:tc>
          <w:tcPr>
            <w:tcW w:type="dxa" w:w="3888"/>
            <w:vAlign w:val="center"/>
            <w:shd w:fill="F3F6F8"/>
            <w:tcMar>
              <w:top w:w="85" w:type="dxa"/>
              <w:bottom w:w="85" w:type="dxa"/>
              <w:left w:w="100" w:type="dxa"/>
              <w:right w:w="100" w:type="dxa"/>
            </w:tcMar>
          </w:tcPr>
          <w:p>
            <w:pPr>
              <w:spacing w:after="0" w:line="252" w:lineRule="auto"/>
            </w:pPr>
            <w:r>
              <w:rPr>
                <w:b w:val="0"/>
                <w:color w:val="000000"/>
                <w:sz w:val="20"/>
              </w:rPr>
              <w:t>Treiber und Firmwarebausteine wiederverwenden.</w:t>
            </w:r>
          </w:p>
        </w:tc>
      </w:tr>
      <w:tr>
        <w:trPr>
          <w:cantSplit/>
        </w:trPr>
        <w:tc>
          <w:tcPr>
            <w:tcW w:type="dxa" w:w="1872"/>
            <w:vAlign w:val="center"/>
            <w:shd w:fill="FFFFFF"/>
            <w:tcMar>
              <w:top w:w="85" w:type="dxa"/>
              <w:bottom w:w="85" w:type="dxa"/>
              <w:left w:w="100" w:type="dxa"/>
              <w:right w:w="100" w:type="dxa"/>
            </w:tcMar>
          </w:tcPr>
          <w:p>
            <w:pPr>
              <w:spacing w:after="0" w:line="252" w:lineRule="auto"/>
              <w:jc w:val="center"/>
            </w:pPr>
            <w:r>
              <w:rPr>
                <w:b w:val="0"/>
                <w:color w:val="000000"/>
                <w:sz w:val="20"/>
              </w:rPr>
              <w:t>Messabläufe</w:t>
            </w:r>
          </w:p>
        </w:tc>
        <w:tc>
          <w:tcPr>
            <w:tcW w:type="dxa" w:w="4320"/>
            <w:vAlign w:val="center"/>
            <w:shd w:fill="FFFFFF"/>
            <w:tcMar>
              <w:top w:w="85" w:type="dxa"/>
              <w:bottom w:w="85" w:type="dxa"/>
              <w:left w:w="100" w:type="dxa"/>
              <w:right w:w="100" w:type="dxa"/>
            </w:tcMar>
          </w:tcPr>
          <w:p>
            <w:pPr>
              <w:spacing w:after="0" w:line="252" w:lineRule="auto"/>
            </w:pPr>
            <w:r>
              <w:rPr>
                <w:b w:val="0"/>
                <w:color w:val="000000"/>
                <w:sz w:val="20"/>
              </w:rPr>
              <w:t>Bluesky bietet modulare Experimentsteuerung und Datenerfassung. [3]</w:t>
            </w:r>
          </w:p>
        </w:tc>
        <w:tc>
          <w:tcPr>
            <w:tcW w:type="dxa" w:w="3888"/>
            <w:vAlign w:val="center"/>
            <w:shd w:fill="FFFFFF"/>
            <w:tcMar>
              <w:top w:w="85" w:type="dxa"/>
              <w:bottom w:w="85" w:type="dxa"/>
              <w:left w:w="100" w:type="dxa"/>
              <w:right w:w="100" w:type="dxa"/>
            </w:tcMar>
          </w:tcPr>
          <w:p>
            <w:pPr>
              <w:spacing w:after="0" w:line="252" w:lineRule="auto"/>
            </w:pPr>
            <w:r>
              <w:rPr>
                <w:b w:val="0"/>
                <w:color w:val="000000"/>
                <w:sz w:val="20"/>
              </w:rPr>
              <w:t>Bestehende Integrationen vor Eigenentwicklung prüfen.</w:t>
            </w:r>
          </w:p>
        </w:tc>
      </w:tr>
      <w:tr>
        <w:trPr>
          <w:cantSplit/>
        </w:trPr>
        <w:tc>
          <w:tcPr>
            <w:tcW w:type="dxa" w:w="1872"/>
            <w:vAlign w:val="center"/>
            <w:shd w:fill="F3F6F8"/>
            <w:tcMar>
              <w:top w:w="85" w:type="dxa"/>
              <w:bottom w:w="85" w:type="dxa"/>
              <w:left w:w="100" w:type="dxa"/>
              <w:right w:w="100" w:type="dxa"/>
            </w:tcMar>
          </w:tcPr>
          <w:p>
            <w:pPr>
              <w:spacing w:after="0" w:line="252" w:lineRule="auto"/>
            </w:pPr>
            <w:r>
              <w:rPr>
                <w:b w:val="0"/>
                <w:color w:val="000000"/>
                <w:sz w:val="20"/>
              </w:rPr>
              <w:t>Rechenverteilung</w:t>
            </w:r>
          </w:p>
        </w:tc>
        <w:tc>
          <w:tcPr>
            <w:tcW w:type="dxa" w:w="4320"/>
            <w:vAlign w:val="center"/>
            <w:shd w:fill="F3F6F8"/>
            <w:tcMar>
              <w:top w:w="85" w:type="dxa"/>
              <w:bottom w:w="85" w:type="dxa"/>
              <w:left w:w="100" w:type="dxa"/>
              <w:right w:w="100" w:type="dxa"/>
            </w:tcMar>
          </w:tcPr>
          <w:p>
            <w:pPr>
              <w:spacing w:after="0" w:line="252" w:lineRule="auto"/>
            </w:pPr>
            <w:r>
              <w:rPr>
                <w:b w:val="0"/>
                <w:color w:val="000000"/>
                <w:sz w:val="20"/>
              </w:rPr>
              <w:t>Dask unterstützt lokale und verteilte Ausführung. [4]</w:t>
            </w:r>
          </w:p>
        </w:tc>
        <w:tc>
          <w:tcPr>
            <w:tcW w:type="dxa" w:w="3888"/>
            <w:vAlign w:val="center"/>
            <w:shd w:fill="F3F6F8"/>
            <w:tcMar>
              <w:top w:w="85" w:type="dxa"/>
              <w:bottom w:w="85" w:type="dxa"/>
              <w:left w:w="100" w:type="dxa"/>
              <w:right w:w="100" w:type="dxa"/>
            </w:tcMar>
          </w:tcPr>
          <w:p>
            <w:pPr>
              <w:spacing w:after="0" w:line="252" w:lineRule="auto"/>
            </w:pPr>
            <w:r>
              <w:rPr>
                <w:b w:val="0"/>
                <w:color w:val="000000"/>
                <w:sz w:val="20"/>
              </w:rPr>
              <w:t>Die Plattform spezifiziert Aufträge; ein Backend kann deren Verteilung übernehmen.</w:t>
            </w:r>
          </w:p>
        </w:tc>
      </w:tr>
    </w:tbl>
    <w:p>
      <w:pPr>
        <w:spacing w:after="20"/>
      </w:pPr>
    </w:p>
    <w:p>
      <w:r>
        <w:rPr>
          <w:lang w:val="de-CH"/>
        </w:rPr>
        <w:t>Diese Quellen belegen vorhandene technische Ansätze. Sie belegen weder einen unerfüllten Marktbedarf für diese konkrete Plattform noch deren Leistungsfähigkeit. Der mögliche Beitrag des Projekts ist eine untersuchbare Kombination aus geringer Einstiegshürde, klaren Ausführungsprofilen und durchgängiger Nachvollziehbarkeit. Ein wissenschaftlicher Neuheitsanspruch benötigt zusätzlich eine systematische Literatur- und Systemvergleichsstudie.</w:t>
      </w:r>
    </w:p>
    <w:p>
      <w:pPr>
        <w:pStyle w:val="Heading2"/>
      </w:pPr>
      <w:r>
        <w:rPr>
          <w:lang w:val="de-CH"/>
        </w:rPr>
        <w:t>Systemgrenze</w:t>
      </w:r>
    </w:p>
    <w:p>
      <w:r>
        <w:rPr>
          <w:lang w:val="de-CH"/>
        </w:rPr>
        <w:t>V0.1 betrachtet einen Betreiberbereich mit registrierten Geräten und freigegebenen Anwendungen. Fremde Betreiber können später über ausdrücklich vereinbarte Schnittstellen verbunden werden. Eine öffentliche Börse für beliebigen fremden Code, sicherheitskritische Maschinenregelung und zugesicherte harte Echtzeit gehören nicht zur ersten Freigabe.</w:t>
      </w:r>
    </w:p>
    <w:p>
      <w:r>
        <w:rPr>
          <w:lang w:val="de-CH"/>
        </w:rPr>
        <w:t>Generisch bedeutet Erweiterbarkeit über definierte Profile und Schnittstellen. Es bedeutet nicht, dass jede App auf jeder Hardware läuft. Eine Anwendung kann bestimmte Sensoren, Speichergrössen, Beschleuniger, Zeitauflösungen oder native Bibliotheken benötigen. Eine fehlende Voraussetzung führt zur Ablehnung des Auftrags, nicht zur stillen Abschwächung des Vertrags.</w:t>
      </w:r>
    </w:p>
    <w:p>
      <w:r>
        <w:rPr>
          <w:lang w:val="de-CH"/>
        </w:rPr>
        <w:br w:type="page"/>
      </w:r>
    </w:p>
    <w:p>
      <w:pPr>
        <w:pStyle w:val="Heading1"/>
      </w:pPr>
      <w:r>
        <w:rPr>
          <w:lang w:val="de-CH"/>
        </w:rPr>
        <w:t>2 Referenzarchitektur und Verantwortungen</w:t>
      </w:r>
    </w:p>
    <w:p>
      <w:pPr>
        <w:keepNext/>
        <w:jc w:val="center"/>
      </w:pPr>
      <w:r>
        <w:rPr>
          <w:lang w:val="de-CH"/>
        </w:rPr>
        <w:drawing>
          <wp:inline xmlns:a="http://schemas.openxmlformats.org/drawingml/2006/main" xmlns:pic="http://schemas.openxmlformats.org/drawingml/2006/picture">
            <wp:extent cx="6309360" cy="3352319"/>
            <wp:docPr id="1" name="Picture 1" descr="Architektur mit Browser, Coordinator, App Worker, Gateway, Prüfdienst, Datenhaltung und Vertragsregister."/>
            <wp:cNvGraphicFramePr>
              <a:graphicFrameLocks noChangeAspect="1"/>
            </wp:cNvGraphicFramePr>
            <a:graphic>
              <a:graphicData uri="http://schemas.openxmlformats.org/drawingml/2006/picture">
                <pic:pic>
                  <pic:nvPicPr>
                    <pic:cNvPr id="0" name="architektur.png"/>
                    <pic:cNvPicPr/>
                  </pic:nvPicPr>
                  <pic:blipFill>
                    <a:blip r:embed="rId11"/>
                    <a:stretch>
                      <a:fillRect/>
                    </a:stretch>
                  </pic:blipFill>
                  <pic:spPr>
                    <a:xfrm>
                      <a:off x="0" y="0"/>
                      <a:ext cx="6309360" cy="3352319"/>
                    </a:xfrm>
                    <a:prstGeom prst="rect"/>
                  </pic:spPr>
                </pic:pic>
              </a:graphicData>
            </a:graphic>
          </wp:inline>
        </w:drawing>
      </w:r>
    </w:p>
    <w:p>
      <w:pPr>
        <w:pStyle w:val="Caption"/>
      </w:pPr>
      <w:r>
        <w:rPr>
          <w:lang w:val="de-CH"/>
        </w:rPr>
        <w:t>Abbildung 1  Logische Rollen und ausgewählte Datenflüsse der vorgeschlagenen Architektur. Gerätebefehle laufen ausschliesslich über autorisierte Adapter.</w:t>
      </w:r>
    </w:p>
    <w:p>
      <w:r>
        <w:rPr>
          <w:lang w:val="de-CH"/>
        </w:rPr>
        <w:t>Die Steuerungsebene nimmt Aufträge an, prüft Verträge und verwaltet den verbindlichen Jobzustand. Die Datenebene transportiert Messblöcke und Artefakte. Grössere Datenmengen sollen direkt zwischen autorisierten Diensten und Speicher fliessen; der Coordinator muss sie nicht vollständig durch seinen Arbeitsspeicher leiten.</w:t>
      </w:r>
    </w:p>
    <w:p>
      <w:r>
        <w:rPr>
          <w:lang w:val="de-CH"/>
        </w:rPr>
        <w:t>Das Geräte-Gateway bildet die Grenze zwischen physischer Messkette und App-Laufzeit. Es begrenzt Gerätezugriffe, hält lokale Puffer und protokolliert Konfigurationswechsel. Ein lokaler Gerätekern übernimmt zeitkritische Erfassung. Die Weboberfläche löst freigegebene Vorgänge aus und zeigt deren Status an.</w:t>
      </w:r>
    </w:p>
    <w:p>
      <w:r>
        <w:rPr>
          <w:lang w:val="de-CH"/>
        </w:rPr>
        <w:t>Eine relationale Datenbank führt Aufträge, Ausführungsversuche und Prüfentscheidungen. Ein separater Artefaktspeicher enthält Rohdaten, App-Pakete und Ergebnisse. PostgreSQL ist eine geeignete Referenzoption für transaktionale Zustände und Wiederanlauf; diese Eigenschaften ersetzen keinen getesteten Sicherungs- und Wiederherstellungsprozess. [5]</w:t>
      </w:r>
    </w:p>
    <w:p>
      <w:r>
        <w:rPr>
          <w:lang w:val="de-CH"/>
        </w:rPr>
        <w:t>Der Prüfdienst bewertet Ergebnisse mit einem versionierten Prüfprofil. Er ist logisch von der App getrennt. Physisch getrennte Hardware kann bestimmte Fehler aufdecken; fachliche Unabhängigkeit erfordert zusätzlich unabhängige Implementierungen, analytische Referenzen oder Zertifikatsprüfer. Optionale Assistenten dürfen Vorschläge über dieselben begrenzten APIs einreichen wie andere Clients.</w:t>
      </w:r>
    </w:p>
    <w:p>
      <w:r>
        <w:rPr>
          <w:lang w:val="de-CH"/>
        </w:rPr>
        <w:br w:type="page"/>
      </w:r>
    </w:p>
    <w:p>
      <w:pPr>
        <w:pStyle w:val="Heading1"/>
      </w:pPr>
      <w:r>
        <w:rPr>
          <w:lang w:val="de-CH"/>
        </w:rPr>
        <w:t>3 Ausführungsprofile und Hardware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4248"/>
        <w:gridCol w:w="4248"/>
      </w:tblGrid>
      <w:tr>
        <w:trPr>
          <w:cantSplit/>
          <w:tblHeader/>
        </w:trPr>
        <w:tc>
          <w:tcPr>
            <w:tcW w:type="dxa" w:w="1584"/>
            <w:vAlign w:val="center"/>
            <w:shd w:fill="243B53"/>
            <w:tcMar>
              <w:top w:w="85" w:type="dxa"/>
              <w:bottom w:w="85" w:type="dxa"/>
              <w:left w:w="100" w:type="dxa"/>
              <w:right w:w="100" w:type="dxa"/>
            </w:tcMar>
          </w:tcPr>
          <w:p>
            <w:pPr>
              <w:spacing w:after="0" w:line="252" w:lineRule="auto"/>
              <w:jc w:val="center"/>
            </w:pPr>
            <w:r>
              <w:rPr>
                <w:b/>
                <w:color w:val="FFFFFF"/>
                <w:sz w:val="20"/>
              </w:rPr>
              <w:t>Profil</w:t>
            </w:r>
          </w:p>
        </w:tc>
        <w:tc>
          <w:tcPr>
            <w:tcW w:type="dxa" w:w="4248"/>
            <w:vAlign w:val="center"/>
            <w:shd w:fill="243B53"/>
            <w:tcMar>
              <w:top w:w="85" w:type="dxa"/>
              <w:bottom w:w="85" w:type="dxa"/>
              <w:left w:w="100" w:type="dxa"/>
              <w:right w:w="100" w:type="dxa"/>
            </w:tcMar>
          </w:tcPr>
          <w:p>
            <w:pPr>
              <w:spacing w:after="0" w:line="252" w:lineRule="auto"/>
            </w:pPr>
            <w:r>
              <w:rPr>
                <w:b/>
                <w:color w:val="FFFFFF"/>
                <w:sz w:val="20"/>
              </w:rPr>
              <w:t>Ausführung</w:t>
            </w:r>
          </w:p>
        </w:tc>
        <w:tc>
          <w:tcPr>
            <w:tcW w:type="dxa" w:w="4248"/>
            <w:vAlign w:val="center"/>
            <w:shd w:fill="243B53"/>
            <w:tcMar>
              <w:top w:w="85" w:type="dxa"/>
              <w:bottom w:w="85" w:type="dxa"/>
              <w:left w:w="100" w:type="dxa"/>
              <w:right w:w="100" w:type="dxa"/>
            </w:tcMar>
          </w:tcPr>
          <w:p>
            <w:pPr>
              <w:spacing w:after="0" w:line="252" w:lineRule="auto"/>
            </w:pPr>
            <w:r>
              <w:rPr>
                <w:b/>
                <w:color w:val="FFFFFF"/>
                <w:sz w:val="20"/>
              </w:rPr>
              <w:t>Verbindliche Grenze</w:t>
            </w:r>
          </w:p>
        </w:tc>
      </w:tr>
      <w:tr>
        <w:trPr>
          <w:cantSplit/>
        </w:trPr>
        <w:tc>
          <w:tcPr>
            <w:tcW w:type="dxa" w:w="1584"/>
            <w:vAlign w:val="center"/>
            <w:shd w:fill="FFFFFF"/>
            <w:tcMar>
              <w:top w:w="85" w:type="dxa"/>
              <w:bottom w:w="85" w:type="dxa"/>
              <w:left w:w="100" w:type="dxa"/>
              <w:right w:w="100" w:type="dxa"/>
            </w:tcMar>
          </w:tcPr>
          <w:p>
            <w:pPr>
              <w:spacing w:after="0" w:line="252" w:lineRule="auto"/>
              <w:jc w:val="center"/>
            </w:pPr>
            <w:r>
              <w:rPr>
                <w:b w:val="0"/>
                <w:color w:val="000000"/>
                <w:sz w:val="20"/>
              </w:rPr>
              <w:t>Probe</w:t>
            </w:r>
          </w:p>
        </w:tc>
        <w:tc>
          <w:tcPr>
            <w:tcW w:type="dxa" w:w="4248"/>
            <w:vAlign w:val="center"/>
            <w:shd w:fill="FFFFFF"/>
            <w:tcMar>
              <w:top w:w="85" w:type="dxa"/>
              <w:bottom w:w="85" w:type="dxa"/>
              <w:left w:w="100" w:type="dxa"/>
              <w:right w:w="100" w:type="dxa"/>
            </w:tcMar>
          </w:tcPr>
          <w:p>
            <w:pPr>
              <w:spacing w:after="0" w:line="252" w:lineRule="auto"/>
            </w:pPr>
            <w:r>
              <w:rPr>
                <w:b w:val="0"/>
                <w:color w:val="000000"/>
                <w:sz w:val="20"/>
              </w:rPr>
              <w:t>Gerätespezifische Firmware auf Mikrocontroller oder FPGA; optional Zephyr.</w:t>
            </w:r>
          </w:p>
        </w:tc>
        <w:tc>
          <w:tcPr>
            <w:tcW w:type="dxa" w:w="4248"/>
            <w:vAlign w:val="center"/>
            <w:shd w:fill="FFFFFF"/>
            <w:tcMar>
              <w:top w:w="85" w:type="dxa"/>
              <w:bottom w:w="85" w:type="dxa"/>
              <w:left w:w="100" w:type="dxa"/>
              <w:right w:w="100" w:type="dxa"/>
            </w:tcMar>
          </w:tcPr>
          <w:p>
            <w:pPr>
              <w:spacing w:after="0" w:line="252" w:lineRule="auto"/>
            </w:pPr>
            <w:r>
              <w:rPr>
                <w:b w:val="0"/>
                <w:color w:val="000000"/>
                <w:sz w:val="20"/>
              </w:rPr>
              <w:t>Sensorik, Taktung und zeitkritische Verarbeitung werden für das konkrete Gerät validiert.</w:t>
            </w:r>
          </w:p>
        </w:tc>
      </w:tr>
      <w:tr>
        <w:trPr>
          <w:cantSplit/>
        </w:trPr>
        <w:tc>
          <w:tcPr>
            <w:tcW w:type="dxa" w:w="1584"/>
            <w:vAlign w:val="center"/>
            <w:shd w:fill="F3F6F8"/>
            <w:tcMar>
              <w:top w:w="85" w:type="dxa"/>
              <w:bottom w:w="85" w:type="dxa"/>
              <w:left w:w="100" w:type="dxa"/>
              <w:right w:w="100" w:type="dxa"/>
            </w:tcMar>
          </w:tcPr>
          <w:p>
            <w:pPr>
              <w:spacing w:after="0" w:line="252" w:lineRule="auto"/>
              <w:jc w:val="center"/>
            </w:pPr>
            <w:r>
              <w:rPr>
                <w:b w:val="0"/>
                <w:color w:val="000000"/>
                <w:sz w:val="20"/>
              </w:rPr>
              <w:t>Native</w:t>
            </w:r>
          </w:p>
        </w:tc>
        <w:tc>
          <w:tcPr>
            <w:tcW w:type="dxa" w:w="4248"/>
            <w:vAlign w:val="center"/>
            <w:shd w:fill="F3F6F8"/>
            <w:tcMar>
              <w:top w:w="85" w:type="dxa"/>
              <w:bottom w:w="85" w:type="dxa"/>
              <w:left w:w="100" w:type="dxa"/>
              <w:right w:w="100" w:type="dxa"/>
            </w:tcMar>
          </w:tcPr>
          <w:p>
            <w:pPr>
              <w:spacing w:after="0" w:line="252" w:lineRule="auto"/>
            </w:pPr>
            <w:r>
              <w:rPr>
                <w:b w:val="0"/>
                <w:color w:val="000000"/>
                <w:sz w:val="20"/>
              </w:rPr>
              <w:t>Nicht privilegierte Linux-Prozesse mit festgelegten Bibliotheken und Betriebssystemlimits.</w:t>
            </w:r>
          </w:p>
        </w:tc>
        <w:tc>
          <w:tcPr>
            <w:tcW w:type="dxa" w:w="4248"/>
            <w:vAlign w:val="center"/>
            <w:shd w:fill="F3F6F8"/>
            <w:tcMar>
              <w:top w:w="85" w:type="dxa"/>
              <w:bottom w:w="85" w:type="dxa"/>
              <w:left w:w="100" w:type="dxa"/>
              <w:right w:w="100" w:type="dxa"/>
            </w:tcMar>
          </w:tcPr>
          <w:p>
            <w:pPr>
              <w:spacing w:after="0" w:line="252" w:lineRule="auto"/>
            </w:pPr>
            <w:r>
              <w:rPr>
                <w:b w:val="0"/>
                <w:color w:val="000000"/>
                <w:sz w:val="20"/>
              </w:rPr>
              <w:t>Architektur, Abhängigkeiten, Ressourcen und Gerätezugriffe werden vor Start geprüft.</w:t>
            </w:r>
          </w:p>
        </w:tc>
      </w:tr>
      <w:tr>
        <w:trPr>
          <w:cantSplit/>
        </w:trPr>
        <w:tc>
          <w:tcPr>
            <w:tcW w:type="dxa" w:w="1584"/>
            <w:vAlign w:val="center"/>
            <w:shd w:fill="FFFFFF"/>
            <w:tcMar>
              <w:top w:w="85" w:type="dxa"/>
              <w:bottom w:w="85" w:type="dxa"/>
              <w:left w:w="100" w:type="dxa"/>
              <w:right w:w="100" w:type="dxa"/>
            </w:tcMar>
          </w:tcPr>
          <w:p>
            <w:pPr>
              <w:spacing w:after="0" w:line="252" w:lineRule="auto"/>
              <w:jc w:val="center"/>
            </w:pPr>
            <w:r>
              <w:rPr>
                <w:b w:val="0"/>
                <w:color w:val="000000"/>
                <w:sz w:val="20"/>
              </w:rPr>
              <w:t>WASM</w:t>
            </w:r>
          </w:p>
        </w:tc>
        <w:tc>
          <w:tcPr>
            <w:tcW w:type="dxa" w:w="4248"/>
            <w:vAlign w:val="center"/>
            <w:shd w:fill="FFFFFF"/>
            <w:tcMar>
              <w:top w:w="85" w:type="dxa"/>
              <w:bottom w:w="85" w:type="dxa"/>
              <w:left w:w="100" w:type="dxa"/>
              <w:right w:w="100" w:type="dxa"/>
            </w:tcMar>
          </w:tcPr>
          <w:p>
            <w:pPr>
              <w:spacing w:after="0" w:line="252" w:lineRule="auto"/>
            </w:pPr>
            <w:r>
              <w:rPr>
                <w:b w:val="0"/>
                <w:color w:val="000000"/>
                <w:sz w:val="20"/>
              </w:rPr>
              <w:t>WASM-Modul mit festgelegten Hostfunktionen und Laufzeitversion.</w:t>
            </w:r>
          </w:p>
        </w:tc>
        <w:tc>
          <w:tcPr>
            <w:tcW w:type="dxa" w:w="4248"/>
            <w:vAlign w:val="center"/>
            <w:shd w:fill="FFFFFF"/>
            <w:tcMar>
              <w:top w:w="85" w:type="dxa"/>
              <w:bottom w:w="85" w:type="dxa"/>
              <w:left w:w="100" w:type="dxa"/>
              <w:right w:w="100" w:type="dxa"/>
            </w:tcMar>
          </w:tcPr>
          <w:p>
            <w:pPr>
              <w:spacing w:after="0" w:line="252" w:lineRule="auto"/>
            </w:pPr>
            <w:r>
              <w:rPr>
                <w:b w:val="0"/>
                <w:color w:val="000000"/>
                <w:sz w:val="20"/>
              </w:rPr>
              <w:t>Nur ausdrücklich freigegebene Imports; Speicher- und Ausführungslimits. Kein impliziter Gerätezugriff.</w:t>
            </w:r>
          </w:p>
        </w:tc>
      </w:tr>
      <w:tr>
        <w:trPr>
          <w:cantSplit/>
        </w:trPr>
        <w:tc>
          <w:tcPr>
            <w:tcW w:type="dxa" w:w="1584"/>
            <w:vAlign w:val="center"/>
            <w:shd w:fill="F3F6F8"/>
            <w:tcMar>
              <w:top w:w="85" w:type="dxa"/>
              <w:bottom w:w="85" w:type="dxa"/>
              <w:left w:w="100" w:type="dxa"/>
              <w:right w:w="100" w:type="dxa"/>
            </w:tcMar>
          </w:tcPr>
          <w:p>
            <w:pPr>
              <w:spacing w:after="0" w:line="252" w:lineRule="auto"/>
              <w:jc w:val="center"/>
            </w:pPr>
            <w:r>
              <w:rPr>
                <w:b w:val="0"/>
                <w:color w:val="000000"/>
                <w:sz w:val="20"/>
              </w:rPr>
              <w:t>Browser</w:t>
            </w:r>
          </w:p>
        </w:tc>
        <w:tc>
          <w:tcPr>
            <w:tcW w:type="dxa" w:w="4248"/>
            <w:vAlign w:val="center"/>
            <w:shd w:fill="F3F6F8"/>
            <w:tcMar>
              <w:top w:w="85" w:type="dxa"/>
              <w:bottom w:w="85" w:type="dxa"/>
              <w:left w:w="100" w:type="dxa"/>
              <w:right w:w="100" w:type="dxa"/>
            </w:tcMar>
          </w:tcPr>
          <w:p>
            <w:pPr>
              <w:spacing w:after="0" w:line="252" w:lineRule="auto"/>
            </w:pPr>
            <w:r>
              <w:rPr>
                <w:b w:val="0"/>
                <w:color w:val="000000"/>
                <w:sz w:val="20"/>
              </w:rPr>
              <w:t>Bedienung, Darstellung und gegebenenfalls begrenzte lokale Verarbeitung.</w:t>
            </w:r>
          </w:p>
        </w:tc>
        <w:tc>
          <w:tcPr>
            <w:tcW w:type="dxa" w:w="4248"/>
            <w:vAlign w:val="center"/>
            <w:shd w:fill="F3F6F8"/>
            <w:tcMar>
              <w:top w:w="85" w:type="dxa"/>
              <w:bottom w:w="85" w:type="dxa"/>
              <w:left w:w="100" w:type="dxa"/>
              <w:right w:w="100" w:type="dxa"/>
            </w:tcMar>
          </w:tcPr>
          <w:p>
            <w:pPr>
              <w:spacing w:after="0" w:line="252" w:lineRule="auto"/>
            </w:pPr>
            <w:r>
              <w:rPr>
                <w:b w:val="0"/>
                <w:color w:val="000000"/>
                <w:sz w:val="20"/>
              </w:rPr>
              <w:t>Keine Abhängigkeit zeitkritischer Erfassung vom geöffneten Browser.</w:t>
            </w:r>
          </w:p>
        </w:tc>
      </w:tr>
    </w:tbl>
    <w:p>
      <w:pPr>
        <w:spacing w:after="20"/>
      </w:pPr>
    </w:p>
    <w:p>
      <w:r>
        <w:rPr>
          <w:lang w:val="de-CH"/>
        </w:rPr>
        <w:t>Für V0.1 sind zuerst das Native-Profil und eine einfache Probe-Anbindung vorgesehen. WASM ist eine optionale Ausbaustufe. Chromium wird für Browserprüfungen eingesetzt; es ist keine Pflichtkomponente jedes Rechenknotens. WASM erleichtert Isolation und Portabilität, garantiert aber ohne Festlegung der Hostfunktionen und Ausführungsoptionen keine plattformübergreifende Bitgleichheit. [6, 7]</w:t>
      </w:r>
    </w:p>
    <w:p>
      <w:r>
        <w:rPr>
          <w:lang w:val="de-CH"/>
        </w:rPr>
        <w:t>Eine App kann pro Ausführungsprofil mehrere Artefakte haben, beispielsweise ARM64- und x86-64-Binärpakete. Sie müssen denselben fachlichen Vertrag erfüllen. Betriebssystembibliotheken, Treiber und verfügbare Speichergrössen bleiben Teil der Kompatibilität. Portabilität wird pro tatsächlich geprüfter Kombination ausgewiesen.</w:t>
      </w:r>
    </w:p>
    <w:p>
      <w:pPr>
        <w:pStyle w:val="Heading2"/>
      </w:pPr>
      <w:r>
        <w:rPr>
          <w:lang w:val="de-CH"/>
        </w:rPr>
        <w:t>Praktischer Erstaufbau</w:t>
      </w:r>
    </w:p>
    <w:p>
      <w:r>
        <w:rPr>
          <w:lang w:val="de-CH"/>
        </w:rPr>
        <w:t>Der erste Leit- und Rechenknoten ist ein vorhandener Linux-Rechner. Als spätere Planungsgrösse für eine leistungsfähige Workstation sind 8 bis 16 CPU-Kerne, 64 GB RAM und 1 bis 2 TB SSD plausibel; dies sind keine gemessenen Mindestanforderungen. Kleine Konformitätsdatensätze müssen auf deutlich kleineren Systemen ausführbar sein.</w:t>
      </w:r>
    </w:p>
    <w:p>
      <w:r>
        <w:rPr>
          <w:lang w:val="de-CH"/>
        </w:rPr>
        <w:t>Ein zweiter Knoten verwendet die andere Rechnerarchitektur. Ein Mikrocontroller oder ein geordnet angebundener Gerätesimulator liefert Sensordaten. Ethernet und lokale SSD-Puffer reichen für den ersten Versuchsbereich; höhere Bandbreite wird erst nach Messung eines Engpasses vorgesehen. GPU-, NPU- und FPGA-Rechenbackends erhalten jeweils eigene Konformitäts- und Leistungsnachweise.</w:t>
      </w:r>
    </w:p>
    <w:p>
      <w:r>
        <w:rPr>
          <w:lang w:val="de-CH"/>
        </w:rPr>
        <w:t>Unabhängige Jobs dürfen verteilt werden. Die Aufteilung einer einzelnen Matrixrechnung über mehrere Rechner ist ein eigener Algorithmus- und Kommunikationsentwurf. Der Scheduler allein verleiht einem Solver diese Fähigkeit nicht.</w:t>
      </w:r>
    </w:p>
    <w:p>
      <w:r>
        <w:rPr>
          <w:lang w:val="de-CH"/>
        </w:rPr>
        <w:br w:type="page"/>
      </w:r>
    </w:p>
    <w:p>
      <w:pPr>
        <w:pStyle w:val="Heading1"/>
      </w:pPr>
      <w:r>
        <w:rPr>
          <w:lang w:val="de-CH"/>
        </w:rPr>
        <w:t>4 Verträge und Zulassung von Anwendungen</w:t>
      </w:r>
    </w:p>
    <w:p>
      <w:r>
        <w:rPr>
          <w:lang w:val="de-CH"/>
        </w:rPr>
        <w:t>Ein Vertrag ist eine maschinenlesbare, versionierte Beschreibung verbindlicher Ein- und Ausgaben, Ressourcen, Rechte und Prüfkriterien. MUST bezeichnet im künftigen Contract eine Freigabebedingung; SHOULD eine begründet abweichbare Empfehlung. V0.1 legt den Inhalt fest. Ein eingefrorenes JSON-Schema und dessen Konformitätstests sind ein späteres Implementierungsartefakt.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8352"/>
      </w:tblGrid>
      <w:tr>
        <w:trPr>
          <w:cantSplit/>
          <w:tblHeader/>
        </w:trPr>
        <w:tc>
          <w:tcPr>
            <w:tcW w:type="dxa" w:w="1728"/>
            <w:vAlign w:val="center"/>
            <w:shd w:fill="243B53"/>
            <w:tcMar>
              <w:top w:w="85" w:type="dxa"/>
              <w:bottom w:w="85" w:type="dxa"/>
              <w:left w:w="100" w:type="dxa"/>
              <w:right w:w="100" w:type="dxa"/>
            </w:tcMar>
          </w:tcPr>
          <w:p>
            <w:pPr>
              <w:spacing w:after="0" w:line="252" w:lineRule="auto"/>
              <w:jc w:val="center"/>
            </w:pPr>
            <w:r>
              <w:rPr>
                <w:b/>
                <w:color w:val="FFFFFF"/>
                <w:sz w:val="20"/>
              </w:rPr>
              <w:t>Vertrag</w:t>
            </w:r>
          </w:p>
        </w:tc>
        <w:tc>
          <w:tcPr>
            <w:tcW w:type="dxa" w:w="8352"/>
            <w:vAlign w:val="center"/>
            <w:shd w:fill="243B53"/>
            <w:tcMar>
              <w:top w:w="85" w:type="dxa"/>
              <w:bottom w:w="85" w:type="dxa"/>
              <w:left w:w="100" w:type="dxa"/>
              <w:right w:w="100" w:type="dxa"/>
            </w:tcMar>
          </w:tcPr>
          <w:p>
            <w:pPr>
              <w:spacing w:after="0" w:line="252" w:lineRule="auto"/>
            </w:pPr>
            <w:r>
              <w:rPr>
                <w:b/>
                <w:color w:val="FFFFFF"/>
                <w:sz w:val="20"/>
              </w:rPr>
              <w:t>Erforderliche Angaben</w:t>
            </w:r>
          </w:p>
        </w:tc>
      </w:tr>
      <w:tr>
        <w:trPr>
          <w:cantSplit/>
        </w:trPr>
        <w:tc>
          <w:tcPr>
            <w:tcW w:type="dxa" w:w="1728"/>
            <w:vAlign w:val="center"/>
            <w:shd w:fill="FFFFFF"/>
            <w:tcMar>
              <w:top w:w="85" w:type="dxa"/>
              <w:bottom w:w="85" w:type="dxa"/>
              <w:left w:w="100" w:type="dxa"/>
              <w:right w:w="100" w:type="dxa"/>
            </w:tcMar>
          </w:tcPr>
          <w:p>
            <w:pPr>
              <w:spacing w:after="0" w:line="252" w:lineRule="auto"/>
              <w:jc w:val="center"/>
            </w:pPr>
            <w:r>
              <w:rPr>
                <w:b w:val="0"/>
                <w:color w:val="000000"/>
                <w:sz w:val="20"/>
              </w:rPr>
              <w:t>App</w:t>
            </w:r>
          </w:p>
        </w:tc>
        <w:tc>
          <w:tcPr>
            <w:tcW w:type="dxa" w:w="8352"/>
            <w:vAlign w:val="center"/>
            <w:shd w:fill="FFFFFF"/>
            <w:tcMar>
              <w:top w:w="85" w:type="dxa"/>
              <w:bottom w:w="85" w:type="dxa"/>
              <w:left w:w="100" w:type="dxa"/>
              <w:right w:w="100" w:type="dxa"/>
            </w:tcMar>
          </w:tcPr>
          <w:p>
            <w:pPr>
              <w:spacing w:after="0" w:line="252" w:lineRule="auto"/>
            </w:pPr>
            <w:r>
              <w:rPr>
                <w:b w:val="0"/>
                <w:color w:val="000000"/>
                <w:sz w:val="20"/>
              </w:rPr>
              <w:t>Identität und Version; Herausgeber; Paketdigest; unterstützte Laufzeitprofile; Eingabe- und Ausgabeschema; Parameter; benötigte Fähigkeiten; Prüfprofil.</w:t>
            </w:r>
          </w:p>
        </w:tc>
      </w:tr>
      <w:tr>
        <w:trPr>
          <w:cantSplit/>
        </w:trPr>
        <w:tc>
          <w:tcPr>
            <w:tcW w:type="dxa" w:w="1728"/>
            <w:vAlign w:val="center"/>
            <w:shd w:fill="F3F6F8"/>
            <w:tcMar>
              <w:top w:w="85" w:type="dxa"/>
              <w:bottom w:w="85" w:type="dxa"/>
              <w:left w:w="100" w:type="dxa"/>
              <w:right w:w="100" w:type="dxa"/>
            </w:tcMar>
          </w:tcPr>
          <w:p>
            <w:pPr>
              <w:spacing w:after="0" w:line="252" w:lineRule="auto"/>
              <w:jc w:val="center"/>
            </w:pPr>
            <w:r>
              <w:rPr>
                <w:b w:val="0"/>
                <w:color w:val="000000"/>
                <w:sz w:val="20"/>
              </w:rPr>
              <w:t>Gerät</w:t>
            </w:r>
          </w:p>
        </w:tc>
        <w:tc>
          <w:tcPr>
            <w:tcW w:type="dxa" w:w="8352"/>
            <w:vAlign w:val="center"/>
            <w:shd w:fill="F3F6F8"/>
            <w:tcMar>
              <w:top w:w="85" w:type="dxa"/>
              <w:bottom w:w="85" w:type="dxa"/>
              <w:left w:w="100" w:type="dxa"/>
              <w:right w:w="100" w:type="dxa"/>
            </w:tcMar>
          </w:tcPr>
          <w:p>
            <w:pPr>
              <w:spacing w:after="0" w:line="252" w:lineRule="auto"/>
            </w:pPr>
            <w:r>
              <w:rPr>
                <w:b w:val="0"/>
                <w:color w:val="000000"/>
                <w:sz w:val="20"/>
              </w:rPr>
              <w:t>Identität; Modell und Firmware; Messgrössen und Einheiten; Wertebereiche; Auflösung; Datenformat; Aktionen; Zustandsmodell; Zeitbasis; Kalibrierbezug.</w:t>
            </w:r>
          </w:p>
        </w:tc>
      </w:tr>
      <w:tr>
        <w:trPr>
          <w:cantSplit/>
        </w:trPr>
        <w:tc>
          <w:tcPr>
            <w:tcW w:type="dxa" w:w="1728"/>
            <w:vAlign w:val="center"/>
            <w:shd w:fill="FFFFFF"/>
            <w:tcMar>
              <w:top w:w="85" w:type="dxa"/>
              <w:bottom w:w="85" w:type="dxa"/>
              <w:left w:w="100" w:type="dxa"/>
              <w:right w:w="100" w:type="dxa"/>
            </w:tcMar>
          </w:tcPr>
          <w:p>
            <w:pPr>
              <w:spacing w:after="0" w:line="252" w:lineRule="auto"/>
              <w:jc w:val="center"/>
            </w:pPr>
            <w:r>
              <w:rPr>
                <w:b w:val="0"/>
                <w:color w:val="000000"/>
                <w:sz w:val="20"/>
              </w:rPr>
              <w:t>Ressourcen</w:t>
            </w:r>
          </w:p>
        </w:tc>
        <w:tc>
          <w:tcPr>
            <w:tcW w:type="dxa" w:w="8352"/>
            <w:vAlign w:val="center"/>
            <w:shd w:fill="FFFFFF"/>
            <w:tcMar>
              <w:top w:w="85" w:type="dxa"/>
              <w:bottom w:w="85" w:type="dxa"/>
              <w:left w:w="100" w:type="dxa"/>
              <w:right w:w="100" w:type="dxa"/>
            </w:tcMar>
          </w:tcPr>
          <w:p>
            <w:pPr>
              <w:spacing w:after="0" w:line="252" w:lineRule="auto"/>
            </w:pPr>
            <w:r>
              <w:rPr>
                <w:b w:val="0"/>
                <w:color w:val="000000"/>
                <w:sz w:val="20"/>
              </w:rPr>
              <w:t>CPU-, RAM-, Speicher- und Laufzeitbudget; maximale Datenrate; Zahl paralleler Jobs; benötigte Beschleuniger; Netz- und Dateizugriffe.</w:t>
            </w:r>
          </w:p>
        </w:tc>
      </w:tr>
      <w:tr>
        <w:trPr>
          <w:cantSplit/>
        </w:trPr>
        <w:tc>
          <w:tcPr>
            <w:tcW w:type="dxa" w:w="1728"/>
            <w:vAlign w:val="center"/>
            <w:shd w:fill="F3F6F8"/>
            <w:tcMar>
              <w:top w:w="85" w:type="dxa"/>
              <w:bottom w:w="85" w:type="dxa"/>
              <w:left w:w="100" w:type="dxa"/>
              <w:right w:w="100" w:type="dxa"/>
            </w:tcMar>
          </w:tcPr>
          <w:p>
            <w:pPr>
              <w:spacing w:after="0" w:line="252" w:lineRule="auto"/>
              <w:jc w:val="center"/>
            </w:pPr>
            <w:r>
              <w:rPr>
                <w:b w:val="0"/>
                <w:color w:val="000000"/>
                <w:sz w:val="20"/>
              </w:rPr>
              <w:t>Messung</w:t>
            </w:r>
          </w:p>
        </w:tc>
        <w:tc>
          <w:tcPr>
            <w:tcW w:type="dxa" w:w="8352"/>
            <w:vAlign w:val="center"/>
            <w:shd w:fill="F3F6F8"/>
            <w:tcMar>
              <w:top w:w="85" w:type="dxa"/>
              <w:bottom w:w="85" w:type="dxa"/>
              <w:left w:w="100" w:type="dxa"/>
              <w:right w:w="100" w:type="dxa"/>
            </w:tcMar>
          </w:tcPr>
          <w:p>
            <w:pPr>
              <w:spacing w:after="0" w:line="252" w:lineRule="auto"/>
            </w:pPr>
            <w:r>
              <w:rPr>
                <w:b w:val="0"/>
                <w:color w:val="000000"/>
                <w:sz w:val="20"/>
              </w:rPr>
              <w:t>Messkonfiguration; Abtastrate oder Ereigniszeitbasis; Rohdatenbezug; Kalibrierstatus; Gültigkeitsbedingungen; Unsicherheitsmodell und Qualitätskennzeichen.</w:t>
            </w:r>
          </w:p>
        </w:tc>
      </w:tr>
      <w:tr>
        <w:trPr>
          <w:cantSplit/>
        </w:trPr>
        <w:tc>
          <w:tcPr>
            <w:tcW w:type="dxa" w:w="1728"/>
            <w:vAlign w:val="center"/>
            <w:shd w:fill="FFFFFF"/>
            <w:tcMar>
              <w:top w:w="85" w:type="dxa"/>
              <w:bottom w:w="85" w:type="dxa"/>
              <w:left w:w="100" w:type="dxa"/>
              <w:right w:w="100" w:type="dxa"/>
            </w:tcMar>
          </w:tcPr>
          <w:p>
            <w:pPr>
              <w:spacing w:after="0" w:line="252" w:lineRule="auto"/>
              <w:jc w:val="center"/>
            </w:pPr>
            <w:r>
              <w:rPr>
                <w:b w:val="0"/>
                <w:color w:val="000000"/>
                <w:sz w:val="20"/>
              </w:rPr>
              <w:t>Rechnung</w:t>
            </w:r>
          </w:p>
        </w:tc>
        <w:tc>
          <w:tcPr>
            <w:tcW w:type="dxa" w:w="8352"/>
            <w:vAlign w:val="center"/>
            <w:shd w:fill="FFFFFF"/>
            <w:tcMar>
              <w:top w:w="85" w:type="dxa"/>
              <w:bottom w:w="85" w:type="dxa"/>
              <w:left w:w="100" w:type="dxa"/>
              <w:right w:w="100" w:type="dxa"/>
            </w:tcMar>
          </w:tcPr>
          <w:p>
            <w:pPr>
              <w:spacing w:after="0" w:line="252" w:lineRule="auto"/>
            </w:pPr>
            <w:r>
              <w:rPr>
                <w:b w:val="0"/>
                <w:color w:val="000000"/>
                <w:sz w:val="20"/>
              </w:rPr>
              <w:t>Algorithmus und Version; Numerikprofil; Initialisierung; Parameter; Referenzverfahren; Vergleichsregel; Fehler- und Abbruchbedingungen.</w:t>
            </w:r>
          </w:p>
        </w:tc>
      </w:tr>
      <w:tr>
        <w:trPr>
          <w:cantSplit/>
        </w:trPr>
        <w:tc>
          <w:tcPr>
            <w:tcW w:type="dxa" w:w="1728"/>
            <w:vAlign w:val="center"/>
            <w:shd w:fill="F3F6F8"/>
            <w:tcMar>
              <w:top w:w="85" w:type="dxa"/>
              <w:bottom w:w="85" w:type="dxa"/>
              <w:left w:w="100" w:type="dxa"/>
              <w:right w:w="100" w:type="dxa"/>
            </w:tcMar>
          </w:tcPr>
          <w:p>
            <w:pPr>
              <w:spacing w:after="0" w:line="252" w:lineRule="auto"/>
              <w:jc w:val="center"/>
            </w:pPr>
            <w:r>
              <w:rPr>
                <w:b w:val="0"/>
                <w:color w:val="000000"/>
                <w:sz w:val="20"/>
              </w:rPr>
              <w:t>Ergebnis</w:t>
            </w:r>
          </w:p>
        </w:tc>
        <w:tc>
          <w:tcPr>
            <w:tcW w:type="dxa" w:w="8352"/>
            <w:vAlign w:val="center"/>
            <w:shd w:fill="F3F6F8"/>
            <w:tcMar>
              <w:top w:w="85" w:type="dxa"/>
              <w:bottom w:w="85" w:type="dxa"/>
              <w:left w:w="100" w:type="dxa"/>
              <w:right w:w="100" w:type="dxa"/>
            </w:tcMar>
          </w:tcPr>
          <w:p>
            <w:pPr>
              <w:spacing w:after="0" w:line="252" w:lineRule="auto"/>
            </w:pPr>
            <w:r>
              <w:rPr>
                <w:b w:val="0"/>
                <w:color w:val="000000"/>
                <w:sz w:val="20"/>
              </w:rPr>
              <w:t>Job- und Versuch-ID; Eingabereferenzen; Artefaktdigests; App- und Umgebungsdaten; Laufstatus; getrenntes Validierungsurteil samt Prüfer-Version.</w:t>
            </w:r>
          </w:p>
        </w:tc>
      </w:tr>
    </w:tbl>
    <w:p>
      <w:pPr>
        <w:spacing w:after="20"/>
      </w:pPr>
    </w:p>
    <w:p>
      <w:r>
        <w:rPr>
          <w:lang w:val="de-CH"/>
        </w:rPr>
        <w:t>Ein Auftrag wird nur zugelassen, wenn benötigte Fähigkeiten auf dem Knoten vorhanden sind, die Versionen kompatibel sind, die Ressourcen reserviert werden können und die Berechtigung alle angeforderten Operationen umfasst. Eine Selbstauskunft des Knotens allein ersetzt keinen Konformitätstest. Fähigkeiten werden mit Herkunft, Version und letztem Prüfstatus registriert.</w:t>
      </w:r>
    </w:p>
    <w:p>
      <w:r>
        <w:rPr>
          <w:lang w:val="de-CH"/>
        </w:rPr>
        <w:t>Gerätefähigkeiten unterscheiden lesende Messzugriffe von schreibenden Aktionen. Eine Sensor-App kann beispielsweise Daten lesen und Ereignisse veröffentlichen, ohne Firmware ändern oder beliebige Stellbefehle senden zu dürfen. Herstellerprotokolle werden hinter Adaptern gebündelt; das fachliche Datenmodell bleibt davon getrennt. W3C WoT dient als Anschlussmodell, ohne vollständige WoT-Konformität vorwegzunehmen. [1]</w:t>
      </w:r>
    </w:p>
    <w:p>
      <w:r>
        <w:rPr>
          <w:lang w:val="de-CH"/>
        </w:rPr>
        <w:t>Für autorisierte Aufträge werden Contract-Version und ausführbare Artefakte festgehalten. Ein Wechsel während eines Laufs erzeugt einen neuen Versuch oder Auftrag. Adaptive Verfahren sind nur zulässig, wenn Anpassungsregel, Parameterraum und Protokollierung bereits vor dem Lauf festgelegt wurden.</w:t>
      </w:r>
    </w:p>
    <w:p>
      <w:r>
        <w:rPr>
          <w:lang w:val="de-CH"/>
        </w:rPr>
        <w:br w:type="page"/>
      </w:r>
    </w:p>
    <w:p>
      <w:pPr>
        <w:pStyle w:val="Heading1"/>
      </w:pPr>
      <w:r>
        <w:rPr>
          <w:lang w:val="de-CH"/>
        </w:rPr>
        <w:t>5 Lebenszyklus und Fehlerbehandlung</w:t>
      </w:r>
    </w:p>
    <w:p>
      <w:r>
        <w:rPr>
          <w:lang w:val="de-CH"/>
        </w:rPr>
        <w:t>Ausführung und Validierung erhalten getrennte Zustände. Ein Worker darf das fachliche Prüfresultat nicht allein durch die Meldung eines erfolgreichen Prozessendes setzen. Die persistente Zustandsänderung muss einer gültigen Transition folgen und die Identität des Ausführungsversuchs berücksichtigen.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8208"/>
      </w:tblGrid>
      <w:tr>
        <w:trPr>
          <w:cantSplit/>
          <w:tblHeader/>
        </w:trPr>
        <w:tc>
          <w:tcPr>
            <w:tcW w:type="dxa" w:w="1872"/>
            <w:vAlign w:val="center"/>
            <w:shd w:fill="243B53"/>
            <w:tcMar>
              <w:top w:w="85" w:type="dxa"/>
              <w:bottom w:w="85" w:type="dxa"/>
              <w:left w:w="100" w:type="dxa"/>
              <w:right w:w="100" w:type="dxa"/>
            </w:tcMar>
          </w:tcPr>
          <w:p>
            <w:pPr>
              <w:spacing w:after="0" w:line="252" w:lineRule="auto"/>
              <w:jc w:val="center"/>
            </w:pPr>
            <w:r>
              <w:rPr>
                <w:b/>
                <w:color w:val="FFFFFF"/>
                <w:sz w:val="20"/>
              </w:rPr>
              <w:t>Ablauf</w:t>
            </w:r>
          </w:p>
        </w:tc>
        <w:tc>
          <w:tcPr>
            <w:tcW w:type="dxa" w:w="8208"/>
            <w:vAlign w:val="center"/>
            <w:shd w:fill="243B53"/>
            <w:tcMar>
              <w:top w:w="85" w:type="dxa"/>
              <w:bottom w:w="85" w:type="dxa"/>
              <w:left w:w="100" w:type="dxa"/>
              <w:right w:w="100" w:type="dxa"/>
            </w:tcMar>
          </w:tcPr>
          <w:p>
            <w:pPr>
              <w:spacing w:after="0" w:line="252" w:lineRule="auto"/>
            </w:pPr>
            <w:r>
              <w:rPr>
                <w:b/>
                <w:color w:val="FFFFFF"/>
                <w:sz w:val="20"/>
              </w:rPr>
              <w:t>Zustände und Regel</w:t>
            </w:r>
          </w:p>
        </w:tc>
      </w:tr>
      <w:tr>
        <w:trPr>
          <w:cantSplit/>
        </w:trPr>
        <w:tc>
          <w:tcPr>
            <w:tcW w:type="dxa" w:w="1872"/>
            <w:vAlign w:val="center"/>
            <w:shd w:fill="FFFFFF"/>
            <w:tcMar>
              <w:top w:w="85" w:type="dxa"/>
              <w:bottom w:w="85" w:type="dxa"/>
              <w:left w:w="100" w:type="dxa"/>
              <w:right w:w="100" w:type="dxa"/>
            </w:tcMar>
          </w:tcPr>
          <w:p>
            <w:pPr>
              <w:spacing w:after="0" w:line="252" w:lineRule="auto"/>
              <w:jc w:val="center"/>
            </w:pPr>
            <w:r>
              <w:rPr>
                <w:b w:val="0"/>
                <w:color w:val="000000"/>
                <w:sz w:val="20"/>
              </w:rPr>
              <w:t>Auftrag</w:t>
            </w:r>
          </w:p>
        </w:tc>
        <w:tc>
          <w:tcPr>
            <w:tcW w:type="dxa" w:w="8208"/>
            <w:vAlign w:val="center"/>
            <w:shd w:fill="FFFFFF"/>
            <w:tcMar>
              <w:top w:w="85" w:type="dxa"/>
              <w:bottom w:w="85" w:type="dxa"/>
              <w:left w:w="100" w:type="dxa"/>
              <w:right w:w="100" w:type="dxa"/>
            </w:tcMar>
          </w:tcPr>
          <w:p>
            <w:pPr>
              <w:spacing w:after="0" w:line="252" w:lineRule="auto"/>
            </w:pPr>
            <w:r>
              <w:rPr>
                <w:b w:val="0"/>
                <w:color w:val="000000"/>
                <w:sz w:val="20"/>
              </w:rPr>
              <w:t>RECEIVED → VALIDATED → QUEUED → RUNNING → EXECUTED. VALIDATED bedeutet hier nur Schema-, Rechte- und Ressourcenprüfung.</w:t>
            </w:r>
          </w:p>
        </w:tc>
      </w:tr>
      <w:tr>
        <w:trPr>
          <w:cantSplit/>
        </w:trPr>
        <w:tc>
          <w:tcPr>
            <w:tcW w:type="dxa" w:w="1872"/>
            <w:vAlign w:val="center"/>
            <w:shd w:fill="F3F6F8"/>
            <w:tcMar>
              <w:top w:w="85" w:type="dxa"/>
              <w:bottom w:w="85" w:type="dxa"/>
              <w:left w:w="100" w:type="dxa"/>
              <w:right w:w="100" w:type="dxa"/>
            </w:tcMar>
          </w:tcPr>
          <w:p>
            <w:pPr>
              <w:spacing w:after="0" w:line="252" w:lineRule="auto"/>
              <w:jc w:val="center"/>
            </w:pPr>
            <w:r>
              <w:rPr>
                <w:b w:val="0"/>
                <w:color w:val="000000"/>
                <w:sz w:val="20"/>
              </w:rPr>
              <w:t>Prüfung</w:t>
            </w:r>
          </w:p>
        </w:tc>
        <w:tc>
          <w:tcPr>
            <w:tcW w:type="dxa" w:w="8208"/>
            <w:vAlign w:val="center"/>
            <w:shd w:fill="F3F6F8"/>
            <w:tcMar>
              <w:top w:w="85" w:type="dxa"/>
              <w:bottom w:w="85" w:type="dxa"/>
              <w:left w:w="100" w:type="dxa"/>
              <w:right w:w="100" w:type="dxa"/>
            </w:tcMar>
          </w:tcPr>
          <w:p>
            <w:pPr>
              <w:spacing w:after="0" w:line="252" w:lineRule="auto"/>
            </w:pPr>
            <w:r>
              <w:rPr>
                <w:b w:val="0"/>
                <w:color w:val="000000"/>
                <w:sz w:val="20"/>
              </w:rPr>
              <w:t>PENDING → CHECKING → PASS, FAIL oder INCONCLUSIVE. Technische Fehler des Prüfdienstes erhalten CHECK_ERROR.</w:t>
            </w:r>
          </w:p>
        </w:tc>
      </w:tr>
      <w:tr>
        <w:trPr>
          <w:cantSplit/>
        </w:trPr>
        <w:tc>
          <w:tcPr>
            <w:tcW w:type="dxa" w:w="1872"/>
            <w:vAlign w:val="center"/>
            <w:shd w:fill="FFFFFF"/>
            <w:tcMar>
              <w:top w:w="85" w:type="dxa"/>
              <w:bottom w:w="85" w:type="dxa"/>
              <w:left w:w="100" w:type="dxa"/>
              <w:right w:w="100" w:type="dxa"/>
            </w:tcMar>
          </w:tcPr>
          <w:p>
            <w:pPr>
              <w:spacing w:after="0" w:line="252" w:lineRule="auto"/>
              <w:jc w:val="center"/>
            </w:pPr>
            <w:r>
              <w:rPr>
                <w:b w:val="0"/>
                <w:color w:val="000000"/>
                <w:sz w:val="20"/>
              </w:rPr>
              <w:t>Abbruch</w:t>
            </w:r>
          </w:p>
        </w:tc>
        <w:tc>
          <w:tcPr>
            <w:tcW w:type="dxa" w:w="8208"/>
            <w:vAlign w:val="center"/>
            <w:shd w:fill="FFFFFF"/>
            <w:tcMar>
              <w:top w:w="85" w:type="dxa"/>
              <w:bottom w:w="85" w:type="dxa"/>
              <w:left w:w="100" w:type="dxa"/>
              <w:right w:w="100" w:type="dxa"/>
            </w:tcMar>
          </w:tcPr>
          <w:p>
            <w:pPr>
              <w:spacing w:after="0" w:line="252" w:lineRule="auto"/>
            </w:pPr>
            <w:r>
              <w:rPr>
                <w:b w:val="0"/>
                <w:color w:val="000000"/>
                <w:sz w:val="20"/>
              </w:rPr>
              <w:t>REJECTED, FAILED, CANCELLED und TIMED_OUT sind dokumentierte Endzustände der Ausführung. Teilresultate bleiben als solche markiert.</w:t>
            </w:r>
          </w:p>
        </w:tc>
      </w:tr>
      <w:tr>
        <w:trPr>
          <w:cantSplit/>
        </w:trPr>
        <w:tc>
          <w:tcPr>
            <w:tcW w:type="dxa" w:w="1872"/>
            <w:vAlign w:val="center"/>
            <w:shd w:fill="F3F6F8"/>
            <w:tcMar>
              <w:top w:w="85" w:type="dxa"/>
              <w:bottom w:w="85" w:type="dxa"/>
              <w:left w:w="100" w:type="dxa"/>
              <w:right w:w="100" w:type="dxa"/>
            </w:tcMar>
          </w:tcPr>
          <w:p>
            <w:pPr>
              <w:spacing w:after="0" w:line="252" w:lineRule="auto"/>
              <w:jc w:val="center"/>
            </w:pPr>
            <w:r>
              <w:rPr>
                <w:b w:val="0"/>
                <w:color w:val="000000"/>
                <w:sz w:val="20"/>
              </w:rPr>
              <w:t>Wiederholung</w:t>
            </w:r>
          </w:p>
        </w:tc>
        <w:tc>
          <w:tcPr>
            <w:tcW w:type="dxa" w:w="8208"/>
            <w:vAlign w:val="center"/>
            <w:shd w:fill="F3F6F8"/>
            <w:tcMar>
              <w:top w:w="85" w:type="dxa"/>
              <w:bottom w:w="85" w:type="dxa"/>
              <w:left w:w="100" w:type="dxa"/>
              <w:right w:w="100" w:type="dxa"/>
            </w:tcMar>
          </w:tcPr>
          <w:p>
            <w:pPr>
              <w:spacing w:after="0" w:line="252" w:lineRule="auto"/>
            </w:pPr>
            <w:r>
              <w:rPr>
                <w:b w:val="0"/>
                <w:color w:val="000000"/>
                <w:sz w:val="20"/>
              </w:rPr>
              <w:t>Ein retry erzeugt eine neue attempt_id. job_id, ursprünglicher Contract und Eingabedaten bleiben zugeordnet.</w:t>
            </w:r>
          </w:p>
        </w:tc>
      </w:tr>
      <w:tr>
        <w:trPr>
          <w:cantSplit/>
        </w:trPr>
        <w:tc>
          <w:tcPr>
            <w:tcW w:type="dxa" w:w="1872"/>
            <w:vAlign w:val="center"/>
            <w:shd w:fill="FFFFFF"/>
            <w:tcMar>
              <w:top w:w="85" w:type="dxa"/>
              <w:bottom w:w="85" w:type="dxa"/>
              <w:left w:w="100" w:type="dxa"/>
              <w:right w:w="100" w:type="dxa"/>
            </w:tcMar>
          </w:tcPr>
          <w:p>
            <w:pPr>
              <w:spacing w:after="0" w:line="252" w:lineRule="auto"/>
            </w:pPr>
            <w:r>
              <w:rPr>
                <w:b w:val="0"/>
                <w:color w:val="000000"/>
                <w:sz w:val="20"/>
              </w:rPr>
              <w:t>Verbindungsverlust</w:t>
            </w:r>
          </w:p>
        </w:tc>
        <w:tc>
          <w:tcPr>
            <w:tcW w:type="dxa" w:w="8208"/>
            <w:vAlign w:val="center"/>
            <w:shd w:fill="FFFFFF"/>
            <w:tcMar>
              <w:top w:w="85" w:type="dxa"/>
              <w:bottom w:w="85" w:type="dxa"/>
              <w:left w:w="100" w:type="dxa"/>
              <w:right w:w="100" w:type="dxa"/>
            </w:tcMar>
          </w:tcPr>
          <w:p>
            <w:pPr>
              <w:spacing w:after="0" w:line="252" w:lineRule="auto"/>
            </w:pPr>
            <w:r>
              <w:rPr>
                <w:b w:val="0"/>
                <w:color w:val="000000"/>
                <w:sz w:val="20"/>
              </w:rPr>
              <w:t>Leases und Heartbeats erkennen verwaiste Ausführungen. Wiederaufnahme erfolgt nur gemäss dem definierten Profil.</w:t>
            </w:r>
          </w:p>
        </w:tc>
      </w:tr>
    </w:tbl>
    <w:p>
      <w:pPr>
        <w:spacing w:after="20"/>
      </w:pPr>
    </w:p>
    <w:p>
      <w:r>
        <w:rPr>
          <w:lang w:val="de-CH"/>
        </w:rPr>
        <w:t>Für reine Rechenaufträge kann eine mindestens einmalige Zustellung mit idempotenter Ergebnisannahme verwendet werden. Ein Fencing-Token oder eine gleichwertige Generationsprüfung verhindert, dass ein abgelöster Worker einen späteren Versuch überschreibt. Allgemeine Exactly-once-Ausführung wird nicht vorausgesetzt.</w:t>
      </w:r>
    </w:p>
    <w:p>
      <w:r>
        <w:rPr>
          <w:lang w:val="de-CH"/>
        </w:rPr>
        <w:t>Physische Geräteaktionen folgen einem gesonderten Befehlsjournal. Nach einem Timeout kann unbekannt sein, ob ein Befehl ausgeführt wurde. Eine nicht idempotente Aktion darf dann nicht blind wiederholt werden. Der Adapter benötigt eine Zustandsabfrage, geräteseitige Deduplizierung oder eine ausdrücklich definierte sichere Reaktion.</w:t>
      </w:r>
    </w:p>
    <w:p>
      <w:pPr>
        <w:pStyle w:val="Heading2"/>
      </w:pPr>
      <w:r>
        <w:rPr>
          <w:lang w:val="de-CH"/>
        </w:rPr>
        <w:t>Installation und Aktualisierung</w:t>
      </w:r>
    </w:p>
    <w:p>
      <w:r>
        <w:rPr>
          <w:lang w:val="de-CH"/>
        </w:rPr>
        <w:t>App-Pakete werden gegen freigegebene Herausgeber und Digests geprüft, in einer Staging-Umgebung vorbereitet und erst nach erfolgreicher Kompatibilitätsprüfung aktiviert. Laufende Messungen werden nicht unangekündigt auf eine neue Version umgestellt. Rollback und Datenbankmigration werden zusammen geplant; eine ältere App darf keine inkompatiblen Zustandsdaten übernehmen.</w:t>
      </w:r>
    </w:p>
    <w:p>
      <w:r>
        <w:rPr>
          <w:lang w:val="de-CH"/>
        </w:rPr>
        <w:t>Ein Rollback auf einen genehmigten, kompatiblen Stand ist von einem unerlaubten Downgrade zu unterscheiden. Widerrufene Softwarestände und Schlüssel bleiben gesperrt. Für Gerätefirmware werden Schutz, Erkennung und Wiederherstellung als getrennte Aufgaben betrachtet; NIST SP 800-193 ist hierfür eine Referenz, keine durch dieses Konzept erreichte Zertifizierung. [8]</w:t>
      </w:r>
    </w:p>
    <w:p>
      <w:r>
        <w:rPr>
          <w:lang w:val="de-CH"/>
        </w:rPr>
        <w:br w:type="page"/>
      </w:r>
    </w:p>
    <w:p>
      <w:pPr>
        <w:pStyle w:val="Heading1"/>
      </w:pPr>
      <w:r>
        <w:rPr>
          <w:lang w:val="de-CH"/>
        </w:rPr>
        <w:t>6 Datenherkunft und messtechnische Aussage</w:t>
      </w:r>
    </w:p>
    <w:p>
      <w:r>
        <w:rPr>
          <w:lang w:val="de-CH"/>
        </w:rPr>
        <w:t>Die Plattform speichert Herkunft und Verarbeitungsschritte so, dass ein Ergebnis bis zu seinen Eingaben zurückverfolgt werden kann. Diese Nachvollziehbarkeit ist von mathematischer Richtigkeit und messtechnischer Rückführbarkeit zu unterscheiden. Ein signiertes falsches Resultat bleibt falsch; eine fehlerfrei übertragene Messreihe kann einen unbekannten Sensoroffset enthalten.</w:t>
      </w:r>
    </w:p>
    <w:p>
      <w:pPr>
        <w:pStyle w:val="Heading2"/>
      </w:pPr>
      <w:r>
        <w:rPr>
          <w:lang w:val="de-CH"/>
        </w:rPr>
        <w:t>Artefakte und Evidenz</w:t>
      </w:r>
    </w:p>
    <w:p>
      <w:r>
        <w:rPr>
          <w:lang w:val="de-CH"/>
        </w:rPr>
        <w:t>Der Hash der ursprünglichen Datei identifiziert deren Bytes. Ein zusätzlicher Hash einer normierten Darstellung identifiziert den definierten Recheninput. Ein Ergebnishash identifiziert ein konkretes Ausgabeobjekt. Die Regeln für Hashumfang, UTF-8-Kodierung, Zahlen, Reihenfolgen und ausgeschlossene Felder werden im Contract festgelegt. JCS nach RFC 8785 ist eine mögliche JSON-Kanonisierung; die Kompatibilität benötigt Testvektoren. [9]</w:t>
      </w:r>
    </w:p>
    <w:p>
      <w:r>
        <w:rPr>
          <w:lang w:val="de-CH"/>
        </w:rPr>
        <w:t>Numerische Nutzdaten und variable Laufmetadaten werden getrennt gespeichert und über ein Manifest verbunden. Unterschiedliche Zeitstempel dürfen nicht als numerische Abweichung erscheinen. Umgekehrt darf eine Toleranzprüfung nicht durch Hashgleichheit ersetzt werden. Zeitstempel, Protokolle und Umgebungsdaten bleiben Bestandteil des vollständigen Laufnachweises.</w:t>
      </w:r>
    </w:p>
    <w:p>
      <w:r>
        <w:rPr>
          <w:lang w:val="de-CH"/>
        </w:rPr>
        <w:t>Der Speicher übernimmt neue Artefakte atomar und überprüft Länge und Digest vor der Freigabe. Normale Worker dürfen bestehende Artefakte und Prüfurteile nicht überschreiben. Eine Verkettung von Hashes allein verhindert kein nachträgliches Umschreiben durch privilegierte Betreiber. Für Manipulationserkennung gegenüber diesem Angreifer sind getrennt geschützte Signaturen beziehungsweise externe Checkpoints und eine definierte Aufbewahrung erforderlich.</w:t>
      </w:r>
    </w:p>
    <w:p>
      <w:pPr>
        <w:pStyle w:val="Heading2"/>
      </w:pPr>
      <w:r>
        <w:rPr>
          <w:lang w:val="de-CH"/>
        </w:rPr>
        <w:t>Zeitbasis und Datenqualität</w:t>
      </w:r>
    </w:p>
    <w:p>
      <w:r>
        <w:rPr>
          <w:lang w:val="de-CH"/>
        </w:rPr>
        <w:t>Jeder Messstrom führt Geräte- und Stream-ID, Sequenznummer, Neustartepoche, Konfiguration, Einheit und Qualitätskennzeichen. Empfangszeit und Erfassungszeit sind getrennte Felder. Bei mehreren Geräten müssen Synchronisationsverfahren, Drift und erreichbare Zeitunsicherheit angegeben werden. Eine UTC-Zeit am Server begründet keine gemeinsame präzise Zeitbasis der Sensoren.</w:t>
      </w:r>
    </w:p>
    <w:p>
      <w:r>
        <w:rPr>
          <w:lang w:val="de-CH"/>
        </w:rPr>
        <w:t>Der Puffer wird mindestens aus Datenrate und zugelassener Ausfallzeit dimensioniert und erhält Reserve für Bursts und Protokollaufwand. Eine volle Warteschlange löst die festgelegte Strategie aus: Aufnahme stoppen, kontrolliert verwerfen oder lokal verdichten. Datenverluste und Verdichtung müssen sichtbar bleiben. Verarbeitete Signale dürfen aufbewahrungspflichtige Rohdaten nicht ersetzen.</w:t>
      </w:r>
    </w:p>
    <w:p>
      <w:r>
        <w:rPr>
          <w:lang w:val="de-CH"/>
        </w:rPr>
        <w:t>Für Messwerte werden Messmodell, Einflussgrössen und Unsicherheitsbeiträge dokumentiert. Kalibrierzertifikate gelten nur im jeweiligen Bereich und unter ihren Bedingungen. Die Rückführung auf eine Referenz verlangt eine dokumentierte Kalibrierkette mit Unsicherheitsbeiträgen. Ein fehlendes Unsicherheitsmodell erhält den Status UNCHARACTERIZED und darf nicht als kalibrierte Genauigkeitsangabe ausgegeben werden. [10]</w:t>
      </w:r>
    </w:p>
    <w:p>
      <w:r>
        <w:rPr>
          <w:lang w:val="de-CH"/>
        </w:rPr>
        <w:br w:type="page"/>
      </w:r>
    </w:p>
    <w:p>
      <w:pPr>
        <w:pStyle w:val="Heading1"/>
      </w:pPr>
      <w:r>
        <w:rPr>
          <w:lang w:val="de-CH"/>
        </w:rPr>
        <w:t>7 Sicherheitsmodell und Vertrauensgrenzen</w:t>
      </w:r>
    </w:p>
    <w:p>
      <w:r>
        <w:rPr>
          <w:lang w:val="de-CH"/>
        </w:rPr>
        <w:t>V0.1 setzt einen verantwortlichen Betreiber voraus, der registrierte Hosts, Herausgeber und Vertrauensanker verwaltet. Der Administrator eines Rechenknotens liegt im anfänglichen Vertrauensbereich. Vertrauliche Verarbeitung auf einem absichtlich bösartigen Host wird nicht zugesichert. Transportverschlüsselung schützt keine Daten, die für die Verarbeitung auf diesem Host entschlüsselt werden.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7056"/>
      </w:tblGrid>
      <w:tr>
        <w:trPr>
          <w:cantSplit/>
          <w:tblHeader/>
        </w:trPr>
        <w:tc>
          <w:tcPr>
            <w:tcW w:type="dxa" w:w="3024"/>
            <w:vAlign w:val="center"/>
            <w:shd w:fill="243B53"/>
            <w:tcMar>
              <w:top w:w="85" w:type="dxa"/>
              <w:bottom w:w="85" w:type="dxa"/>
              <w:left w:w="100" w:type="dxa"/>
              <w:right w:w="100" w:type="dxa"/>
            </w:tcMar>
          </w:tcPr>
          <w:p>
            <w:pPr>
              <w:spacing w:after="0" w:line="252" w:lineRule="auto"/>
            </w:pPr>
            <w:r>
              <w:rPr>
                <w:b/>
                <w:color w:val="FFFFFF"/>
                <w:sz w:val="20"/>
              </w:rPr>
              <w:t>Angreifer oder Fehler</w:t>
            </w:r>
          </w:p>
        </w:tc>
        <w:tc>
          <w:tcPr>
            <w:tcW w:type="dxa" w:w="7056"/>
            <w:vAlign w:val="center"/>
            <w:shd w:fill="243B53"/>
            <w:tcMar>
              <w:top w:w="85" w:type="dxa"/>
              <w:bottom w:w="85" w:type="dxa"/>
              <w:left w:w="100" w:type="dxa"/>
              <w:right w:w="100" w:type="dxa"/>
            </w:tcMar>
          </w:tcPr>
          <w:p>
            <w:pPr>
              <w:spacing w:after="0" w:line="252" w:lineRule="auto"/>
            </w:pPr>
            <w:r>
              <w:rPr>
                <w:b/>
                <w:color w:val="FFFFFF"/>
                <w:sz w:val="20"/>
              </w:rPr>
              <w:t>Schutzanforderung</w:t>
            </w:r>
          </w:p>
        </w:tc>
      </w:tr>
      <w:tr>
        <w:trPr>
          <w:cantSplit/>
        </w:trPr>
        <w:tc>
          <w:tcPr>
            <w:tcW w:type="dxa" w:w="3024"/>
            <w:vAlign w:val="center"/>
            <w:shd w:fill="FFFFFF"/>
            <w:tcMar>
              <w:top w:w="85" w:type="dxa"/>
              <w:bottom w:w="85" w:type="dxa"/>
              <w:left w:w="100" w:type="dxa"/>
              <w:right w:w="100" w:type="dxa"/>
            </w:tcMar>
          </w:tcPr>
          <w:p>
            <w:pPr>
              <w:spacing w:after="0" w:line="252" w:lineRule="auto"/>
            </w:pPr>
            <w:r>
              <w:rPr>
                <w:b w:val="0"/>
                <w:color w:val="000000"/>
                <w:sz w:val="20"/>
              </w:rPr>
              <w:t>Unberechtigter Netzclient</w:t>
            </w:r>
          </w:p>
        </w:tc>
        <w:tc>
          <w:tcPr>
            <w:tcW w:type="dxa" w:w="7056"/>
            <w:vAlign w:val="center"/>
            <w:shd w:fill="FFFFFF"/>
            <w:tcMar>
              <w:top w:w="85" w:type="dxa"/>
              <w:bottom w:w="85" w:type="dxa"/>
              <w:left w:w="100" w:type="dxa"/>
              <w:right w:w="100" w:type="dxa"/>
            </w:tcMar>
          </w:tcPr>
          <w:p>
            <w:pPr>
              <w:spacing w:after="0" w:line="252" w:lineRule="auto"/>
            </w:pPr>
            <w:r>
              <w:rPr>
                <w:b w:val="0"/>
                <w:color w:val="000000"/>
                <w:sz w:val="20"/>
              </w:rPr>
              <w:t>Authentisierung, Rollenrechte und begrenzte API-Oberflächen. Keine öffentlich erreichbaren Worker als Standardeinstellung.</w:t>
            </w:r>
          </w:p>
        </w:tc>
      </w:tr>
      <w:tr>
        <w:trPr>
          <w:cantSplit/>
        </w:trPr>
        <w:tc>
          <w:tcPr>
            <w:tcW w:type="dxa" w:w="3024"/>
            <w:vAlign w:val="center"/>
            <w:shd w:fill="F3F6F8"/>
            <w:tcMar>
              <w:top w:w="85" w:type="dxa"/>
              <w:bottom w:w="85" w:type="dxa"/>
              <w:left w:w="100" w:type="dxa"/>
              <w:right w:w="100" w:type="dxa"/>
            </w:tcMar>
          </w:tcPr>
          <w:p>
            <w:pPr>
              <w:spacing w:after="0" w:line="252" w:lineRule="auto"/>
            </w:pPr>
            <w:r>
              <w:rPr>
                <w:b w:val="0"/>
                <w:color w:val="000000"/>
                <w:sz w:val="20"/>
              </w:rPr>
              <w:t>Fehlerhafte oder manipulierte App</w:t>
            </w:r>
          </w:p>
        </w:tc>
        <w:tc>
          <w:tcPr>
            <w:tcW w:type="dxa" w:w="7056"/>
            <w:vAlign w:val="center"/>
            <w:shd w:fill="F3F6F8"/>
            <w:tcMar>
              <w:top w:w="85" w:type="dxa"/>
              <w:bottom w:w="85" w:type="dxa"/>
              <w:left w:w="100" w:type="dxa"/>
              <w:right w:w="100" w:type="dxa"/>
            </w:tcMar>
          </w:tcPr>
          <w:p>
            <w:pPr>
              <w:spacing w:after="0" w:line="252" w:lineRule="auto"/>
            </w:pPr>
            <w:r>
              <w:rPr>
                <w:b w:val="0"/>
                <w:color w:val="000000"/>
                <w:sz w:val="20"/>
              </w:rPr>
              <w:t>Nur freigegebene Pakete; begrenzte Prozesse, Ressourcen und Gerätefähigkeiten. Unbekannter Fremdcode bleibt ausserhalb des Referenzprofils.</w:t>
            </w:r>
          </w:p>
        </w:tc>
      </w:tr>
      <w:tr>
        <w:trPr>
          <w:cantSplit/>
        </w:trPr>
        <w:tc>
          <w:tcPr>
            <w:tcW w:type="dxa" w:w="3024"/>
            <w:vAlign w:val="center"/>
            <w:shd w:fill="FFFFFF"/>
            <w:tcMar>
              <w:top w:w="85" w:type="dxa"/>
              <w:bottom w:w="85" w:type="dxa"/>
              <w:left w:w="100" w:type="dxa"/>
              <w:right w:w="100" w:type="dxa"/>
            </w:tcMar>
          </w:tcPr>
          <w:p>
            <w:pPr>
              <w:spacing w:after="0" w:line="252" w:lineRule="auto"/>
            </w:pPr>
            <w:r>
              <w:rPr>
                <w:b w:val="0"/>
                <w:color w:val="000000"/>
                <w:sz w:val="20"/>
              </w:rPr>
              <w:t>Kompromittierter Knoten</w:t>
            </w:r>
          </w:p>
        </w:tc>
        <w:tc>
          <w:tcPr>
            <w:tcW w:type="dxa" w:w="7056"/>
            <w:vAlign w:val="center"/>
            <w:shd w:fill="FFFFFF"/>
            <w:tcMar>
              <w:top w:w="85" w:type="dxa"/>
              <w:bottom w:w="85" w:type="dxa"/>
              <w:left w:w="100" w:type="dxa"/>
              <w:right w:w="100" w:type="dxa"/>
            </w:tcMar>
          </w:tcPr>
          <w:p>
            <w:pPr>
              <w:spacing w:after="0" w:line="252" w:lineRule="auto"/>
            </w:pPr>
            <w:r>
              <w:rPr>
                <w:b w:val="0"/>
                <w:color w:val="000000"/>
                <w:sz w:val="20"/>
              </w:rPr>
              <w:t>Knotenidentität sperren, neue Aufträge stoppen, betroffene Ergebnisse kennzeichnen und Wiederaufnahme kontrollieren.</w:t>
            </w:r>
          </w:p>
        </w:tc>
      </w:tr>
      <w:tr>
        <w:trPr>
          <w:cantSplit/>
        </w:trPr>
        <w:tc>
          <w:tcPr>
            <w:tcW w:type="dxa" w:w="3024"/>
            <w:vAlign w:val="center"/>
            <w:shd w:fill="F3F6F8"/>
            <w:tcMar>
              <w:top w:w="85" w:type="dxa"/>
              <w:bottom w:w="85" w:type="dxa"/>
              <w:left w:w="100" w:type="dxa"/>
              <w:right w:w="100" w:type="dxa"/>
            </w:tcMar>
          </w:tcPr>
          <w:p>
            <w:pPr>
              <w:spacing w:after="0" w:line="252" w:lineRule="auto"/>
            </w:pPr>
            <w:r>
              <w:rPr>
                <w:b w:val="0"/>
                <w:color w:val="000000"/>
                <w:sz w:val="20"/>
              </w:rPr>
              <w:t>Manipulierte Lieferkette</w:t>
            </w:r>
          </w:p>
        </w:tc>
        <w:tc>
          <w:tcPr>
            <w:tcW w:type="dxa" w:w="7056"/>
            <w:vAlign w:val="center"/>
            <w:shd w:fill="F3F6F8"/>
            <w:tcMar>
              <w:top w:w="85" w:type="dxa"/>
              <w:bottom w:w="85" w:type="dxa"/>
              <w:left w:w="100" w:type="dxa"/>
              <w:right w:w="100" w:type="dxa"/>
            </w:tcMar>
          </w:tcPr>
          <w:p>
            <w:pPr>
              <w:spacing w:after="0" w:line="252" w:lineRule="auto"/>
            </w:pPr>
            <w:r>
              <w:rPr>
                <w:b w:val="0"/>
                <w:color w:val="000000"/>
                <w:sz w:val="20"/>
              </w:rPr>
              <w:t>Paketdigests, geprüfte Signaturen, Abhängigkeitsliste, festgelegte Builds und dokumentierte Aktualisierung.</w:t>
            </w:r>
          </w:p>
        </w:tc>
      </w:tr>
      <w:tr>
        <w:trPr>
          <w:cantSplit/>
        </w:trPr>
        <w:tc>
          <w:tcPr>
            <w:tcW w:type="dxa" w:w="3024"/>
            <w:vAlign w:val="center"/>
            <w:shd w:fill="FFFFFF"/>
            <w:tcMar>
              <w:top w:w="85" w:type="dxa"/>
              <w:bottom w:w="85" w:type="dxa"/>
              <w:left w:w="100" w:type="dxa"/>
              <w:right w:w="100" w:type="dxa"/>
            </w:tcMar>
          </w:tcPr>
          <w:p>
            <w:pPr>
              <w:spacing w:after="0" w:line="252" w:lineRule="auto"/>
            </w:pPr>
            <w:r>
              <w:rPr>
                <w:b w:val="0"/>
                <w:color w:val="000000"/>
                <w:sz w:val="20"/>
              </w:rPr>
              <w:t>Missbrauch und Überlast</w:t>
            </w:r>
          </w:p>
        </w:tc>
        <w:tc>
          <w:tcPr>
            <w:tcW w:type="dxa" w:w="7056"/>
            <w:vAlign w:val="center"/>
            <w:shd w:fill="FFFFFF"/>
            <w:tcMar>
              <w:top w:w="85" w:type="dxa"/>
              <w:bottom w:w="85" w:type="dxa"/>
              <w:left w:w="100" w:type="dxa"/>
              <w:right w:w="100" w:type="dxa"/>
            </w:tcMar>
          </w:tcPr>
          <w:p>
            <w:pPr>
              <w:spacing w:after="0" w:line="252" w:lineRule="auto"/>
            </w:pPr>
            <w:r>
              <w:rPr>
                <w:b w:val="0"/>
                <w:color w:val="000000"/>
                <w:sz w:val="20"/>
              </w:rPr>
              <w:t>Grenzen für Upload, Speicher, CPU, parallele Jobs und offene Verbindungen; geprüfte Abbruchpfade. [15]</w:t>
            </w:r>
          </w:p>
        </w:tc>
      </w:tr>
    </w:tbl>
    <w:p>
      <w:pPr>
        <w:spacing w:after="20"/>
      </w:pPr>
    </w:p>
    <w:p>
      <w:r>
        <w:rPr>
          <w:lang w:val="de-CH"/>
        </w:rPr>
        <w:t>App-Rechte sind ein enger Ausschnitt der Rechte des Benutzers und des Knotens. Ein App-Manifest beschreibt angeforderte Rechte; es erteilt sie nicht selbst. Der Coordinator und der lokale Supervisor erzwingen die genehmigte Policy. Dateizugriffe, ausgehendes Netzwerk und Geräteaktionen werden getrennt berechtigt.</w:t>
      </w:r>
    </w:p>
    <w:p>
      <w:r>
        <w:rPr>
          <w:lang w:val="de-CH"/>
        </w:rPr>
        <w:t>Schlüssel werden einer Identität und einem Verwendungszweck zugeordnet. Registrierung, Erneuerung, Verlust, Widerruf und Wiederherstellung sind definierte Verwaltungsabläufe. Secrets gehören weder in App-Pakete noch in Logs oder exportierte Evidence. Sichere Hardware-Schlüsselspeicher können verwendet werden, sofern das gewählte Gerät sie tatsächlich unterstützt.</w:t>
      </w:r>
    </w:p>
    <w:p>
      <w:r>
        <w:rPr>
          <w:lang w:val="de-CH"/>
        </w:rPr>
        <w:t>Im Offline-Betrieb können bereits freigegebene lokale Abläufe innerhalb ihrer Laufzeit- und Berechtigungsgrenzen fortgesetzt werden. Ein vom Netz getrennter Knoten kann neue Widerrufe nicht sofort erfahren. Die zulässige Dauer solcher Autorisierungen und die Reaktion auf deren Ablauf müssen deshalb je Einsatzprofil feststehen.</w:t>
      </w:r>
    </w:p>
    <w:p>
      <w:r>
        <w:rPr>
          <w:lang w:val="de-CH"/>
        </w:rPr>
        <w:t>Mehrmandantenbetrieb und höhere Isolation sind eigene Ausbaustufen mit zusätzlicher Prüfung. Eine Containergrenze wird nicht als vollständiger Nachweis der Trennung beliebiger feindlicher Anwendungen behandelt. Auch ein bestandener Testsatz schliesst unbekannte Schwachstellen nicht aus.</w:t>
      </w:r>
    </w:p>
    <w:p>
      <w:r>
        <w:rPr>
          <w:lang w:val="de-CH"/>
        </w:rPr>
        <w:br w:type="page"/>
      </w:r>
    </w:p>
    <w:p>
      <w:pPr>
        <w:pStyle w:val="Heading1"/>
      </w:pPr>
      <w:r>
        <w:rPr>
          <w:lang w:val="de-CH"/>
        </w:rPr>
        <w:t>8 Post Quanten Strategie und Browser</w:t>
      </w:r>
    </w:p>
    <w:p>
      <w:r>
        <w:rPr>
          <w:lang w:val="de-CH"/>
        </w:rPr>
        <w:t>Der Begriff quanteninspirierte Verschlüsselung wird nicht als Sicherheitsmerkmal verwendet. Das Ziel ist eine überprüfbare Migration zu standardisierter Post-Quanten-Kryptografie in den jeweils unterstützten Kommunikations- und Signaturprofilen. Dafür werden bestehende, gepflegte Implementierungen eingesetzt. Eigene kryptografische Primitive und ad hoc zusammengesetzte Protokolle gehören nicht zum Entwicklungsauftrag.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920"/>
      </w:tblGrid>
      <w:tr>
        <w:trPr>
          <w:cantSplit/>
          <w:tblHeader/>
        </w:trPr>
        <w:tc>
          <w:tcPr>
            <w:tcW w:type="dxa" w:w="2160"/>
            <w:vAlign w:val="center"/>
            <w:shd w:fill="243B53"/>
            <w:tcMar>
              <w:top w:w="85" w:type="dxa"/>
              <w:bottom w:w="85" w:type="dxa"/>
              <w:left w:w="100" w:type="dxa"/>
              <w:right w:w="100" w:type="dxa"/>
            </w:tcMar>
          </w:tcPr>
          <w:p>
            <w:pPr>
              <w:spacing w:after="0" w:line="252" w:lineRule="auto"/>
              <w:jc w:val="center"/>
            </w:pPr>
            <w:r>
              <w:rPr>
                <w:b/>
                <w:color w:val="FFFFFF"/>
                <w:sz w:val="20"/>
              </w:rPr>
              <w:t>Funktion</w:t>
            </w:r>
          </w:p>
        </w:tc>
        <w:tc>
          <w:tcPr>
            <w:tcW w:type="dxa" w:w="7920"/>
            <w:vAlign w:val="center"/>
            <w:shd w:fill="243B53"/>
            <w:tcMar>
              <w:top w:w="85" w:type="dxa"/>
              <w:bottom w:w="85" w:type="dxa"/>
              <w:left w:w="100" w:type="dxa"/>
              <w:right w:w="100" w:type="dxa"/>
            </w:tcMar>
          </w:tcPr>
          <w:p>
            <w:pPr>
              <w:spacing w:after="0" w:line="252" w:lineRule="auto"/>
            </w:pPr>
            <w:r>
              <w:rPr>
                <w:b/>
                <w:color w:val="FFFFFF"/>
                <w:sz w:val="20"/>
              </w:rPr>
              <w:t>Technische Einordnung</w:t>
            </w:r>
          </w:p>
        </w:tc>
      </w:tr>
      <w:tr>
        <w:trPr>
          <w:cantSplit/>
        </w:trPr>
        <w:tc>
          <w:tcPr>
            <w:tcW w:type="dxa" w:w="2160"/>
            <w:vAlign w:val="center"/>
            <w:shd w:fill="FFFFFF"/>
            <w:tcMar>
              <w:top w:w="85" w:type="dxa"/>
              <w:bottom w:w="85" w:type="dxa"/>
              <w:left w:w="100" w:type="dxa"/>
              <w:right w:w="100" w:type="dxa"/>
            </w:tcMar>
          </w:tcPr>
          <w:p>
            <w:pPr>
              <w:spacing w:after="0" w:line="252" w:lineRule="auto"/>
            </w:pPr>
            <w:r>
              <w:rPr>
                <w:b w:val="0"/>
                <w:color w:val="000000"/>
                <w:sz w:val="20"/>
              </w:rPr>
              <w:t>Schlüsseletablierung</w:t>
            </w:r>
          </w:p>
        </w:tc>
        <w:tc>
          <w:tcPr>
            <w:tcW w:type="dxa" w:w="7920"/>
            <w:vAlign w:val="center"/>
            <w:shd w:fill="FFFFFF"/>
            <w:tcMar>
              <w:top w:w="85" w:type="dxa"/>
              <w:bottom w:w="85" w:type="dxa"/>
              <w:left w:w="100" w:type="dxa"/>
              <w:right w:w="100" w:type="dxa"/>
            </w:tcMar>
          </w:tcPr>
          <w:p>
            <w:pPr>
              <w:spacing w:after="0" w:line="252" w:lineRule="auto"/>
            </w:pPr>
            <w:r>
              <w:rPr>
                <w:b w:val="0"/>
                <w:color w:val="000000"/>
                <w:sz w:val="20"/>
              </w:rPr>
              <w:t>ML-KEM ist in FIPS 203 standardisiert und dient zur Etablierung eines gemeinsamen Geheimnisses. Es verschlüsselt nicht unmittelbar den gesamten Datenstrom. [11]</w:t>
            </w:r>
          </w:p>
        </w:tc>
      </w:tr>
      <w:tr>
        <w:trPr>
          <w:cantSplit/>
        </w:trPr>
        <w:tc>
          <w:tcPr>
            <w:tcW w:type="dxa" w:w="2160"/>
            <w:vAlign w:val="center"/>
            <w:shd w:fill="F3F6F8"/>
            <w:tcMar>
              <w:top w:w="85" w:type="dxa"/>
              <w:bottom w:w="85" w:type="dxa"/>
              <w:left w:w="100" w:type="dxa"/>
              <w:right w:w="100" w:type="dxa"/>
            </w:tcMar>
          </w:tcPr>
          <w:p>
            <w:pPr>
              <w:spacing w:after="0" w:line="252" w:lineRule="auto"/>
              <w:jc w:val="center"/>
            </w:pPr>
            <w:r>
              <w:rPr>
                <w:b w:val="0"/>
                <w:color w:val="000000"/>
                <w:sz w:val="20"/>
              </w:rPr>
              <w:t>Signaturen</w:t>
            </w:r>
          </w:p>
        </w:tc>
        <w:tc>
          <w:tcPr>
            <w:tcW w:type="dxa" w:w="7920"/>
            <w:vAlign w:val="center"/>
            <w:shd w:fill="F3F6F8"/>
            <w:tcMar>
              <w:top w:w="85" w:type="dxa"/>
              <w:bottom w:w="85" w:type="dxa"/>
              <w:left w:w="100" w:type="dxa"/>
              <w:right w:w="100" w:type="dxa"/>
            </w:tcMar>
          </w:tcPr>
          <w:p>
            <w:pPr>
              <w:spacing w:after="0" w:line="252" w:lineRule="auto"/>
            </w:pPr>
            <w:r>
              <w:rPr>
                <w:b w:val="0"/>
                <w:color w:val="000000"/>
                <w:sz w:val="20"/>
              </w:rPr>
              <w:t>ML-DSA nach FIPS 204 ist eine Option für geprüfte Signaturprofile. Algorithmenunterstützung allein begründet keine Vertrauenswürdigkeit des Herausgebers. [12]</w:t>
            </w:r>
          </w:p>
        </w:tc>
      </w:tr>
      <w:tr>
        <w:trPr>
          <w:cantSplit/>
        </w:trPr>
        <w:tc>
          <w:tcPr>
            <w:tcW w:type="dxa" w:w="2160"/>
            <w:vAlign w:val="center"/>
            <w:shd w:fill="FFFFFF"/>
            <w:tcMar>
              <w:top w:w="85" w:type="dxa"/>
              <w:bottom w:w="85" w:type="dxa"/>
              <w:left w:w="100" w:type="dxa"/>
              <w:right w:w="100" w:type="dxa"/>
            </w:tcMar>
          </w:tcPr>
          <w:p>
            <w:pPr>
              <w:spacing w:after="0" w:line="252" w:lineRule="auto"/>
              <w:jc w:val="center"/>
            </w:pPr>
            <w:r>
              <w:rPr>
                <w:b w:val="0"/>
                <w:color w:val="000000"/>
                <w:sz w:val="20"/>
              </w:rPr>
              <w:t>Transport</w:t>
            </w:r>
          </w:p>
        </w:tc>
        <w:tc>
          <w:tcPr>
            <w:tcW w:type="dxa" w:w="7920"/>
            <w:vAlign w:val="center"/>
            <w:shd w:fill="FFFFFF"/>
            <w:tcMar>
              <w:top w:w="85" w:type="dxa"/>
              <w:bottom w:w="85" w:type="dxa"/>
              <w:left w:w="100" w:type="dxa"/>
              <w:right w:w="100" w:type="dxa"/>
            </w:tcMar>
          </w:tcPr>
          <w:p>
            <w:pPr>
              <w:spacing w:after="0" w:line="252" w:lineRule="auto"/>
            </w:pPr>
            <w:r>
              <w:rPr>
                <w:b w:val="0"/>
                <w:color w:val="000000"/>
                <w:sz w:val="20"/>
              </w:rPr>
              <w:t>TLS 1.3 als etablierte Grundlage; hybride Post-Quanten-Schlüsseletablierung nur über unterstützte und getestete Implementierungen. [13, 17]</w:t>
            </w:r>
          </w:p>
        </w:tc>
      </w:tr>
      <w:tr>
        <w:trPr>
          <w:cantSplit/>
        </w:trPr>
        <w:tc>
          <w:tcPr>
            <w:tcW w:type="dxa" w:w="2160"/>
            <w:vAlign w:val="center"/>
            <w:shd w:fill="F3F6F8"/>
            <w:tcMar>
              <w:top w:w="85" w:type="dxa"/>
              <w:bottom w:w="85" w:type="dxa"/>
              <w:left w:w="100" w:type="dxa"/>
              <w:right w:w="100" w:type="dxa"/>
            </w:tcMar>
          </w:tcPr>
          <w:p>
            <w:pPr>
              <w:spacing w:after="0" w:line="252" w:lineRule="auto"/>
              <w:jc w:val="center"/>
            </w:pPr>
            <w:r>
              <w:rPr>
                <w:b w:val="0"/>
                <w:color w:val="000000"/>
                <w:sz w:val="20"/>
              </w:rPr>
              <w:t>Nutzdaten</w:t>
            </w:r>
          </w:p>
        </w:tc>
        <w:tc>
          <w:tcPr>
            <w:tcW w:type="dxa" w:w="7920"/>
            <w:vAlign w:val="center"/>
            <w:shd w:fill="F3F6F8"/>
            <w:tcMar>
              <w:top w:w="85" w:type="dxa"/>
              <w:bottom w:w="85" w:type="dxa"/>
              <w:left w:w="100" w:type="dxa"/>
              <w:right w:w="100" w:type="dxa"/>
            </w:tcMar>
          </w:tcPr>
          <w:p>
            <w:pPr>
              <w:spacing w:after="0" w:line="252" w:lineRule="auto"/>
            </w:pPr>
            <w:r>
              <w:rPr>
                <w:b w:val="0"/>
                <w:color w:val="000000"/>
                <w:sz w:val="20"/>
              </w:rPr>
              <w:t>Authentisierte symmetrische Verschlüsselung innerhalb des gewählten Protokolls. Schlüssel und Nonces folgen dessen Spezifikation.</w:t>
            </w:r>
          </w:p>
        </w:tc>
      </w:tr>
      <w:tr>
        <w:trPr>
          <w:cantSplit/>
        </w:trPr>
        <w:tc>
          <w:tcPr>
            <w:tcW w:type="dxa" w:w="2160"/>
            <w:vAlign w:val="center"/>
            <w:shd w:fill="FFFFFF"/>
            <w:tcMar>
              <w:top w:w="85" w:type="dxa"/>
              <w:bottom w:w="85" w:type="dxa"/>
              <w:left w:w="100" w:type="dxa"/>
              <w:right w:w="100" w:type="dxa"/>
            </w:tcMar>
          </w:tcPr>
          <w:p>
            <w:pPr>
              <w:spacing w:after="0" w:line="252" w:lineRule="auto"/>
              <w:jc w:val="center"/>
            </w:pPr>
            <w:r>
              <w:rPr>
                <w:b w:val="0"/>
                <w:color w:val="000000"/>
                <w:sz w:val="20"/>
              </w:rPr>
              <w:t>Migration</w:t>
            </w:r>
          </w:p>
        </w:tc>
        <w:tc>
          <w:tcPr>
            <w:tcW w:type="dxa" w:w="7920"/>
            <w:vAlign w:val="center"/>
            <w:shd w:fill="FFFFFF"/>
            <w:tcMar>
              <w:top w:w="85" w:type="dxa"/>
              <w:bottom w:w="85" w:type="dxa"/>
              <w:left w:w="100" w:type="dxa"/>
              <w:right w:w="100" w:type="dxa"/>
            </w:tcMar>
          </w:tcPr>
          <w:p>
            <w:pPr>
              <w:spacing w:after="0" w:line="252" w:lineRule="auto"/>
            </w:pPr>
            <w:r>
              <w:rPr>
                <w:b w:val="0"/>
                <w:color w:val="000000"/>
                <w:sz w:val="20"/>
              </w:rPr>
              <w:t>Algorithmen, Parameter, Bibliotheken und tatsächlich ausgehandelter Schutz werden protokolliert. Wechsel und Widerruf bleiben versioniert.</w:t>
            </w:r>
          </w:p>
        </w:tc>
      </w:tr>
    </w:tbl>
    <w:p>
      <w:pPr>
        <w:spacing w:after="20"/>
      </w:pPr>
    </w:p>
    <w:p>
      <w:r>
        <w:rPr>
          <w:lang w:val="de-CH"/>
        </w:rPr>
        <w:t>Das klassische Referenzprofil und ein Profil mit Post-Quanten-Schlüsseletablierung werden getrennt ausgewiesen. Verlangt ein Auftrag das zweite Profil, muss eine fehlende Unterstützung zur Ablehnung führen. Ein ausdrücklich erlaubter klassischer Betrieb erhält einen entsprechenden Status; es gibt keinen stillen Fallback unter derselben Sicherheitsbezeichnung.</w:t>
      </w:r>
    </w:p>
    <w:p>
      <w:r>
        <w:rPr>
          <w:lang w:val="de-CH"/>
        </w:rPr>
        <w:t>Die Schutzbewertung erfolgt für Browser zu Gateway, Gateway zu Worker und gegebenenfalls Gateway zu Sonde getrennt. Ein geschützter erster Abschnitt macht die restliche Strecke nicht automatisch gleichwertig. Ebenso bleiben Zertifikatsauthentisierung, App-Signaturen und Datenverschlüsselung unterschiedliche Nachweise. Chrome dokumentierte eine hybride ML-KEM-Einführung; daraus folgt keine universelle Browser- oder Gerätekompatibilität. [17]</w:t>
      </w:r>
    </w:p>
    <w:p>
      <w:r>
        <w:rPr>
          <w:lang w:val="de-CH"/>
        </w:rPr>
        <w:t>Der Browser ist ein Client der Plattform. Transportverschlüsselung schützt nicht gegen eingeschleuste Skripte oder einen kompromittierten Endpunkt. Deshalb benötigt die Webanwendung zusätzlich eine eng begrenzte Herkunfts- und Berechtigungsstruktur, Schutz gegen Script-Injection und sichere Sitzungsverwaltung. Schlüsselzugriffe über WebCrypto ersetzen dieses Anwendungsmodell nicht. [14]</w:t>
      </w:r>
    </w:p>
    <w:p>
      <w:r>
        <w:rPr>
          <w:lang w:val="de-CH"/>
        </w:rPr>
        <w:t>Vor einer Freigabe des Post-Quanten-Profils werden Aushandlung, Identitätsprüfung, Negativfälle und Ressourcenbedarf auf jeder Zielplattform geprüft. Die Berichte nennen genau die geschützte Funktion. Die Begriffe vollständig quantensicher, unknackbar und sicherer Browser werden daraus nicht abgeleitet.</w:t>
      </w:r>
    </w:p>
    <w:p>
      <w:r>
        <w:rPr>
          <w:lang w:val="de-CH"/>
        </w:rPr>
        <w:br w:type="page"/>
      </w:r>
    </w:p>
    <w:p>
      <w:pPr>
        <w:pStyle w:val="Heading1"/>
      </w:pPr>
      <w:r>
        <w:rPr>
          <w:lang w:val="de-CH"/>
        </w:rPr>
        <w:t>9 Referenzanwendungen und Numerik</w:t>
      </w:r>
    </w:p>
    <w:p>
      <w:r>
        <w:rPr>
          <w:lang w:val="de-CH"/>
        </w:rPr>
        <w:t>Die erste Implementierung wird an drei unterschiedlichen Anwendungen überprüft. Dadurch wird Wiederverwendung über mehrere Aufgaben sichtbar. X6 kann die dritte Anwendung stellen, ist aber keine Abhängigkeit des Plattformkerns.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4104"/>
        <w:gridCol w:w="3960"/>
      </w:tblGrid>
      <w:tr>
        <w:trPr>
          <w:cantSplit/>
          <w:tblHeader/>
        </w:trPr>
        <w:tc>
          <w:tcPr>
            <w:tcW w:type="dxa" w:w="2016"/>
            <w:vAlign w:val="center"/>
            <w:shd w:fill="243B53"/>
            <w:tcMar>
              <w:top w:w="85" w:type="dxa"/>
              <w:bottom w:w="85" w:type="dxa"/>
              <w:left w:w="100" w:type="dxa"/>
              <w:right w:w="100" w:type="dxa"/>
            </w:tcMar>
          </w:tcPr>
          <w:p>
            <w:pPr>
              <w:spacing w:after="0" w:line="252" w:lineRule="auto"/>
              <w:jc w:val="center"/>
            </w:pPr>
            <w:r>
              <w:rPr>
                <w:b/>
                <w:color w:val="FFFFFF"/>
                <w:sz w:val="20"/>
              </w:rPr>
              <w:t>App</w:t>
            </w:r>
          </w:p>
        </w:tc>
        <w:tc>
          <w:tcPr>
            <w:tcW w:type="dxa" w:w="4104"/>
            <w:vAlign w:val="center"/>
            <w:shd w:fill="243B53"/>
            <w:tcMar>
              <w:top w:w="85" w:type="dxa"/>
              <w:bottom w:w="85" w:type="dxa"/>
              <w:left w:w="100" w:type="dxa"/>
              <w:right w:w="100" w:type="dxa"/>
            </w:tcMar>
          </w:tcPr>
          <w:p>
            <w:pPr>
              <w:spacing w:after="0" w:line="252" w:lineRule="auto"/>
            </w:pPr>
            <w:r>
              <w:rPr>
                <w:b/>
                <w:color w:val="FFFFFF"/>
                <w:sz w:val="20"/>
              </w:rPr>
              <w:t>Begrenzter Referenzumfang</w:t>
            </w:r>
          </w:p>
        </w:tc>
        <w:tc>
          <w:tcPr>
            <w:tcW w:type="dxa" w:w="3960"/>
            <w:vAlign w:val="center"/>
            <w:shd w:fill="243B53"/>
            <w:tcMar>
              <w:top w:w="85" w:type="dxa"/>
              <w:bottom w:w="85" w:type="dxa"/>
              <w:left w:w="100" w:type="dxa"/>
              <w:right w:w="100" w:type="dxa"/>
            </w:tcMar>
          </w:tcPr>
          <w:p>
            <w:pPr>
              <w:spacing w:after="0" w:line="252" w:lineRule="auto"/>
            </w:pPr>
            <w:r>
              <w:rPr>
                <w:b/>
                <w:color w:val="FFFFFF"/>
                <w:sz w:val="20"/>
              </w:rPr>
              <w:t>Fachlicher Nachweis</w:t>
            </w:r>
          </w:p>
        </w:tc>
      </w:tr>
      <w:tr>
        <w:trPr>
          <w:cantSplit/>
        </w:trPr>
        <w:tc>
          <w:tcPr>
            <w:tcW w:type="dxa" w:w="2016"/>
            <w:vAlign w:val="center"/>
            <w:shd w:fill="FFFFFF"/>
            <w:tcMar>
              <w:top w:w="85" w:type="dxa"/>
              <w:bottom w:w="85" w:type="dxa"/>
              <w:left w:w="100" w:type="dxa"/>
              <w:right w:w="100" w:type="dxa"/>
            </w:tcMar>
          </w:tcPr>
          <w:p>
            <w:pPr>
              <w:spacing w:after="0" w:line="252" w:lineRule="auto"/>
            </w:pPr>
            <w:r>
              <w:rPr>
                <w:b w:val="0"/>
                <w:color w:val="000000"/>
                <w:sz w:val="20"/>
              </w:rPr>
              <w:t>Temperaturerfassung</w:t>
            </w:r>
          </w:p>
        </w:tc>
        <w:tc>
          <w:tcPr>
            <w:tcW w:type="dxa" w:w="4104"/>
            <w:vAlign w:val="center"/>
            <w:shd w:fill="FFFFFF"/>
            <w:tcMar>
              <w:top w:w="85" w:type="dxa"/>
              <w:bottom w:w="85" w:type="dxa"/>
              <w:left w:w="100" w:type="dxa"/>
              <w:right w:w="100" w:type="dxa"/>
            </w:tcMar>
          </w:tcPr>
          <w:p>
            <w:pPr>
              <w:spacing w:after="0" w:line="252" w:lineRule="auto"/>
            </w:pPr>
            <w:r>
              <w:rPr>
                <w:b w:val="0"/>
                <w:color w:val="000000"/>
                <w:sz w:val="20"/>
              </w:rPr>
              <w:t>Eine Sonde oder expliziter Simulator; Zeitreihe, Einheiten, Fehlerkennzeichen und lokaler Puffer.</w:t>
            </w:r>
          </w:p>
        </w:tc>
        <w:tc>
          <w:tcPr>
            <w:tcW w:type="dxa" w:w="3960"/>
            <w:vAlign w:val="center"/>
            <w:shd w:fill="FFFFFF"/>
            <w:tcMar>
              <w:top w:w="85" w:type="dxa"/>
              <w:bottom w:w="85" w:type="dxa"/>
              <w:left w:w="100" w:type="dxa"/>
              <w:right w:w="100" w:type="dxa"/>
            </w:tcMar>
          </w:tcPr>
          <w:p>
            <w:pPr>
              <w:spacing w:after="0" w:line="252" w:lineRule="auto"/>
            </w:pPr>
            <w:r>
              <w:rPr>
                <w:b w:val="0"/>
                <w:color w:val="000000"/>
                <w:sz w:val="20"/>
              </w:rPr>
              <w:t>Bei Hardware: Vergleich mit geeigneter Referenz innerhalb eines festgelegten Temperaturbereichs. Simulation prüft nur den Softwarepfad.</w:t>
            </w:r>
          </w:p>
        </w:tc>
      </w:tr>
      <w:tr>
        <w:trPr>
          <w:cantSplit/>
        </w:trPr>
        <w:tc>
          <w:tcPr>
            <w:tcW w:type="dxa" w:w="2016"/>
            <w:vAlign w:val="center"/>
            <w:shd w:fill="F3F6F8"/>
            <w:tcMar>
              <w:top w:w="85" w:type="dxa"/>
              <w:bottom w:w="85" w:type="dxa"/>
              <w:left w:w="100" w:type="dxa"/>
              <w:right w:w="100" w:type="dxa"/>
            </w:tcMar>
          </w:tcPr>
          <w:p>
            <w:pPr>
              <w:spacing w:after="0" w:line="252" w:lineRule="auto"/>
            </w:pPr>
            <w:r>
              <w:rPr>
                <w:b w:val="0"/>
                <w:color w:val="000000"/>
                <w:sz w:val="20"/>
              </w:rPr>
              <w:t>Schwingungsanalyse</w:t>
            </w:r>
          </w:p>
        </w:tc>
        <w:tc>
          <w:tcPr>
            <w:tcW w:type="dxa" w:w="4104"/>
            <w:vAlign w:val="center"/>
            <w:shd w:fill="F3F6F8"/>
            <w:tcMar>
              <w:top w:w="85" w:type="dxa"/>
              <w:bottom w:w="85" w:type="dxa"/>
              <w:left w:w="100" w:type="dxa"/>
              <w:right w:w="100" w:type="dxa"/>
            </w:tcMar>
          </w:tcPr>
          <w:p>
            <w:pPr>
              <w:spacing w:after="0" w:line="252" w:lineRule="auto"/>
            </w:pPr>
            <w:r>
              <w:rPr>
                <w:b w:val="0"/>
                <w:color w:val="000000"/>
                <w:sz w:val="20"/>
              </w:rPr>
              <w:t>Dateiimport und später geprüfte Sonde; Trigger, Kennwerte und Vergleich vorab festgelegter Filter.</w:t>
            </w:r>
          </w:p>
        </w:tc>
        <w:tc>
          <w:tcPr>
            <w:tcW w:type="dxa" w:w="3960"/>
            <w:vAlign w:val="center"/>
            <w:shd w:fill="F3F6F8"/>
            <w:tcMar>
              <w:top w:w="85" w:type="dxa"/>
              <w:bottom w:w="85" w:type="dxa"/>
              <w:left w:w="100" w:type="dxa"/>
              <w:right w:w="100" w:type="dxa"/>
            </w:tcMar>
          </w:tcPr>
          <w:p>
            <w:pPr>
              <w:spacing w:after="0" w:line="252" w:lineRule="auto"/>
            </w:pPr>
            <w:r>
              <w:rPr>
                <w:b w:val="0"/>
                <w:color w:val="000000"/>
                <w:sz w:val="20"/>
              </w:rPr>
              <w:t>Synthetische Signale mit Referenz, getrennte reale Daten; Impulserhaltung und Falschalarme zusätzlich zur Glättung bewerten.</w:t>
            </w:r>
          </w:p>
        </w:tc>
      </w:tr>
      <w:tr>
        <w:trPr>
          <w:cantSplit/>
        </w:trPr>
        <w:tc>
          <w:tcPr>
            <w:tcW w:type="dxa" w:w="2016"/>
            <w:vAlign w:val="center"/>
            <w:shd w:fill="FFFFFF"/>
            <w:tcMar>
              <w:top w:w="85" w:type="dxa"/>
              <w:bottom w:w="85" w:type="dxa"/>
              <w:left w:w="100" w:type="dxa"/>
              <w:right w:w="100" w:type="dxa"/>
            </w:tcMar>
          </w:tcPr>
          <w:p>
            <w:pPr>
              <w:spacing w:after="0" w:line="252" w:lineRule="auto"/>
              <w:jc w:val="center"/>
            </w:pPr>
            <w:r>
              <w:rPr>
                <w:b w:val="0"/>
                <w:color w:val="000000"/>
                <w:sz w:val="20"/>
              </w:rPr>
              <w:t>Graphanalyse</w:t>
            </w:r>
          </w:p>
        </w:tc>
        <w:tc>
          <w:tcPr>
            <w:tcW w:type="dxa" w:w="4104"/>
            <w:vAlign w:val="center"/>
            <w:shd w:fill="FFFFFF"/>
            <w:tcMar>
              <w:top w:w="85" w:type="dxa"/>
              <w:bottom w:w="85" w:type="dxa"/>
              <w:left w:w="100" w:type="dxa"/>
              <w:right w:w="100" w:type="dxa"/>
            </w:tcMar>
          </w:tcPr>
          <w:p>
            <w:pPr>
              <w:spacing w:after="0" w:line="252" w:lineRule="auto"/>
            </w:pPr>
            <w:r>
              <w:rPr>
                <w:b w:val="0"/>
                <w:color w:val="000000"/>
                <w:sz w:val="20"/>
              </w:rPr>
              <w:t>Positive endliche Gewichte, ungerichteter Graph, kombinatorischer Laplacian und Float64-Referenzsolver.</w:t>
            </w:r>
          </w:p>
        </w:tc>
        <w:tc>
          <w:tcPr>
            <w:tcW w:type="dxa" w:w="3960"/>
            <w:vAlign w:val="center"/>
            <w:shd w:fill="FFFFFF"/>
            <w:tcMar>
              <w:top w:w="85" w:type="dxa"/>
              <w:bottom w:w="85" w:type="dxa"/>
              <w:left w:w="100" w:type="dxa"/>
              <w:right w:w="100" w:type="dxa"/>
            </w:tcMar>
          </w:tcPr>
          <w:p>
            <w:pPr>
              <w:spacing w:after="0" w:line="252" w:lineRule="auto"/>
            </w:pPr>
            <w:r>
              <w:rPr>
                <w:b w:val="0"/>
                <w:color w:val="000000"/>
                <w:sz w:val="20"/>
              </w:rPr>
              <w:t>Analytische Fälle, Zusammenhangskomponenten, Nullraum und eindeutige Definition der ausgegebenen Spektralgrössen.</w:t>
            </w:r>
          </w:p>
        </w:tc>
      </w:tr>
    </w:tbl>
    <w:p>
      <w:pPr>
        <w:spacing w:after="20"/>
      </w:pPr>
    </w:p>
    <w:p>
      <w:r>
        <w:rPr>
          <w:lang w:val="de-CH"/>
        </w:rPr>
        <w:t>Numerische Bitgleichheit wird nur innerhalb eines festgelegten Ausführungsprofils gefordert. Zwischen Plattformen gelten ausdrücklich festgelegte Fehlerschranken und strukturelle Prüfungen. Initialisierungen, Solveroptionen, Bibliotheken und Threadkonfiguration gehören zum Laufnachweis. Kleine Residuen allein zertifizieren keine Eigenwertreihenfolge oder strikte positive Lücke. [16]</w:t>
      </w:r>
    </w:p>
    <w:p>
      <w:r>
        <w:rPr>
          <w:lang w:val="de-CH"/>
        </w:rPr>
        <w:t>Für die Graphreferenz werden algebraische Konnektivität und kleinster positiver Eigenwert getrennt ausgegeben. Zwei disjunkte Kanten mit Gewicht eins haben das Spektrum 0, 0, 2, 2: Der Abstand der ersten beiden Eigenwerte beträgt null, der kleinste positive Eigenwert zwei. Ohne positiven Eigenwert kennzeichnet der JSON-Wert null einen fehlenden Wert mit begründetem Status; er bezeichnet keine gemessene positive Lücke.</w:t>
      </w:r>
    </w:p>
    <w:p>
      <w:r>
        <w:rPr>
          <w:lang w:val="de-CH"/>
        </w:rPr>
        <w:t>Eine feste absolute Vergleichstoleranz muss zum Gewichtsbereich passen. Bei einer einzelnen Kante mit Gewicht 10 hoch minus 14 beträgt der positive Eigenwert 2 mal 10 hoch minus 14. Eine absolute Toleranz von 10 hoch minus 12 würde auch die Ausgabe null akzeptieren. Der Contract benötigt daher Skalierung, Gültigkeitsbereich und einen Status für numerisch nicht aufgelöste Ergebnisse.</w:t>
      </w:r>
    </w:p>
    <w:p>
      <w:r>
        <w:rPr>
          <w:lang w:val="de-CH"/>
        </w:rPr>
        <w:t>Prüfurteile benennen ihren Umfang. PASS für eine Paketinstallation, eine Schemaprüfung oder eine numerische Gegenprobe bedeutet jeweils nur das Bestehen dieser Prüfung. Ein wissenschaftlich korrektes Modell oder ein rückführbarer Messwert wird dadurch nicht allgemein bestätigt.</w:t>
      </w:r>
    </w:p>
    <w:p>
      <w:r>
        <w:rPr>
          <w:lang w:val="de-CH"/>
        </w:rPr>
        <w:br w:type="page"/>
      </w:r>
    </w:p>
    <w:p>
      <w:pPr>
        <w:pStyle w:val="Heading1"/>
      </w:pPr>
      <w:r>
        <w:rPr>
          <w:lang w:val="de-CH"/>
        </w:rPr>
        <w:t>10 Hypothesen und Versuchsdesign</w:t>
      </w:r>
    </w:p>
    <w:p>
      <w:r>
        <w:rPr>
          <w:lang w:val="de-CH"/>
        </w:rPr>
        <w:t>Die nachfolgenden Hypothesen sind Entwicklungsziele. Für die hier beschriebene Plattform liegen in dieser Konzeptfassung keine eigenen Messreihen vor. Vor Beginn der Bewertung werden App-Versionen, Testdaten, Hardware, Budgets und Auswertungsregeln festgehalten. Änderungen werden als neue Versuchsserie dokumentiert.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4464"/>
        <w:gridCol w:w="4104"/>
      </w:tblGrid>
      <w:tr>
        <w:trPr>
          <w:cantSplit/>
          <w:tblHeader/>
        </w:trPr>
        <w:tc>
          <w:tcPr>
            <w:tcW w:type="dxa" w:w="1512"/>
            <w:vAlign w:val="center"/>
            <w:shd w:fill="243B53"/>
            <w:tcMar>
              <w:top w:w="85" w:type="dxa"/>
              <w:bottom w:w="85" w:type="dxa"/>
              <w:left w:w="100" w:type="dxa"/>
              <w:right w:w="100" w:type="dxa"/>
            </w:tcMar>
          </w:tcPr>
          <w:p>
            <w:pPr>
              <w:spacing w:after="0" w:line="252" w:lineRule="auto"/>
              <w:jc w:val="center"/>
            </w:pPr>
            <w:r>
              <w:rPr>
                <w:b/>
                <w:color w:val="FFFFFF"/>
                <w:sz w:val="20"/>
              </w:rPr>
              <w:t>Hypothese</w:t>
            </w:r>
          </w:p>
        </w:tc>
        <w:tc>
          <w:tcPr>
            <w:tcW w:type="dxa" w:w="4464"/>
            <w:vAlign w:val="center"/>
            <w:shd w:fill="243B53"/>
            <w:tcMar>
              <w:top w:w="85" w:type="dxa"/>
              <w:bottom w:w="85" w:type="dxa"/>
              <w:left w:w="100" w:type="dxa"/>
              <w:right w:w="100" w:type="dxa"/>
            </w:tcMar>
          </w:tcPr>
          <w:p>
            <w:pPr>
              <w:spacing w:after="0" w:line="252" w:lineRule="auto"/>
            </w:pPr>
            <w:r>
              <w:rPr>
                <w:b/>
                <w:color w:val="FFFFFF"/>
                <w:sz w:val="20"/>
              </w:rPr>
              <w:t>Messung</w:t>
            </w:r>
          </w:p>
        </w:tc>
        <w:tc>
          <w:tcPr>
            <w:tcW w:type="dxa" w:w="4104"/>
            <w:vAlign w:val="center"/>
            <w:shd w:fill="243B53"/>
            <w:tcMar>
              <w:top w:w="85" w:type="dxa"/>
              <w:bottom w:w="85" w:type="dxa"/>
              <w:left w:w="100" w:type="dxa"/>
              <w:right w:w="100" w:type="dxa"/>
            </w:tcMar>
          </w:tcPr>
          <w:p>
            <w:pPr>
              <w:spacing w:after="0" w:line="252" w:lineRule="auto"/>
            </w:pPr>
            <w:r>
              <w:rPr>
                <w:b/>
                <w:color w:val="FFFFFF"/>
                <w:sz w:val="20"/>
              </w:rPr>
              <w:t>Vorgeschlagenes Pilotkriterium</w:t>
            </w:r>
          </w:p>
        </w:tc>
      </w:tr>
      <w:tr>
        <w:trPr>
          <w:cantSplit/>
        </w:trPr>
        <w:tc>
          <w:tcPr>
            <w:tcW w:type="dxa" w:w="1512"/>
            <w:vAlign w:val="center"/>
            <w:shd w:fill="FFFFFF"/>
            <w:tcMar>
              <w:top w:w="85" w:type="dxa"/>
              <w:bottom w:w="85" w:type="dxa"/>
              <w:left w:w="100" w:type="dxa"/>
              <w:right w:w="100" w:type="dxa"/>
            </w:tcMar>
          </w:tcPr>
          <w:p>
            <w:pPr>
              <w:spacing w:after="0" w:line="252" w:lineRule="auto"/>
              <w:jc w:val="center"/>
            </w:pPr>
            <w:r>
              <w:rPr>
                <w:b w:val="0"/>
                <w:color w:val="000000"/>
                <w:sz w:val="20"/>
              </w:rPr>
              <w:t>H1 Transfer</w:t>
            </w:r>
          </w:p>
        </w:tc>
        <w:tc>
          <w:tcPr>
            <w:tcW w:type="dxa" w:w="4464"/>
            <w:vAlign w:val="center"/>
            <w:shd w:fill="FFFFFF"/>
            <w:tcMar>
              <w:top w:w="85" w:type="dxa"/>
              <w:bottom w:w="85" w:type="dxa"/>
              <w:left w:w="100" w:type="dxa"/>
              <w:right w:w="100" w:type="dxa"/>
            </w:tcMar>
          </w:tcPr>
          <w:p>
            <w:pPr>
              <w:spacing w:after="0" w:line="252" w:lineRule="auto"/>
            </w:pPr>
            <w:r>
              <w:rPr>
                <w:b w:val="0"/>
                <w:color w:val="000000"/>
                <w:sz w:val="20"/>
              </w:rPr>
              <w:t>Änderungen am Kern, Adapteraufwand und dokumentierte Integrationszeit beim Wechsel ARM64 zu x86-64.</w:t>
            </w:r>
          </w:p>
        </w:tc>
        <w:tc>
          <w:tcPr>
            <w:tcW w:type="dxa" w:w="4104"/>
            <w:vAlign w:val="center"/>
            <w:shd w:fill="FFFFFF"/>
            <w:tcMar>
              <w:top w:w="85" w:type="dxa"/>
              <w:bottom w:w="85" w:type="dxa"/>
              <w:left w:w="100" w:type="dxa"/>
              <w:right w:w="100" w:type="dxa"/>
            </w:tcMar>
          </w:tcPr>
          <w:p>
            <w:pPr>
              <w:spacing w:after="0" w:line="252" w:lineRule="auto"/>
            </w:pPr>
            <w:r>
              <w:rPr>
                <w:b w:val="0"/>
                <w:color w:val="000000"/>
                <w:sz w:val="20"/>
              </w:rPr>
              <w:t>Alle drei Apps laufen im deklarierten Native-Profil ohne Änderung ihrer fachlichen Logik und ohne zweite Variante des Plattformkerns.</w:t>
            </w:r>
          </w:p>
        </w:tc>
      </w:tr>
      <w:tr>
        <w:trPr>
          <w:cantSplit/>
        </w:trPr>
        <w:tc>
          <w:tcPr>
            <w:tcW w:type="dxa" w:w="1512"/>
            <w:vAlign w:val="center"/>
            <w:shd w:fill="F3F6F8"/>
            <w:tcMar>
              <w:top w:w="85" w:type="dxa"/>
              <w:bottom w:w="85" w:type="dxa"/>
              <w:left w:w="100" w:type="dxa"/>
              <w:right w:w="100" w:type="dxa"/>
            </w:tcMar>
          </w:tcPr>
          <w:p>
            <w:pPr>
              <w:spacing w:after="0" w:line="252" w:lineRule="auto"/>
              <w:jc w:val="center"/>
            </w:pPr>
            <w:r>
              <w:rPr>
                <w:b w:val="0"/>
                <w:color w:val="000000"/>
                <w:sz w:val="20"/>
              </w:rPr>
              <w:t>H2 Aufwand</w:t>
            </w:r>
          </w:p>
        </w:tc>
        <w:tc>
          <w:tcPr>
            <w:tcW w:type="dxa" w:w="4464"/>
            <w:vAlign w:val="center"/>
            <w:shd w:fill="F3F6F8"/>
            <w:tcMar>
              <w:top w:w="85" w:type="dxa"/>
              <w:bottom w:w="85" w:type="dxa"/>
              <w:left w:w="100" w:type="dxa"/>
              <w:right w:w="100" w:type="dxa"/>
            </w:tcMar>
          </w:tcPr>
          <w:p>
            <w:pPr>
              <w:spacing w:after="0" w:line="252" w:lineRule="auto"/>
            </w:pPr>
            <w:r>
              <w:rPr>
                <w:b w:val="0"/>
                <w:color w:val="000000"/>
                <w:sz w:val="20"/>
              </w:rPr>
              <w:t>Gepaarte Integrationsaufgaben gegenüber direkter Umsetzung mit bestehenden Bibliotheken.</w:t>
            </w:r>
          </w:p>
        </w:tc>
        <w:tc>
          <w:tcPr>
            <w:tcW w:type="dxa" w:w="4104"/>
            <w:vAlign w:val="center"/>
            <w:shd w:fill="F3F6F8"/>
            <w:tcMar>
              <w:top w:w="85" w:type="dxa"/>
              <w:bottom w:w="85" w:type="dxa"/>
              <w:left w:w="100" w:type="dxa"/>
              <w:right w:w="100" w:type="dxa"/>
            </w:tcMar>
          </w:tcPr>
          <w:p>
            <w:pPr>
              <w:spacing w:after="0" w:line="252" w:lineRule="auto"/>
            </w:pPr>
            <w:r>
              <w:rPr>
                <w:b w:val="0"/>
                <w:color w:val="000000"/>
                <w:sz w:val="20"/>
              </w:rPr>
              <w:t>Mindestens 20 Prozent geringerer medianer Arbeitsaufwand bei vollständiger fachlicher Abnahme; Unsicherheit wird mitberichtet.</w:t>
            </w:r>
          </w:p>
        </w:tc>
      </w:tr>
      <w:tr>
        <w:trPr>
          <w:cantSplit/>
        </w:trPr>
        <w:tc>
          <w:tcPr>
            <w:tcW w:type="dxa" w:w="1512"/>
            <w:vAlign w:val="center"/>
            <w:shd w:fill="FFFFFF"/>
            <w:tcMar>
              <w:top w:w="85" w:type="dxa"/>
              <w:bottom w:w="85" w:type="dxa"/>
              <w:left w:w="100" w:type="dxa"/>
              <w:right w:w="100" w:type="dxa"/>
            </w:tcMar>
          </w:tcPr>
          <w:p>
            <w:pPr>
              <w:spacing w:after="0" w:line="252" w:lineRule="auto"/>
              <w:jc w:val="center"/>
            </w:pPr>
            <w:r>
              <w:rPr>
                <w:b w:val="0"/>
                <w:color w:val="000000"/>
                <w:sz w:val="20"/>
              </w:rPr>
              <w:t>H3 Laufzeit</w:t>
            </w:r>
          </w:p>
        </w:tc>
        <w:tc>
          <w:tcPr>
            <w:tcW w:type="dxa" w:w="4464"/>
            <w:vAlign w:val="center"/>
            <w:shd w:fill="FFFFFF"/>
            <w:tcMar>
              <w:top w:w="85" w:type="dxa"/>
              <w:bottom w:w="85" w:type="dxa"/>
              <w:left w:w="100" w:type="dxa"/>
              <w:right w:w="100" w:type="dxa"/>
            </w:tcMar>
          </w:tcPr>
          <w:p>
            <w:pPr>
              <w:spacing w:after="0" w:line="252" w:lineRule="auto"/>
            </w:pPr>
            <w:r>
              <w:rPr>
                <w:b w:val="0"/>
                <w:color w:val="000000"/>
                <w:sz w:val="20"/>
              </w:rPr>
              <w:t>Direkte und über die Plattform ausgeführte identische CPU-Jobs mit mindestens einer Sekunde direkter Rechenzeit.</w:t>
            </w:r>
          </w:p>
        </w:tc>
        <w:tc>
          <w:tcPr>
            <w:tcW w:type="dxa" w:w="4104"/>
            <w:vAlign w:val="center"/>
            <w:shd w:fill="FFFFFF"/>
            <w:tcMar>
              <w:top w:w="85" w:type="dxa"/>
              <w:bottom w:w="85" w:type="dxa"/>
              <w:left w:w="100" w:type="dxa"/>
              <w:right w:w="100" w:type="dxa"/>
            </w:tcMar>
          </w:tcPr>
          <w:p>
            <w:pPr>
              <w:spacing w:after="0" w:line="252" w:lineRule="auto"/>
            </w:pPr>
            <w:r>
              <w:rPr>
                <w:b w:val="0"/>
                <w:color w:val="000000"/>
                <w:sz w:val="20"/>
              </w:rPr>
              <w:t>Medianer Zusatzaufwand bis zum gleichen Prüfstand höchstens 10 Prozent; kleinere Jobs erhalten ein eigenes absolutes Latenzbudget.</w:t>
            </w:r>
          </w:p>
        </w:tc>
      </w:tr>
      <w:tr>
        <w:trPr>
          <w:cantSplit/>
        </w:trPr>
        <w:tc>
          <w:tcPr>
            <w:tcW w:type="dxa" w:w="1512"/>
            <w:vAlign w:val="center"/>
            <w:shd w:fill="F3F6F8"/>
            <w:tcMar>
              <w:top w:w="85" w:type="dxa"/>
              <w:bottom w:w="85" w:type="dxa"/>
              <w:left w:w="100" w:type="dxa"/>
              <w:right w:w="100" w:type="dxa"/>
            </w:tcMar>
          </w:tcPr>
          <w:p>
            <w:pPr>
              <w:spacing w:after="0" w:line="252" w:lineRule="auto"/>
            </w:pPr>
            <w:r>
              <w:rPr>
                <w:b w:val="0"/>
                <w:color w:val="000000"/>
                <w:sz w:val="20"/>
              </w:rPr>
              <w:t>H4 Fehlerkontrolle</w:t>
            </w:r>
          </w:p>
        </w:tc>
        <w:tc>
          <w:tcPr>
            <w:tcW w:type="dxa" w:w="4464"/>
            <w:vAlign w:val="center"/>
            <w:shd w:fill="F3F6F8"/>
            <w:tcMar>
              <w:top w:w="85" w:type="dxa"/>
              <w:bottom w:w="85" w:type="dxa"/>
              <w:left w:w="100" w:type="dxa"/>
              <w:right w:w="100" w:type="dxa"/>
            </w:tcMar>
          </w:tcPr>
          <w:p>
            <w:pPr>
              <w:spacing w:after="0" w:line="252" w:lineRule="auto"/>
            </w:pPr>
            <w:r>
              <w:rPr>
                <w:b w:val="0"/>
                <w:color w:val="000000"/>
                <w:sz w:val="20"/>
              </w:rPr>
              <w:t>Abbrüche, Wiederholungen, Datenlücken, Rechteverletzungen und manipulierte Artefakte.</w:t>
            </w:r>
          </w:p>
        </w:tc>
        <w:tc>
          <w:tcPr>
            <w:tcW w:type="dxa" w:w="4104"/>
            <w:vAlign w:val="center"/>
            <w:shd w:fill="F3F6F8"/>
            <w:tcMar>
              <w:top w:w="85" w:type="dxa"/>
              <w:bottom w:w="85" w:type="dxa"/>
              <w:left w:w="100" w:type="dxa"/>
              <w:right w:w="100" w:type="dxa"/>
            </w:tcMar>
          </w:tcPr>
          <w:p>
            <w:pPr>
              <w:spacing w:after="0" w:line="252" w:lineRule="auto"/>
            </w:pPr>
            <w:r>
              <w:rPr>
                <w:b w:val="0"/>
                <w:color w:val="000000"/>
                <w:sz w:val="20"/>
              </w:rPr>
              <w:t>Kein unberechtigter akzeptierter Auftrag und kein fälschlich bestandener Prüffall in der festgelegten Negativsuite.</w:t>
            </w:r>
          </w:p>
        </w:tc>
      </w:tr>
    </w:tbl>
    <w:p>
      <w:pPr>
        <w:spacing w:after="20"/>
      </w:pPr>
    </w:p>
    <w:p>
      <w:r>
        <w:rPr>
          <w:lang w:val="de-CH"/>
        </w:rPr>
        <w:t>Die Zahlen sind vorgeschlagene, noch zu ratifizierende Pilotgrenzen und keine aus Daten abgeleiteten Resultate. Ein verfehltes Kriterium führt zu Überarbeitung, engerem Geltungsbereich oder Abbruch der entsprechenden Ausbauentscheidung. Gute Werte in einer App dürfen einen Fehler in einer anderen nicht durch Mittelung verdecken.</w:t>
      </w:r>
    </w:p>
    <w:p>
      <w:r>
        <w:rPr>
          <w:lang w:val="de-CH"/>
        </w:rPr>
        <w:t>Für H2 wird die Reihenfolge der Aufgaben zwischen Teilnehmenden variiert. Beide Varianten dürfen vorhandene Treiber und Bibliotheken nutzen und müssen denselben Funktionsumfang erfüllen. Einarbeitung, Kernentwicklung, Adapterarbeit und laufende Pflege werden getrennt erfasst. Ein zunächst ausgenommenes Szenario dient als Transferprüfung nach dem Einfrieren der Schnittstellen.</w:t>
      </w:r>
    </w:p>
    <w:p>
      <w:r>
        <w:rPr>
          <w:lang w:val="de-CH"/>
        </w:rPr>
        <w:t>Für Laufzeiten werden mindestens 30 gepaarte Wiederholungen je vorab definiertem Fall als Pilot vorgesehen. Kaltstart und aufgewärmter Betrieb werden getrennt gemessen; die Reihenfolge wird randomisiert oder blockweise gewechselt. Median und Streuung sind primär, p95 wird nur bei ausreichender Stichprobe als belastbare Kennzahl interpretiert. Pilotstreuung bestimmt den Umfang einer späteren Bestätigungsstudie.</w:t>
      </w:r>
    </w:p>
    <w:p>
      <w:r>
        <w:rPr>
          <w:lang w:val="de-CH"/>
        </w:rPr>
        <w:t>Gepaarte Differenzen beziehungsweise Verhältnisse und 95-Prozent-Konfidenzintervalle werden berichtet, etwa mit einem begründeten Bootstrap auf Ebene unabhängiger Versuche. Abhängige Messungen derselben Sitzung werden als Block behandelt. Eine kleine Nutzerstudie liefert Bedarfshinweise, keine repräsentative Marktprognose.</w:t>
      </w:r>
    </w:p>
    <w:p>
      <w:r>
        <w:rPr>
          <w:lang w:val="de-CH"/>
        </w:rPr>
        <w:br w:type="page"/>
      </w:r>
    </w:p>
    <w:p>
      <w:pPr>
        <w:pStyle w:val="Heading1"/>
      </w:pPr>
      <w:r>
        <w:rPr>
          <w:lang w:val="de-CH"/>
        </w:rPr>
        <w:t>11 Metriken und Freigabegates</w:t>
      </w:r>
    </w:p>
    <w:p>
      <w:r>
        <w:rPr>
          <w:lang w:val="de-CH"/>
        </w:rPr>
        <w:t>Gemessen wird die Zeit vom angenommenen Auftrag bis zum Ergebnis mit festgelegtem Prüfstatus. Reine Kernelzeit wird zusätzlich ausgewiesen. Der relative Plattformaufwand ist die Differenz zwischen Plattform- und Direktzeit, geteilt durch die Direktzeit. Beide Pfade müssen denselben Datenimport und denselben fachlichen Prüfstand einschliessen; zusätzliche Provenienzarbeit wird transparent separat ausgewiesen.</w:t>
      </w:r>
    </w:p>
    <w:p>
      <w:r>
        <w:rPr>
          <w:lang w:val="de-CH"/>
        </w:rPr>
        <w:t>Weitere Kennzahlen sind gültige Ergebnisse pro Zeit, Spitzen-RAM, übertragene Bytes, belegter Speicher, CPU-Auslastung, Datenverlust und Wiederherstellungszeit. Energie wird für alle beteiligten Komponenten während eines definierten Arbeitsfensters gemessen und durch die Zahl akzeptierter Ergebnisse geteilt. Messgerät, Leerlaufanteil, Wiederholungen und Messunsicherheit werden angegeben.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4464"/>
        <w:gridCol w:w="4680"/>
      </w:tblGrid>
      <w:tr>
        <w:trPr>
          <w:cantSplit/>
          <w:tblHeader/>
        </w:trPr>
        <w:tc>
          <w:tcPr>
            <w:tcW w:type="dxa" w:w="936"/>
            <w:vAlign w:val="center"/>
            <w:shd w:fill="243B53"/>
            <w:tcMar>
              <w:top w:w="85" w:type="dxa"/>
              <w:bottom w:w="85" w:type="dxa"/>
              <w:left w:w="100" w:type="dxa"/>
              <w:right w:w="100" w:type="dxa"/>
            </w:tcMar>
          </w:tcPr>
          <w:p>
            <w:pPr>
              <w:spacing w:after="0" w:line="252" w:lineRule="auto"/>
              <w:jc w:val="center"/>
            </w:pPr>
            <w:r>
              <w:rPr>
                <w:b/>
                <w:color w:val="FFFFFF"/>
                <w:sz w:val="20"/>
              </w:rPr>
              <w:t>Gate</w:t>
            </w:r>
          </w:p>
        </w:tc>
        <w:tc>
          <w:tcPr>
            <w:tcW w:type="dxa" w:w="4464"/>
            <w:vAlign w:val="center"/>
            <w:shd w:fill="243B53"/>
            <w:tcMar>
              <w:top w:w="85" w:type="dxa"/>
              <w:bottom w:w="85" w:type="dxa"/>
              <w:left w:w="100" w:type="dxa"/>
              <w:right w:w="100" w:type="dxa"/>
            </w:tcMar>
          </w:tcPr>
          <w:p>
            <w:pPr>
              <w:spacing w:after="0" w:line="252" w:lineRule="auto"/>
            </w:pPr>
            <w:r>
              <w:rPr>
                <w:b/>
                <w:color w:val="FFFFFF"/>
                <w:sz w:val="20"/>
              </w:rPr>
              <w:t>Anforderung und Prüfung</w:t>
            </w:r>
          </w:p>
        </w:tc>
        <w:tc>
          <w:tcPr>
            <w:tcW w:type="dxa" w:w="4680"/>
            <w:vAlign w:val="center"/>
            <w:shd w:fill="243B53"/>
            <w:tcMar>
              <w:top w:w="85" w:type="dxa"/>
              <w:bottom w:w="85" w:type="dxa"/>
              <w:left w:w="100" w:type="dxa"/>
              <w:right w:w="100" w:type="dxa"/>
            </w:tcMar>
          </w:tcPr>
          <w:p>
            <w:pPr>
              <w:spacing w:after="0" w:line="252" w:lineRule="auto"/>
            </w:pPr>
            <w:r>
              <w:rPr>
                <w:b/>
                <w:color w:val="FFFFFF"/>
                <w:sz w:val="20"/>
              </w:rPr>
              <w:t>Freigabebedingung</w:t>
            </w:r>
          </w:p>
        </w:tc>
      </w:tr>
      <w:tr>
        <w:trPr>
          <w:cantSplit/>
        </w:trPr>
        <w:tc>
          <w:tcPr>
            <w:tcW w:type="dxa" w:w="936"/>
            <w:vAlign w:val="center"/>
            <w:shd w:fill="FFFFFF"/>
            <w:tcMar>
              <w:top w:w="85" w:type="dxa"/>
              <w:bottom w:w="85" w:type="dxa"/>
              <w:left w:w="100" w:type="dxa"/>
              <w:right w:w="100" w:type="dxa"/>
            </w:tcMar>
          </w:tcPr>
          <w:p>
            <w:pPr>
              <w:spacing w:after="0" w:line="252" w:lineRule="auto"/>
              <w:jc w:val="center"/>
            </w:pPr>
            <w:r>
              <w:rPr>
                <w:b w:val="0"/>
                <w:color w:val="000000"/>
                <w:sz w:val="20"/>
              </w:rPr>
              <w:t>G0</w:t>
            </w:r>
          </w:p>
        </w:tc>
        <w:tc>
          <w:tcPr>
            <w:tcW w:type="dxa" w:w="4464"/>
            <w:vAlign w:val="center"/>
            <w:shd w:fill="FFFFFF"/>
            <w:tcMar>
              <w:top w:w="85" w:type="dxa"/>
              <w:bottom w:w="85" w:type="dxa"/>
              <w:left w:w="100" w:type="dxa"/>
              <w:right w:w="100" w:type="dxa"/>
            </w:tcMar>
          </w:tcPr>
          <w:p>
            <w:pPr>
              <w:spacing w:after="0" w:line="252" w:lineRule="auto"/>
            </w:pPr>
            <w:r>
              <w:rPr>
                <w:b w:val="0"/>
                <w:color w:val="000000"/>
                <w:sz w:val="20"/>
              </w:rPr>
              <w:t>Schemas, Wertebereiche, unbekannte Felder, Versionskonflikte und Rechte prüfen.</w:t>
            </w:r>
          </w:p>
        </w:tc>
        <w:tc>
          <w:tcPr>
            <w:tcW w:type="dxa" w:w="4680"/>
            <w:vAlign w:val="center"/>
            <w:shd w:fill="FFFFFF"/>
            <w:tcMar>
              <w:top w:w="85" w:type="dxa"/>
              <w:bottom w:w="85" w:type="dxa"/>
              <w:left w:w="100" w:type="dxa"/>
              <w:right w:w="100" w:type="dxa"/>
            </w:tcMar>
          </w:tcPr>
          <w:p>
            <w:pPr>
              <w:spacing w:after="0" w:line="252" w:lineRule="auto"/>
            </w:pPr>
            <w:r>
              <w:rPr>
                <w:b w:val="0"/>
                <w:color w:val="000000"/>
                <w:sz w:val="20"/>
              </w:rPr>
              <w:t>Alle verbindlichen positiven und negativen Contract-Fälle bestehen.</w:t>
            </w:r>
          </w:p>
        </w:tc>
      </w:tr>
      <w:tr>
        <w:trPr>
          <w:cantSplit/>
        </w:trPr>
        <w:tc>
          <w:tcPr>
            <w:tcW w:type="dxa" w:w="936"/>
            <w:vAlign w:val="center"/>
            <w:shd w:fill="F3F6F8"/>
            <w:tcMar>
              <w:top w:w="85" w:type="dxa"/>
              <w:bottom w:w="85" w:type="dxa"/>
              <w:left w:w="100" w:type="dxa"/>
              <w:right w:w="100" w:type="dxa"/>
            </w:tcMar>
          </w:tcPr>
          <w:p>
            <w:pPr>
              <w:spacing w:after="0" w:line="252" w:lineRule="auto"/>
              <w:jc w:val="center"/>
            </w:pPr>
            <w:r>
              <w:rPr>
                <w:b w:val="0"/>
                <w:color w:val="000000"/>
                <w:sz w:val="20"/>
              </w:rPr>
              <w:t>G1</w:t>
            </w:r>
          </w:p>
        </w:tc>
        <w:tc>
          <w:tcPr>
            <w:tcW w:type="dxa" w:w="4464"/>
            <w:vAlign w:val="center"/>
            <w:shd w:fill="F3F6F8"/>
            <w:tcMar>
              <w:top w:w="85" w:type="dxa"/>
              <w:bottom w:w="85" w:type="dxa"/>
              <w:left w:w="100" w:type="dxa"/>
              <w:right w:w="100" w:type="dxa"/>
            </w:tcMar>
          </w:tcPr>
          <w:p>
            <w:pPr>
              <w:spacing w:after="0" w:line="252" w:lineRule="auto"/>
            </w:pPr>
            <w:r>
              <w:rPr>
                <w:b w:val="0"/>
                <w:color w:val="000000"/>
                <w:sz w:val="20"/>
              </w:rPr>
              <w:t>Frische Installation auf deklariertem ARM64 und x86-64 System.</w:t>
            </w:r>
          </w:p>
        </w:tc>
        <w:tc>
          <w:tcPr>
            <w:tcW w:type="dxa" w:w="4680"/>
            <w:vAlign w:val="center"/>
            <w:shd w:fill="F3F6F8"/>
            <w:tcMar>
              <w:top w:w="85" w:type="dxa"/>
              <w:bottom w:w="85" w:type="dxa"/>
              <w:left w:w="100" w:type="dxa"/>
              <w:right w:w="100" w:type="dxa"/>
            </w:tcMar>
          </w:tcPr>
          <w:p>
            <w:pPr>
              <w:spacing w:after="0" w:line="252" w:lineRule="auto"/>
            </w:pPr>
            <w:r>
              <w:rPr>
                <w:b w:val="0"/>
                <w:color w:val="000000"/>
                <w:sz w:val="20"/>
              </w:rPr>
              <w:t>Referenzläufe mit vollständiger Umgebungserfassung; keine versteckten manuellen Reparaturen.</w:t>
            </w:r>
          </w:p>
        </w:tc>
      </w:tr>
      <w:tr>
        <w:trPr>
          <w:cantSplit/>
        </w:trPr>
        <w:tc>
          <w:tcPr>
            <w:tcW w:type="dxa" w:w="936"/>
            <w:vAlign w:val="center"/>
            <w:shd w:fill="FFFFFF"/>
            <w:tcMar>
              <w:top w:w="85" w:type="dxa"/>
              <w:bottom w:w="85" w:type="dxa"/>
              <w:left w:w="100" w:type="dxa"/>
              <w:right w:w="100" w:type="dxa"/>
            </w:tcMar>
          </w:tcPr>
          <w:p>
            <w:pPr>
              <w:spacing w:after="0" w:line="252" w:lineRule="auto"/>
              <w:jc w:val="center"/>
            </w:pPr>
            <w:r>
              <w:rPr>
                <w:b w:val="0"/>
                <w:color w:val="000000"/>
                <w:sz w:val="20"/>
              </w:rPr>
              <w:t>G2</w:t>
            </w:r>
          </w:p>
        </w:tc>
        <w:tc>
          <w:tcPr>
            <w:tcW w:type="dxa" w:w="4464"/>
            <w:vAlign w:val="center"/>
            <w:shd w:fill="FFFFFF"/>
            <w:tcMar>
              <w:top w:w="85" w:type="dxa"/>
              <w:bottom w:w="85" w:type="dxa"/>
              <w:left w:w="100" w:type="dxa"/>
              <w:right w:w="100" w:type="dxa"/>
            </w:tcMar>
          </w:tcPr>
          <w:p>
            <w:pPr>
              <w:spacing w:after="0" w:line="252" w:lineRule="auto"/>
            </w:pPr>
            <w:r>
              <w:rPr>
                <w:b w:val="0"/>
                <w:color w:val="000000"/>
                <w:sz w:val="20"/>
              </w:rPr>
              <w:t>Drei Apps mit Referenzen und absichtlichen Fehlern ausführen.</w:t>
            </w:r>
          </w:p>
        </w:tc>
        <w:tc>
          <w:tcPr>
            <w:tcW w:type="dxa" w:w="4680"/>
            <w:vAlign w:val="center"/>
            <w:shd w:fill="FFFFFF"/>
            <w:tcMar>
              <w:top w:w="85" w:type="dxa"/>
              <w:bottom w:w="85" w:type="dxa"/>
              <w:left w:w="100" w:type="dxa"/>
              <w:right w:w="100" w:type="dxa"/>
            </w:tcMar>
          </w:tcPr>
          <w:p>
            <w:pPr>
              <w:spacing w:after="0" w:line="252" w:lineRule="auto"/>
            </w:pPr>
            <w:r>
              <w:rPr>
                <w:b w:val="0"/>
                <w:color w:val="000000"/>
                <w:sz w:val="20"/>
              </w:rPr>
              <w:t>Fachliche Budgets erfüllt; unentscheidbare Fälle korrekt markiert.</w:t>
            </w:r>
          </w:p>
        </w:tc>
      </w:tr>
      <w:tr>
        <w:trPr>
          <w:cantSplit/>
        </w:trPr>
        <w:tc>
          <w:tcPr>
            <w:tcW w:type="dxa" w:w="936"/>
            <w:vAlign w:val="center"/>
            <w:shd w:fill="F3F6F8"/>
            <w:tcMar>
              <w:top w:w="85" w:type="dxa"/>
              <w:bottom w:w="85" w:type="dxa"/>
              <w:left w:w="100" w:type="dxa"/>
              <w:right w:w="100" w:type="dxa"/>
            </w:tcMar>
          </w:tcPr>
          <w:p>
            <w:pPr>
              <w:spacing w:after="0" w:line="252" w:lineRule="auto"/>
              <w:jc w:val="center"/>
            </w:pPr>
            <w:r>
              <w:rPr>
                <w:b w:val="0"/>
                <w:color w:val="000000"/>
                <w:sz w:val="20"/>
              </w:rPr>
              <w:t>G3</w:t>
            </w:r>
          </w:p>
        </w:tc>
        <w:tc>
          <w:tcPr>
            <w:tcW w:type="dxa" w:w="4464"/>
            <w:vAlign w:val="center"/>
            <w:shd w:fill="F3F6F8"/>
            <w:tcMar>
              <w:top w:w="85" w:type="dxa"/>
              <w:bottom w:w="85" w:type="dxa"/>
              <w:left w:w="100" w:type="dxa"/>
              <w:right w:w="100" w:type="dxa"/>
            </w:tcMar>
          </w:tcPr>
          <w:p>
            <w:pPr>
              <w:spacing w:after="0" w:line="252" w:lineRule="auto"/>
            </w:pPr>
            <w:r>
              <w:rPr>
                <w:b w:val="0"/>
                <w:color w:val="000000"/>
                <w:sz w:val="20"/>
              </w:rPr>
              <w:t>Prozess beenden, Netz trennen, doppelt zustellen, Speicher erschöpfen, beschädigte Daten einspielen.</w:t>
            </w:r>
          </w:p>
        </w:tc>
        <w:tc>
          <w:tcPr>
            <w:tcW w:type="dxa" w:w="4680"/>
            <w:vAlign w:val="center"/>
            <w:shd w:fill="F3F6F8"/>
            <w:tcMar>
              <w:top w:w="85" w:type="dxa"/>
              <w:bottom w:w="85" w:type="dxa"/>
              <w:left w:w="100" w:type="dxa"/>
              <w:right w:w="100" w:type="dxa"/>
            </w:tcMar>
          </w:tcPr>
          <w:p>
            <w:pPr>
              <w:spacing w:after="0" w:line="252" w:lineRule="auto"/>
            </w:pPr>
            <w:r>
              <w:rPr>
                <w:b w:val="0"/>
                <w:color w:val="000000"/>
                <w:sz w:val="20"/>
              </w:rPr>
              <w:t>Keine falsche Freigabe; definierte Wiederaufnahme und sichtbare Verluste.</w:t>
            </w:r>
          </w:p>
        </w:tc>
      </w:tr>
      <w:tr>
        <w:trPr>
          <w:cantSplit/>
        </w:trPr>
        <w:tc>
          <w:tcPr>
            <w:tcW w:type="dxa" w:w="936"/>
            <w:vAlign w:val="center"/>
            <w:shd w:fill="FFFFFF"/>
            <w:tcMar>
              <w:top w:w="85" w:type="dxa"/>
              <w:bottom w:w="85" w:type="dxa"/>
              <w:left w:w="100" w:type="dxa"/>
              <w:right w:w="100" w:type="dxa"/>
            </w:tcMar>
          </w:tcPr>
          <w:p>
            <w:pPr>
              <w:spacing w:after="0" w:line="252" w:lineRule="auto"/>
              <w:jc w:val="center"/>
            </w:pPr>
            <w:r>
              <w:rPr>
                <w:b w:val="0"/>
                <w:color w:val="000000"/>
                <w:sz w:val="20"/>
              </w:rPr>
              <w:t>G4</w:t>
            </w:r>
          </w:p>
        </w:tc>
        <w:tc>
          <w:tcPr>
            <w:tcW w:type="dxa" w:w="4464"/>
            <w:vAlign w:val="center"/>
            <w:shd w:fill="FFFFFF"/>
            <w:tcMar>
              <w:top w:w="85" w:type="dxa"/>
              <w:bottom w:w="85" w:type="dxa"/>
              <w:left w:w="100" w:type="dxa"/>
              <w:right w:w="100" w:type="dxa"/>
            </w:tcMar>
          </w:tcPr>
          <w:p>
            <w:pPr>
              <w:spacing w:after="0" w:line="252" w:lineRule="auto"/>
            </w:pPr>
            <w:r>
              <w:rPr>
                <w:b w:val="0"/>
                <w:color w:val="000000"/>
                <w:sz w:val="20"/>
              </w:rPr>
              <w:t>Unzulässige Geräteaktionen, fremde Jobdaten, Paketmanipulation und widerrufene Identitäten testen.</w:t>
            </w:r>
          </w:p>
        </w:tc>
        <w:tc>
          <w:tcPr>
            <w:tcW w:type="dxa" w:w="4680"/>
            <w:vAlign w:val="center"/>
            <w:shd w:fill="FFFFFF"/>
            <w:tcMar>
              <w:top w:w="85" w:type="dxa"/>
              <w:bottom w:w="85" w:type="dxa"/>
              <w:left w:w="100" w:type="dxa"/>
              <w:right w:w="100" w:type="dxa"/>
            </w:tcMar>
          </w:tcPr>
          <w:p>
            <w:pPr>
              <w:spacing w:after="0" w:line="252" w:lineRule="auto"/>
            </w:pPr>
            <w:r>
              <w:rPr>
                <w:b w:val="0"/>
                <w:color w:val="000000"/>
                <w:sz w:val="20"/>
              </w:rPr>
              <w:t>Negativfälle abgewehrt und dokumentiert; gesonderte Sicherheitsbewertung vor produktivem Zugang.</w:t>
            </w:r>
          </w:p>
        </w:tc>
      </w:tr>
      <w:tr>
        <w:trPr>
          <w:cantSplit/>
        </w:trPr>
        <w:tc>
          <w:tcPr>
            <w:tcW w:type="dxa" w:w="936"/>
            <w:vAlign w:val="center"/>
            <w:shd w:fill="F3F6F8"/>
            <w:tcMar>
              <w:top w:w="85" w:type="dxa"/>
              <w:bottom w:w="85" w:type="dxa"/>
              <w:left w:w="100" w:type="dxa"/>
              <w:right w:w="100" w:type="dxa"/>
            </w:tcMar>
          </w:tcPr>
          <w:p>
            <w:pPr>
              <w:spacing w:after="0" w:line="252" w:lineRule="auto"/>
              <w:jc w:val="center"/>
            </w:pPr>
            <w:r>
              <w:rPr>
                <w:b w:val="0"/>
                <w:color w:val="000000"/>
                <w:sz w:val="20"/>
              </w:rPr>
              <w:t>G5</w:t>
            </w:r>
          </w:p>
        </w:tc>
        <w:tc>
          <w:tcPr>
            <w:tcW w:type="dxa" w:w="4464"/>
            <w:vAlign w:val="center"/>
            <w:shd w:fill="F3F6F8"/>
            <w:tcMar>
              <w:top w:w="85" w:type="dxa"/>
              <w:bottom w:w="85" w:type="dxa"/>
              <w:left w:w="100" w:type="dxa"/>
              <w:right w:w="100" w:type="dxa"/>
            </w:tcMar>
          </w:tcPr>
          <w:p>
            <w:pPr>
              <w:spacing w:after="0" w:line="252" w:lineRule="auto"/>
            </w:pPr>
            <w:r>
              <w:rPr>
                <w:b w:val="0"/>
                <w:color w:val="000000"/>
                <w:sz w:val="20"/>
              </w:rPr>
              <w:t>H2 und H3 je Workload; Profil für Pufferdauer und Dauerbetrieb.</w:t>
            </w:r>
          </w:p>
        </w:tc>
        <w:tc>
          <w:tcPr>
            <w:tcW w:type="dxa" w:w="4680"/>
            <w:vAlign w:val="center"/>
            <w:shd w:fill="F3F6F8"/>
            <w:tcMar>
              <w:top w:w="85" w:type="dxa"/>
              <w:bottom w:w="85" w:type="dxa"/>
              <w:left w:w="100" w:type="dxa"/>
              <w:right w:w="100" w:type="dxa"/>
            </w:tcMar>
          </w:tcPr>
          <w:p>
            <w:pPr>
              <w:spacing w:after="0" w:line="252" w:lineRule="auto"/>
            </w:pPr>
            <w:r>
              <w:rPr>
                <w:b w:val="0"/>
                <w:color w:val="000000"/>
                <w:sz w:val="20"/>
              </w:rPr>
              <w:t>Vorab festgelegte Grenzen erfüllt oder Geltungsbereich entsprechend reduziert.</w:t>
            </w:r>
          </w:p>
        </w:tc>
      </w:tr>
      <w:tr>
        <w:trPr>
          <w:cantSplit/>
        </w:trPr>
        <w:tc>
          <w:tcPr>
            <w:tcW w:type="dxa" w:w="936"/>
            <w:vAlign w:val="center"/>
            <w:shd w:fill="FFFFFF"/>
            <w:tcMar>
              <w:top w:w="85" w:type="dxa"/>
              <w:bottom w:w="85" w:type="dxa"/>
              <w:left w:w="100" w:type="dxa"/>
              <w:right w:w="100" w:type="dxa"/>
            </w:tcMar>
          </w:tcPr>
          <w:p>
            <w:pPr>
              <w:spacing w:after="0" w:line="252" w:lineRule="auto"/>
              <w:jc w:val="center"/>
            </w:pPr>
            <w:r>
              <w:rPr>
                <w:b w:val="0"/>
                <w:color w:val="000000"/>
                <w:sz w:val="20"/>
              </w:rPr>
              <w:t>G6</w:t>
            </w:r>
          </w:p>
        </w:tc>
        <w:tc>
          <w:tcPr>
            <w:tcW w:type="dxa" w:w="4464"/>
            <w:vAlign w:val="center"/>
            <w:shd w:fill="FFFFFF"/>
            <w:tcMar>
              <w:top w:w="85" w:type="dxa"/>
              <w:bottom w:w="85" w:type="dxa"/>
              <w:left w:w="100" w:type="dxa"/>
              <w:right w:w="100" w:type="dxa"/>
            </w:tcMar>
          </w:tcPr>
          <w:p>
            <w:pPr>
              <w:spacing w:after="0" w:line="252" w:lineRule="auto"/>
            </w:pPr>
            <w:r>
              <w:rPr>
                <w:b w:val="0"/>
                <w:color w:val="000000"/>
                <w:sz w:val="20"/>
              </w:rPr>
              <w:t>Datenbank und Artefakte aus separater Sicherung wiederherstellen.</w:t>
            </w:r>
          </w:p>
        </w:tc>
        <w:tc>
          <w:tcPr>
            <w:tcW w:type="dxa" w:w="4680"/>
            <w:vAlign w:val="center"/>
            <w:shd w:fill="FFFFFF"/>
            <w:tcMar>
              <w:top w:w="85" w:type="dxa"/>
              <w:bottom w:w="85" w:type="dxa"/>
              <w:left w:w="100" w:type="dxa"/>
              <w:right w:w="100" w:type="dxa"/>
            </w:tcMar>
          </w:tcPr>
          <w:p>
            <w:pPr>
              <w:spacing w:after="0" w:line="252" w:lineRule="auto"/>
            </w:pPr>
            <w:r>
              <w:rPr>
                <w:b w:val="0"/>
                <w:color w:val="000000"/>
                <w:sz w:val="20"/>
              </w:rPr>
              <w:t>Manifestbeziehungen, Digests und Jobzustände konsistent; RPO und RTO eingehalten.</w:t>
            </w:r>
          </w:p>
        </w:tc>
      </w:tr>
      <w:tr>
        <w:trPr>
          <w:cantSplit/>
        </w:trPr>
        <w:tc>
          <w:tcPr>
            <w:tcW w:type="dxa" w:w="936"/>
            <w:vAlign w:val="center"/>
            <w:shd w:fill="F3F6F8"/>
            <w:tcMar>
              <w:top w:w="85" w:type="dxa"/>
              <w:bottom w:w="85" w:type="dxa"/>
              <w:left w:w="100" w:type="dxa"/>
              <w:right w:w="100" w:type="dxa"/>
            </w:tcMar>
          </w:tcPr>
          <w:p>
            <w:pPr>
              <w:spacing w:after="0" w:line="252" w:lineRule="auto"/>
              <w:jc w:val="center"/>
            </w:pPr>
            <w:r>
              <w:rPr>
                <w:b w:val="0"/>
                <w:color w:val="000000"/>
                <w:sz w:val="20"/>
              </w:rPr>
              <w:t>G7</w:t>
            </w:r>
          </w:p>
        </w:tc>
        <w:tc>
          <w:tcPr>
            <w:tcW w:type="dxa" w:w="4464"/>
            <w:vAlign w:val="center"/>
            <w:shd w:fill="F3F6F8"/>
            <w:tcMar>
              <w:top w:w="85" w:type="dxa"/>
              <w:bottom w:w="85" w:type="dxa"/>
              <w:left w:w="100" w:type="dxa"/>
              <w:right w:w="100" w:type="dxa"/>
            </w:tcMar>
          </w:tcPr>
          <w:p>
            <w:pPr>
              <w:spacing w:after="0" w:line="252" w:lineRule="auto"/>
            </w:pPr>
            <w:r>
              <w:rPr>
                <w:b w:val="0"/>
                <w:color w:val="000000"/>
                <w:sz w:val="20"/>
              </w:rPr>
              <w:t>Erforderliche Aushandlung und Identität; fehlende Unterstützung, Fallback und Bibliotheksfehler.</w:t>
            </w:r>
          </w:p>
        </w:tc>
        <w:tc>
          <w:tcPr>
            <w:tcW w:type="dxa" w:w="4680"/>
            <w:vAlign w:val="center"/>
            <w:shd w:fill="F3F6F8"/>
            <w:tcMar>
              <w:top w:w="85" w:type="dxa"/>
              <w:bottom w:w="85" w:type="dxa"/>
              <w:left w:w="100" w:type="dxa"/>
              <w:right w:w="100" w:type="dxa"/>
            </w:tcMar>
          </w:tcPr>
          <w:p>
            <w:pPr>
              <w:spacing w:after="0" w:line="252" w:lineRule="auto"/>
            </w:pPr>
            <w:r>
              <w:rPr>
                <w:b w:val="0"/>
                <w:color w:val="000000"/>
                <w:sz w:val="20"/>
              </w:rPr>
              <w:t>Nur der nachgewiesene Schutzumfang wird freigegeben; keine stille Abschwächung.</w:t>
            </w:r>
          </w:p>
        </w:tc>
      </w:tr>
    </w:tbl>
    <w:p>
      <w:pPr>
        <w:spacing w:after="20"/>
      </w:pPr>
    </w:p>
    <w:p>
      <w:r>
        <w:rPr>
          <w:lang w:val="de-CH"/>
        </w:rPr>
        <w:t>RPO bezeichnet den zulässigen Datenverlustzeitraum, RTO die zulässige Wiederherstellungsdauer. Beide werden pro Betriebsprofil vor dem Test festgelegt. Dasselbe gilt für kontinuierliche Datenrate, maximale Unterbrechung und Dauer des Belastungslaufs. Eine offene Pflichtgrenze verhindert die betreffende Freigabe.</w:t>
      </w:r>
    </w:p>
    <w:p>
      <w:r>
        <w:rPr>
          <w:lang w:val="de-CH"/>
        </w:rPr>
        <w:t>Jeder Prüfbericht nennt Anforderungs-ID, Test-ID, Eingaben, Sollverhalten, beobachtetes Verhalten, Umgebung und Artefaktbezug. Übersprungene Tests bleiben offen. Null beobachtete Fehler sind kein Beweis einer Fehlerwahrscheinlichkeit von null.</w:t>
      </w:r>
    </w:p>
    <w:p>
      <w:r>
        <w:rPr>
          <w:lang w:val="de-CH"/>
        </w:rPr>
        <w:br w:type="page"/>
      </w:r>
    </w:p>
    <w:p>
      <w:pPr>
        <w:pStyle w:val="Heading1"/>
      </w:pPr>
      <w:r>
        <w:rPr>
          <w:lang w:val="de-CH"/>
        </w:rPr>
        <w:t>12 Referenzpaket und Ausbauentscheidungen</w:t>
      </w:r>
    </w:p>
    <w:p>
      <w:r>
        <w:rPr>
          <w:lang w:val="de-CH"/>
        </w:rPr>
        <w:t>Die erste Ausgabe ist ein lokal betreibbares Entwicklungs- und Referenzpaket. Ein Hardwarekauf ist keine Voraussetzung für die Softwaredemonstration. Geräte-Simulatoren sind sichtbar als solche gekennzeichnet; eine Hardwarefreigabe verlangt einen Test am konkret benannten Gerät.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24"/>
        <w:gridCol w:w="4752"/>
        <w:gridCol w:w="4104"/>
      </w:tblGrid>
      <w:tr>
        <w:trPr>
          <w:cantSplit/>
          <w:tblHeader/>
        </w:trPr>
        <w:tc>
          <w:tcPr>
            <w:tcW w:type="dxa" w:w="1224"/>
            <w:vAlign w:val="center"/>
            <w:shd w:fill="243B53"/>
            <w:tcMar>
              <w:top w:w="85" w:type="dxa"/>
              <w:bottom w:w="85" w:type="dxa"/>
              <w:left w:w="100" w:type="dxa"/>
              <w:right w:w="100" w:type="dxa"/>
            </w:tcMar>
          </w:tcPr>
          <w:p>
            <w:pPr>
              <w:spacing w:after="0" w:line="252" w:lineRule="auto"/>
              <w:jc w:val="center"/>
            </w:pPr>
            <w:r>
              <w:rPr>
                <w:b/>
                <w:color w:val="FFFFFF"/>
                <w:sz w:val="20"/>
              </w:rPr>
              <w:t>Stufe</w:t>
            </w:r>
          </w:p>
        </w:tc>
        <w:tc>
          <w:tcPr>
            <w:tcW w:type="dxa" w:w="4752"/>
            <w:vAlign w:val="center"/>
            <w:shd w:fill="243B53"/>
            <w:tcMar>
              <w:top w:w="85" w:type="dxa"/>
              <w:bottom w:w="85" w:type="dxa"/>
              <w:left w:w="100" w:type="dxa"/>
              <w:right w:w="100" w:type="dxa"/>
            </w:tcMar>
          </w:tcPr>
          <w:p>
            <w:pPr>
              <w:spacing w:after="0" w:line="252" w:lineRule="auto"/>
            </w:pPr>
            <w:r>
              <w:rPr>
                <w:b/>
                <w:color w:val="FFFFFF"/>
                <w:sz w:val="20"/>
              </w:rPr>
              <w:t>Lieferumfang</w:t>
            </w:r>
          </w:p>
        </w:tc>
        <w:tc>
          <w:tcPr>
            <w:tcW w:type="dxa" w:w="4104"/>
            <w:vAlign w:val="center"/>
            <w:shd w:fill="243B53"/>
            <w:tcMar>
              <w:top w:w="85" w:type="dxa"/>
              <w:bottom w:w="85" w:type="dxa"/>
              <w:left w:w="100" w:type="dxa"/>
              <w:right w:w="100" w:type="dxa"/>
            </w:tcMar>
          </w:tcPr>
          <w:p>
            <w:pPr>
              <w:spacing w:after="0" w:line="252" w:lineRule="auto"/>
            </w:pPr>
            <w:r>
              <w:rPr>
                <w:b/>
                <w:color w:val="FFFFFF"/>
                <w:sz w:val="20"/>
              </w:rPr>
              <w:t>Entscheidung zum Weiterbau</w:t>
            </w:r>
          </w:p>
        </w:tc>
      </w:tr>
      <w:tr>
        <w:trPr>
          <w:cantSplit/>
        </w:trPr>
        <w:tc>
          <w:tcPr>
            <w:tcW w:type="dxa" w:w="1224"/>
            <w:vAlign w:val="center"/>
            <w:shd w:fill="FFFFFF"/>
            <w:tcMar>
              <w:top w:w="85" w:type="dxa"/>
              <w:bottom w:w="85" w:type="dxa"/>
              <w:left w:w="100" w:type="dxa"/>
              <w:right w:w="100" w:type="dxa"/>
            </w:tcMar>
          </w:tcPr>
          <w:p>
            <w:pPr>
              <w:spacing w:after="0" w:line="252" w:lineRule="auto"/>
              <w:jc w:val="center"/>
            </w:pPr>
            <w:r>
              <w:rPr>
                <w:b w:val="0"/>
                <w:color w:val="000000"/>
                <w:sz w:val="20"/>
              </w:rPr>
              <w:t>A Kern</w:t>
            </w:r>
          </w:p>
        </w:tc>
        <w:tc>
          <w:tcPr>
            <w:tcW w:type="dxa" w:w="4752"/>
            <w:vAlign w:val="center"/>
            <w:shd w:fill="FFFFFF"/>
            <w:tcMar>
              <w:top w:w="85" w:type="dxa"/>
              <w:bottom w:w="85" w:type="dxa"/>
              <w:left w:w="100" w:type="dxa"/>
              <w:right w:w="100" w:type="dxa"/>
            </w:tcMar>
          </w:tcPr>
          <w:p>
            <w:pPr>
              <w:spacing w:after="0" w:line="252" w:lineRule="auto"/>
            </w:pPr>
            <w:r>
              <w:rPr>
                <w:b w:val="0"/>
                <w:color w:val="000000"/>
                <w:sz w:val="20"/>
              </w:rPr>
              <w:t>Native Laufzeit, API, persistente Jobs, Artefaktspeicher, geprüfte Paketidentität, drei kleine Referenzapps und CLI.</w:t>
            </w:r>
          </w:p>
        </w:tc>
        <w:tc>
          <w:tcPr>
            <w:tcW w:type="dxa" w:w="4104"/>
            <w:vAlign w:val="center"/>
            <w:shd w:fill="FFFFFF"/>
            <w:tcMar>
              <w:top w:w="85" w:type="dxa"/>
              <w:bottom w:w="85" w:type="dxa"/>
              <w:left w:w="100" w:type="dxa"/>
              <w:right w:w="100" w:type="dxa"/>
            </w:tcMar>
          </w:tcPr>
          <w:p>
            <w:pPr>
              <w:spacing w:after="0" w:line="252" w:lineRule="auto"/>
            </w:pPr>
            <w:r>
              <w:rPr>
                <w:b w:val="0"/>
                <w:color w:val="000000"/>
                <w:sz w:val="20"/>
              </w:rPr>
              <w:t>G0 bis G2 auf einem Rechner; klare Installationsanleitung und nachvollziehbarer Lauf.</w:t>
            </w:r>
          </w:p>
        </w:tc>
      </w:tr>
      <w:tr>
        <w:trPr>
          <w:cantSplit/>
        </w:trPr>
        <w:tc>
          <w:tcPr>
            <w:tcW w:type="dxa" w:w="1224"/>
            <w:vAlign w:val="center"/>
            <w:shd w:fill="F3F6F8"/>
            <w:tcMar>
              <w:top w:w="85" w:type="dxa"/>
              <w:bottom w:w="85" w:type="dxa"/>
              <w:left w:w="100" w:type="dxa"/>
              <w:right w:w="100" w:type="dxa"/>
            </w:tcMar>
          </w:tcPr>
          <w:p>
            <w:pPr>
              <w:spacing w:after="0" w:line="252" w:lineRule="auto"/>
              <w:jc w:val="center"/>
            </w:pPr>
            <w:r>
              <w:rPr>
                <w:b w:val="0"/>
                <w:color w:val="000000"/>
                <w:sz w:val="20"/>
              </w:rPr>
              <w:t>B Transfer</w:t>
            </w:r>
          </w:p>
        </w:tc>
        <w:tc>
          <w:tcPr>
            <w:tcW w:type="dxa" w:w="4752"/>
            <w:vAlign w:val="center"/>
            <w:shd w:fill="F3F6F8"/>
            <w:tcMar>
              <w:top w:w="85" w:type="dxa"/>
              <w:bottom w:w="85" w:type="dxa"/>
              <w:left w:w="100" w:type="dxa"/>
              <w:right w:w="100" w:type="dxa"/>
            </w:tcMar>
          </w:tcPr>
          <w:p>
            <w:pPr>
              <w:spacing w:after="0" w:line="252" w:lineRule="auto"/>
            </w:pPr>
            <w:r>
              <w:rPr>
                <w:b w:val="0"/>
                <w:color w:val="000000"/>
                <w:sz w:val="20"/>
              </w:rPr>
              <w:t>Zweite Rechnerarchitektur, ein physischer Geräteadapter, Wiederanlauf und Ressourcenlimits.</w:t>
            </w:r>
          </w:p>
        </w:tc>
        <w:tc>
          <w:tcPr>
            <w:tcW w:type="dxa" w:w="4104"/>
            <w:vAlign w:val="center"/>
            <w:shd w:fill="F3F6F8"/>
            <w:tcMar>
              <w:top w:w="85" w:type="dxa"/>
              <w:bottom w:w="85" w:type="dxa"/>
              <w:left w:w="100" w:type="dxa"/>
              <w:right w:w="100" w:type="dxa"/>
            </w:tcMar>
          </w:tcPr>
          <w:p>
            <w:pPr>
              <w:spacing w:after="0" w:line="252" w:lineRule="auto"/>
            </w:pPr>
            <w:r>
              <w:rPr>
                <w:b w:val="0"/>
                <w:color w:val="000000"/>
                <w:sz w:val="20"/>
              </w:rPr>
              <w:t>G1 bis G6 im begrenzten Profil; H1 bis H3 auswerten.</w:t>
            </w:r>
          </w:p>
        </w:tc>
      </w:tr>
      <w:tr>
        <w:trPr>
          <w:cantSplit/>
        </w:trPr>
        <w:tc>
          <w:tcPr>
            <w:tcW w:type="dxa" w:w="1224"/>
            <w:vAlign w:val="center"/>
            <w:shd w:fill="FFFFFF"/>
            <w:tcMar>
              <w:top w:w="85" w:type="dxa"/>
              <w:bottom w:w="85" w:type="dxa"/>
              <w:left w:w="100" w:type="dxa"/>
              <w:right w:w="100" w:type="dxa"/>
            </w:tcMar>
          </w:tcPr>
          <w:p>
            <w:pPr>
              <w:spacing w:after="0" w:line="252" w:lineRule="auto"/>
              <w:jc w:val="center"/>
            </w:pPr>
            <w:r>
              <w:rPr>
                <w:b w:val="0"/>
                <w:color w:val="000000"/>
                <w:sz w:val="20"/>
              </w:rPr>
              <w:t>C Pilot</w:t>
            </w:r>
          </w:p>
        </w:tc>
        <w:tc>
          <w:tcPr>
            <w:tcW w:type="dxa" w:w="4752"/>
            <w:vAlign w:val="center"/>
            <w:shd w:fill="FFFFFF"/>
            <w:tcMar>
              <w:top w:w="85" w:type="dxa"/>
              <w:bottom w:w="85" w:type="dxa"/>
              <w:left w:w="100" w:type="dxa"/>
              <w:right w:w="100" w:type="dxa"/>
            </w:tcMar>
          </w:tcPr>
          <w:p>
            <w:pPr>
              <w:spacing w:after="0" w:line="252" w:lineRule="auto"/>
            </w:pPr>
            <w:r>
              <w:rPr>
                <w:b w:val="0"/>
                <w:color w:val="000000"/>
                <w:sz w:val="20"/>
              </w:rPr>
              <w:t>Fünf bis acht externe Teilnehmende aus Maker- und Laborumfeld; eigene Daten und Wiederholungsversuche.</w:t>
            </w:r>
          </w:p>
        </w:tc>
        <w:tc>
          <w:tcPr>
            <w:tcW w:type="dxa" w:w="4104"/>
            <w:vAlign w:val="center"/>
            <w:shd w:fill="FFFFFF"/>
            <w:tcMar>
              <w:top w:w="85" w:type="dxa"/>
              <w:bottom w:w="85" w:type="dxa"/>
              <w:left w:w="100" w:type="dxa"/>
              <w:right w:w="100" w:type="dxa"/>
            </w:tcMar>
          </w:tcPr>
          <w:p>
            <w:pPr>
              <w:spacing w:after="0" w:line="252" w:lineRule="auto"/>
            </w:pPr>
            <w:r>
              <w:rPr>
                <w:b w:val="0"/>
                <w:color w:val="000000"/>
                <w:sz w:val="20"/>
              </w:rPr>
              <w:t>Hilfebedarf, Integrationsaufwand und freiwillige Wiederverwendung rechtfertigen weiteren Umfang.</w:t>
            </w:r>
          </w:p>
        </w:tc>
      </w:tr>
      <w:tr>
        <w:trPr>
          <w:cantSplit/>
        </w:trPr>
        <w:tc>
          <w:tcPr>
            <w:tcW w:type="dxa" w:w="1224"/>
            <w:vAlign w:val="center"/>
            <w:shd w:fill="F3F6F8"/>
            <w:tcMar>
              <w:top w:w="85" w:type="dxa"/>
              <w:bottom w:w="85" w:type="dxa"/>
              <w:left w:w="100" w:type="dxa"/>
              <w:right w:w="100" w:type="dxa"/>
            </w:tcMar>
          </w:tcPr>
          <w:p>
            <w:pPr>
              <w:spacing w:after="0" w:line="252" w:lineRule="auto"/>
              <w:jc w:val="center"/>
            </w:pPr>
            <w:r>
              <w:rPr>
                <w:b w:val="0"/>
                <w:color w:val="000000"/>
                <w:sz w:val="20"/>
              </w:rPr>
              <w:t>D Ausbau</w:t>
            </w:r>
          </w:p>
        </w:tc>
        <w:tc>
          <w:tcPr>
            <w:tcW w:type="dxa" w:w="4752"/>
            <w:vAlign w:val="center"/>
            <w:shd w:fill="F3F6F8"/>
            <w:tcMar>
              <w:top w:w="85" w:type="dxa"/>
              <w:bottom w:w="85" w:type="dxa"/>
              <w:left w:w="100" w:type="dxa"/>
              <w:right w:w="100" w:type="dxa"/>
            </w:tcMar>
          </w:tcPr>
          <w:p>
            <w:pPr>
              <w:spacing w:after="0" w:line="252" w:lineRule="auto"/>
            </w:pPr>
            <w:r>
              <w:rPr>
                <w:b w:val="0"/>
                <w:color w:val="000000"/>
                <w:sz w:val="20"/>
              </w:rPr>
              <w:t>Mehrere Worker, weitere Geräte, optional WASM oder Beschleuniger und Post-Quanten-Profil.</w:t>
            </w:r>
          </w:p>
        </w:tc>
        <w:tc>
          <w:tcPr>
            <w:tcW w:type="dxa" w:w="4104"/>
            <w:vAlign w:val="center"/>
            <w:shd w:fill="F3F6F8"/>
            <w:tcMar>
              <w:top w:w="85" w:type="dxa"/>
              <w:bottom w:w="85" w:type="dxa"/>
              <w:left w:w="100" w:type="dxa"/>
              <w:right w:w="100" w:type="dxa"/>
            </w:tcMar>
          </w:tcPr>
          <w:p>
            <w:pPr>
              <w:spacing w:after="0" w:line="252" w:lineRule="auto"/>
            </w:pPr>
            <w:r>
              <w:rPr>
                <w:b w:val="0"/>
                <w:color w:val="000000"/>
                <w:sz w:val="20"/>
              </w:rPr>
              <w:t>Jede Erweiterung benötigt eigene Konformität; G7 für den beanspruchten kryptografischen Schutz.</w:t>
            </w:r>
          </w:p>
        </w:tc>
      </w:tr>
    </w:tbl>
    <w:p>
      <w:pPr>
        <w:spacing w:after="20"/>
      </w:pPr>
    </w:p>
    <w:p>
      <w:r>
        <w:rPr>
          <w:lang w:val="de-CH"/>
        </w:rPr>
        <w:t>Das Paket umfasst Quellcode und versionierte Abhängigkeiten, ausdrückliche Nutzungsrechte, Start- und Deinstallationsanleitung, Schemas, Konformitätstests, Beispieldaten mit Herkunft und Nutzungsbedingungen sowie ein Export- und Wiederholungswerkzeug. Geräteprofile enthalten Schaltung beziehungsweise Anschlussplan, Firmwarestand, Messbereich und bekannte Grenzen, soweit reale Hardware angeboten wird.</w:t>
      </w:r>
    </w:p>
    <w:p>
      <w:r>
        <w:rPr>
          <w:lang w:val="de-CH"/>
        </w:rPr>
        <w:t>Maker-ready wird erst nach erfolgreicher externer Installation anhand der Anleitung verwendet. Laborpilot bezeichnet eine geprüfte Gerätekombination innerhalb eines dokumentierten Messbereichs. Eine industrielle Betriebsfreigabe benötigt darüber hinaus Verantwortlichkeiten für Updates, Störungen, Zugriffsschutz, Ersatz und Wiederherstellung. Gesetzliche oder branchenspezifische Konformität muss für den konkreten Einsatz gesondert bewertet werden.</w:t>
      </w:r>
    </w:p>
    <w:p>
      <w:pPr>
        <w:pStyle w:val="Heading2"/>
      </w:pPr>
      <w:r>
        <w:rPr>
          <w:lang w:val="de-CH"/>
        </w:rPr>
        <w:t>Wirtschaftlichkeit und Tragfähigkeit</w:t>
      </w:r>
    </w:p>
    <w:p>
      <w:r>
        <w:rPr>
          <w:lang w:val="de-CH"/>
        </w:rPr>
        <w:t>Die Kostenerfassung trennt gemeinsame Kernentwicklung, App-Entwicklung, Geräteadapter, Hardware, Kalibrierung, Installation, Wartung und Vorfälle. Der mögliche Vorteil entsteht erst, wenn eingesparte wiederkehrende Integrationsarbeit die zusätzlichen Plattformkosten übersteigt. Eine grössere Zahl unterstützter Kombinationen erhöht zugleich den Test- und Wartungsaufwand.</w:t>
      </w:r>
    </w:p>
    <w:p>
      <w:r>
        <w:rPr>
          <w:lang w:val="de-CH"/>
        </w:rPr>
        <w:t>Wichtige Abbruchsignale sind dauerhaft benötigte Sonderversionen des Kerns, mehr Einrichtungsarbeit als beim Vergleichssystem, unbeherrschbare Schnittstellenänderungen oder fehlende Wiederverwendung durch Pilotteilnehmer. In diesem Fall wird der Umfang auf den nachweislich hilfreichen Baustein begrenzt. Ein App-Store, ein Agentennetz und neue kryptografische Verfahren sind für den Referenznachweis nicht erforderlich.</w:t>
      </w:r>
    </w:p>
    <w:p>
      <w:r>
        <w:rPr>
          <w:lang w:val="de-CH"/>
        </w:rPr>
        <w:br w:type="page"/>
      </w:r>
    </w:p>
    <w:p>
      <w:pPr>
        <w:pStyle w:val="Heading1"/>
      </w:pPr>
      <w:r>
        <w:rPr>
          <w:lang w:val="de-CH"/>
        </w:rPr>
        <w:t>13 Offene Entscheidungen und Evidenzstatus</w:t>
      </w:r>
    </w:p>
    <w:p>
      <w:r>
        <w:rPr>
          <w:lang w:val="de-CH"/>
        </w:rPr>
        <w:t>Für die Umsetzung sind zuerst ein konkretes Betriebssystemprofil, Zielhardware, Gerätemodell und ein verantwortlicher Betreiber festzulegen. Die Auswahl muss zur Verfügbarkeit von Treibern und gepflegten kryptografischen Bibliotheken passen. Beschaffung und Hardwareentwicklung folgen erst nach einem belastbaren Engpass- oder Funktionsnachweis.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776"/>
      </w:tblGrid>
      <w:tr>
        <w:trPr>
          <w:cantSplit/>
          <w:tblHeader/>
        </w:trPr>
        <w:tc>
          <w:tcPr>
            <w:tcW w:type="dxa" w:w="2304"/>
            <w:vAlign w:val="center"/>
            <w:shd w:fill="243B53"/>
            <w:tcMar>
              <w:top w:w="85" w:type="dxa"/>
              <w:bottom w:w="85" w:type="dxa"/>
              <w:left w:w="100" w:type="dxa"/>
              <w:right w:w="100" w:type="dxa"/>
            </w:tcMar>
          </w:tcPr>
          <w:p>
            <w:pPr>
              <w:spacing w:after="0" w:line="252" w:lineRule="auto"/>
              <w:jc w:val="center"/>
            </w:pPr>
            <w:r>
              <w:rPr>
                <w:b/>
                <w:color w:val="FFFFFF"/>
                <w:sz w:val="20"/>
              </w:rPr>
              <w:t>Offener Punkt</w:t>
            </w:r>
          </w:p>
        </w:tc>
        <w:tc>
          <w:tcPr>
            <w:tcW w:type="dxa" w:w="7776"/>
            <w:vAlign w:val="center"/>
            <w:shd w:fill="243B53"/>
            <w:tcMar>
              <w:top w:w="85" w:type="dxa"/>
              <w:bottom w:w="85" w:type="dxa"/>
              <w:left w:w="100" w:type="dxa"/>
              <w:right w:w="100" w:type="dxa"/>
            </w:tcMar>
          </w:tcPr>
          <w:p>
            <w:pPr>
              <w:spacing w:after="0" w:line="252" w:lineRule="auto"/>
            </w:pPr>
            <w:r>
              <w:rPr>
                <w:b/>
                <w:color w:val="FFFFFF"/>
                <w:sz w:val="20"/>
              </w:rPr>
              <w:t>Erforderliche Entscheidung</w:t>
            </w:r>
          </w:p>
        </w:tc>
      </w:tr>
      <w:tr>
        <w:trPr>
          <w:cantSplit/>
        </w:trPr>
        <w:tc>
          <w:tcPr>
            <w:tcW w:type="dxa" w:w="2304"/>
            <w:vAlign w:val="center"/>
            <w:shd w:fill="FFFFFF"/>
            <w:tcMar>
              <w:top w:w="85" w:type="dxa"/>
              <w:bottom w:w="85" w:type="dxa"/>
              <w:left w:w="100" w:type="dxa"/>
              <w:right w:w="100" w:type="dxa"/>
            </w:tcMar>
          </w:tcPr>
          <w:p>
            <w:pPr>
              <w:spacing w:after="0" w:line="252" w:lineRule="auto"/>
            </w:pPr>
            <w:r>
              <w:rPr>
                <w:b w:val="0"/>
                <w:color w:val="000000"/>
                <w:sz w:val="20"/>
              </w:rPr>
              <w:t>Daten und Geräte</w:t>
            </w:r>
          </w:p>
        </w:tc>
        <w:tc>
          <w:tcPr>
            <w:tcW w:type="dxa" w:w="7776"/>
            <w:vAlign w:val="center"/>
            <w:shd w:fill="FFFFFF"/>
            <w:tcMar>
              <w:top w:w="85" w:type="dxa"/>
              <w:bottom w:w="85" w:type="dxa"/>
              <w:left w:w="100" w:type="dxa"/>
              <w:right w:w="100" w:type="dxa"/>
            </w:tcMar>
          </w:tcPr>
          <w:p>
            <w:pPr>
              <w:spacing w:after="0" w:line="252" w:lineRule="auto"/>
            </w:pPr>
            <w:r>
              <w:rPr>
                <w:b w:val="0"/>
                <w:color w:val="000000"/>
                <w:sz w:val="20"/>
              </w:rPr>
              <w:t>Welche Messbereiche, Abtastraten, Aufbewahrungsfristen und erlaubten Geräteaktionen gelten für den ersten Pilot?</w:t>
            </w:r>
          </w:p>
        </w:tc>
      </w:tr>
      <w:tr>
        <w:trPr>
          <w:cantSplit/>
        </w:trPr>
        <w:tc>
          <w:tcPr>
            <w:tcW w:type="dxa" w:w="2304"/>
            <w:vAlign w:val="center"/>
            <w:shd w:fill="F3F6F8"/>
            <w:tcMar>
              <w:top w:w="85" w:type="dxa"/>
              <w:bottom w:w="85" w:type="dxa"/>
              <w:left w:w="100" w:type="dxa"/>
              <w:right w:w="100" w:type="dxa"/>
            </w:tcMar>
          </w:tcPr>
          <w:p>
            <w:pPr>
              <w:spacing w:after="0" w:line="252" w:lineRule="auto"/>
              <w:jc w:val="center"/>
            </w:pPr>
            <w:r>
              <w:rPr>
                <w:b w:val="0"/>
                <w:color w:val="000000"/>
                <w:sz w:val="20"/>
              </w:rPr>
              <w:t>Betrieb</w:t>
            </w:r>
          </w:p>
        </w:tc>
        <w:tc>
          <w:tcPr>
            <w:tcW w:type="dxa" w:w="7776"/>
            <w:vAlign w:val="center"/>
            <w:shd w:fill="F3F6F8"/>
            <w:tcMar>
              <w:top w:w="85" w:type="dxa"/>
              <w:bottom w:w="85" w:type="dxa"/>
              <w:left w:w="100" w:type="dxa"/>
              <w:right w:w="100" w:type="dxa"/>
            </w:tcMar>
          </w:tcPr>
          <w:p>
            <w:pPr>
              <w:spacing w:after="0" w:line="252" w:lineRule="auto"/>
            </w:pPr>
            <w:r>
              <w:rPr>
                <w:b w:val="0"/>
                <w:color w:val="000000"/>
                <w:sz w:val="20"/>
              </w:rPr>
              <w:t>Wer pflegt Releases, beantwortet Fehlerberichte, verwaltet Schlüssel und prüft Wiederherstellungen?</w:t>
            </w:r>
          </w:p>
        </w:tc>
      </w:tr>
      <w:tr>
        <w:trPr>
          <w:cantSplit/>
        </w:trPr>
        <w:tc>
          <w:tcPr>
            <w:tcW w:type="dxa" w:w="2304"/>
            <w:vAlign w:val="center"/>
            <w:shd w:fill="FFFFFF"/>
            <w:tcMar>
              <w:top w:w="85" w:type="dxa"/>
              <w:bottom w:w="85" w:type="dxa"/>
              <w:left w:w="100" w:type="dxa"/>
              <w:right w:w="100" w:type="dxa"/>
            </w:tcMar>
          </w:tcPr>
          <w:p>
            <w:pPr>
              <w:spacing w:after="0" w:line="252" w:lineRule="auto"/>
              <w:jc w:val="center"/>
            </w:pPr>
            <w:r>
              <w:rPr>
                <w:b w:val="0"/>
                <w:color w:val="000000"/>
                <w:sz w:val="20"/>
              </w:rPr>
              <w:t>Vertrauen</w:t>
            </w:r>
          </w:p>
        </w:tc>
        <w:tc>
          <w:tcPr>
            <w:tcW w:type="dxa" w:w="7776"/>
            <w:vAlign w:val="center"/>
            <w:shd w:fill="FFFFFF"/>
            <w:tcMar>
              <w:top w:w="85" w:type="dxa"/>
              <w:bottom w:w="85" w:type="dxa"/>
              <w:left w:w="100" w:type="dxa"/>
              <w:right w:w="100" w:type="dxa"/>
            </w:tcMar>
          </w:tcPr>
          <w:p>
            <w:pPr>
              <w:spacing w:after="0" w:line="252" w:lineRule="auto"/>
            </w:pPr>
            <w:r>
              <w:rPr>
                <w:b w:val="0"/>
                <w:color w:val="000000"/>
                <w:sz w:val="20"/>
              </w:rPr>
              <w:t>Welche Hosts und Herausgeber werden zugelassen, und welche Rechte bleiben offline wirksam?</w:t>
            </w:r>
          </w:p>
        </w:tc>
      </w:tr>
      <w:tr>
        <w:trPr>
          <w:cantSplit/>
        </w:trPr>
        <w:tc>
          <w:tcPr>
            <w:tcW w:type="dxa" w:w="2304"/>
            <w:vAlign w:val="center"/>
            <w:shd w:fill="F3F6F8"/>
            <w:tcMar>
              <w:top w:w="85" w:type="dxa"/>
              <w:bottom w:w="85" w:type="dxa"/>
              <w:left w:w="100" w:type="dxa"/>
              <w:right w:w="100" w:type="dxa"/>
            </w:tcMar>
          </w:tcPr>
          <w:p>
            <w:pPr>
              <w:spacing w:after="0" w:line="252" w:lineRule="auto"/>
              <w:jc w:val="center"/>
            </w:pPr>
            <w:r>
              <w:rPr>
                <w:b w:val="0"/>
                <w:color w:val="000000"/>
                <w:sz w:val="20"/>
              </w:rPr>
              <w:t>Rechenumfang</w:t>
            </w:r>
          </w:p>
        </w:tc>
        <w:tc>
          <w:tcPr>
            <w:tcW w:type="dxa" w:w="7776"/>
            <w:vAlign w:val="center"/>
            <w:shd w:fill="F3F6F8"/>
            <w:tcMar>
              <w:top w:w="85" w:type="dxa"/>
              <w:bottom w:w="85" w:type="dxa"/>
              <w:left w:w="100" w:type="dxa"/>
              <w:right w:w="100" w:type="dxa"/>
            </w:tcMar>
          </w:tcPr>
          <w:p>
            <w:pPr>
              <w:spacing w:after="0" w:line="252" w:lineRule="auto"/>
            </w:pPr>
            <w:r>
              <w:rPr>
                <w:b w:val="0"/>
                <w:color w:val="000000"/>
                <w:sz w:val="20"/>
              </w:rPr>
              <w:t>Welche Problemgrössen, Fehlerbudgets und Laufzeitgrenzen bilden die erste unterstützte Hülle?</w:t>
            </w:r>
          </w:p>
        </w:tc>
      </w:tr>
      <w:tr>
        <w:trPr>
          <w:cantSplit/>
        </w:trPr>
        <w:tc>
          <w:tcPr>
            <w:tcW w:type="dxa" w:w="2304"/>
            <w:vAlign w:val="center"/>
            <w:shd w:fill="FFFFFF"/>
            <w:tcMar>
              <w:top w:w="85" w:type="dxa"/>
              <w:bottom w:w="85" w:type="dxa"/>
              <w:left w:w="100" w:type="dxa"/>
              <w:right w:w="100" w:type="dxa"/>
            </w:tcMar>
          </w:tcPr>
          <w:p>
            <w:pPr>
              <w:spacing w:after="0" w:line="252" w:lineRule="auto"/>
            </w:pPr>
            <w:r>
              <w:rPr>
                <w:b w:val="0"/>
                <w:color w:val="000000"/>
                <w:sz w:val="20"/>
              </w:rPr>
              <w:t>Veröffentlichung</w:t>
            </w:r>
          </w:p>
        </w:tc>
        <w:tc>
          <w:tcPr>
            <w:tcW w:type="dxa" w:w="7776"/>
            <w:vAlign w:val="center"/>
            <w:shd w:fill="FFFFFF"/>
            <w:tcMar>
              <w:top w:w="85" w:type="dxa"/>
              <w:bottom w:w="85" w:type="dxa"/>
              <w:left w:w="100" w:type="dxa"/>
              <w:right w:w="100" w:type="dxa"/>
            </w:tcMar>
          </w:tcPr>
          <w:p>
            <w:pPr>
              <w:spacing w:after="0" w:line="252" w:lineRule="auto"/>
            </w:pPr>
            <w:r>
              <w:rPr>
                <w:b w:val="0"/>
                <w:color w:val="000000"/>
                <w:sz w:val="20"/>
              </w:rPr>
              <w:t>Welche Lizenz gilt, und welche Daten, Abhängigkeiten und Hardwareunterlagen dürfen weitergegeben werden?</w:t>
            </w:r>
          </w:p>
        </w:tc>
      </w:tr>
      <w:tr>
        <w:trPr>
          <w:cantSplit/>
        </w:trPr>
        <w:tc>
          <w:tcPr>
            <w:tcW w:type="dxa" w:w="2304"/>
            <w:vAlign w:val="center"/>
            <w:shd w:fill="F3F6F8"/>
            <w:tcMar>
              <w:top w:w="85" w:type="dxa"/>
              <w:bottom w:w="85" w:type="dxa"/>
              <w:left w:w="100" w:type="dxa"/>
              <w:right w:w="100" w:type="dxa"/>
            </w:tcMar>
          </w:tcPr>
          <w:p>
            <w:pPr>
              <w:spacing w:after="0" w:line="252" w:lineRule="auto"/>
            </w:pPr>
            <w:r>
              <w:rPr>
                <w:b w:val="0"/>
                <w:color w:val="000000"/>
                <w:sz w:val="20"/>
              </w:rPr>
              <w:t>Anschlussfähigkeit</w:t>
            </w:r>
          </w:p>
        </w:tc>
        <w:tc>
          <w:tcPr>
            <w:tcW w:type="dxa" w:w="7776"/>
            <w:vAlign w:val="center"/>
            <w:shd w:fill="F3F6F8"/>
            <w:tcMar>
              <w:top w:w="85" w:type="dxa"/>
              <w:bottom w:w="85" w:type="dxa"/>
              <w:left w:w="100" w:type="dxa"/>
              <w:right w:w="100" w:type="dxa"/>
            </w:tcMar>
          </w:tcPr>
          <w:p>
            <w:pPr>
              <w:spacing w:after="0" w:line="252" w:lineRule="auto"/>
            </w:pPr>
            <w:r>
              <w:rPr>
                <w:b w:val="0"/>
                <w:color w:val="000000"/>
                <w:sz w:val="20"/>
              </w:rPr>
              <w:t>Welche vorhandenen Treiber, WoT-Modelle, Messframeworks und Scheduler werden übernommen?</w:t>
            </w:r>
          </w:p>
        </w:tc>
      </w:tr>
    </w:tbl>
    <w:p>
      <w:pPr>
        <w:spacing w:after="20"/>
      </w:pPr>
    </w:p>
    <w:p>
      <w:pPr>
        <w:pStyle w:val="Heading2"/>
      </w:pPr>
      <w:r>
        <w:rPr>
          <w:lang w:val="de-CH"/>
        </w:rPr>
        <w:t>Aktueller Nachweisstand</w:t>
      </w:r>
    </w:p>
    <w:p>
      <w:r>
        <w:rPr>
          <w:lang w:val="de-CH"/>
        </w:rPr>
        <w:t>Die beschriebenen Architekturentscheidungen sind ein Entwurf. Es wird keine ausgeführte Plattformimplementierung, kein erfolgreicher Cross-Platform-Lauf, keine Hardwarevalidierung, kein Penetrationstest und keine gemessene Kosten- oder Leistungsersparnis behauptet. Bestehende X6- oder andere Projektartefakte gelten nicht automatisch als Nachweis für diesen neuen generischen Plattformumfang.</w:t>
      </w:r>
    </w:p>
    <w:p>
      <w:r>
        <w:rPr>
          <w:lang w:val="de-CH"/>
        </w:rPr>
        <w:t>Die zitierten Quellen stützen die verwendeten Begriffe, Standards und verfügbaren technischen Bausteine. Sie ersetzen keine End-to-End-Prüfung der künftigen Integration. Das Konzept leitet daraus ein eigenständiges, überprüfbares Entwicklungsprogramm ab. Es formuliert keinen Beweis einer allgemeinen Skalierungsgesetzmässigkeit und keinen belegten Marktbedarf.</w:t>
      </w:r>
    </w:p>
    <w:p>
      <w:pPr>
        <w:pStyle w:val="Heading2"/>
      </w:pPr>
      <w:r>
        <w:rPr>
          <w:lang w:val="de-CH"/>
        </w:rPr>
        <w:t>Kriterien für die nächste belastbare Aussage</w:t>
      </w:r>
    </w:p>
    <w:p>
      <w:r>
        <w:rPr>
          <w:lang w:val="de-CH"/>
        </w:rPr>
        <w:t>Nach Stufe B kann beispielsweise berichtet werden, welche drei Apps auf welchen beiden Plattformen mit welchen Abweichungen funktionieren. Nach dem externen Pilot kann der beobachtete Integrationsaufwand mit dem Vergleichsweg gegenübergestellt werden. Für Sicherheitsfunktionen wird der konkrete Mechanismus und Testsatz genannt. Für Messgeräte werden Bereich, Bedingungen und Unsicherheit des tatsächlichen Messaufbaus berichtet.</w:t>
      </w:r>
    </w:p>
    <w:p>
      <w:r>
        <w:rPr>
          <w:lang w:val="de-CH"/>
        </w:rPr>
        <w:t>Die vorgeschlagene nächste Arbeitseinheit ist daher ein eingefrorener Contract-Kandidat mit lokaler Referenzimplementierung und ausführbarer Negativsuite. Sein Erfolg ist eine reproduzierbare, klar begrenzte Demonstration der Wiederverwendung. Erweiterungen werden durch diese Evidenz und durch konkrete Aufgaben der Nutzer begründet.</w:t>
      </w:r>
    </w:p>
    <w:p>
      <w:r>
        <w:rPr>
          <w:lang w:val="de-CH"/>
        </w:rPr>
        <w:br w:type="page"/>
      </w:r>
    </w:p>
    <w:p>
      <w:pPr>
        <w:pStyle w:val="Heading1"/>
      </w:pPr>
      <w:r>
        <w:rPr>
          <w:lang w:val="de-CH"/>
        </w:rPr>
        <w:t>14 Quellen und technische Grundlagen</w:t>
      </w:r>
    </w:p>
    <w:p>
      <w:r>
        <w:rPr>
          <w:lang w:val="de-CH"/>
        </w:rPr>
        <w:t>Abrufstand 14. Oktober 2026. Die Verweise dienen der fachlichen Einordnung. Konkrete Implementierungen müssen Versionen, unterstützte Profile und relevante Errata zum jeweiligen Release festhalten. Die folgenden Quellen sind Standards oder Primärdokumentationen.</w:t>
      </w:r>
    </w:p>
    <w:p>
      <w:pPr>
        <w:keepNext/>
      </w:pPr>
      <w:r>
        <w:rPr>
          <w:b/>
          <w:lang w:val="de-CH"/>
        </w:rPr>
        <w:t>[1] W3C. Web of Things Architecture 1.1.</w:t>
      </w:r>
    </w:p>
    <w:p>
      <w:pPr>
        <w:keepNext/>
        <w:spacing w:after="20"/>
      </w:pPr>
      <w:r>
        <w:rPr>
          <w:lang w:val="de-CH"/>
        </w:rPr>
        <w:t>W3C Recommendation, 5. Dezember 2023. Abstrakte Architektur und Anschluss an bestehende IoT-Systeme.</w:t>
      </w:r>
    </w:p>
    <w:p>
      <w:pPr>
        <w:spacing w:after="180"/>
      </w:pPr>
      <w:hyperlink r:id="rId12">
        <w:r>
          <w:rPr>
            <w:sz w:val="18"/>
            <w:color w:val="244E72"/>
          </w:rPr>
          <w:t>https://www.w3.org/TR/wot-architecture11/</w:t>
        </w:r>
      </w:hyperlink>
    </w:p>
    <w:p>
      <w:pPr>
        <w:keepNext/>
      </w:pPr>
      <w:r>
        <w:rPr>
          <w:b/>
          <w:lang w:val="de-CH"/>
        </w:rPr>
        <w:t>[2] Zephyr Project. Sensing Subsystem.</w:t>
      </w:r>
    </w:p>
    <w:p>
      <w:pPr>
        <w:keepNext/>
        <w:spacing w:after="20"/>
      </w:pPr>
      <w:r>
        <w:rPr>
          <w:lang w:val="de-CH"/>
        </w:rPr>
        <w:t>Offizielle Dokumentation zu Sensorabstraktion, Timing, Scheduling und optionalen Sensordiensten.</w:t>
      </w:r>
    </w:p>
    <w:p>
      <w:pPr>
        <w:spacing w:after="180"/>
      </w:pPr>
      <w:hyperlink r:id="rId13">
        <w:r>
          <w:rPr>
            <w:sz w:val="18"/>
            <w:color w:val="244E72"/>
          </w:rPr>
          <w:t>https://docs.zephyrproject.org/latest/services/sensing/index.html</w:t>
        </w:r>
      </w:hyperlink>
    </w:p>
    <w:p>
      <w:pPr>
        <w:keepNext/>
      </w:pPr>
      <w:r>
        <w:rPr>
          <w:b/>
          <w:lang w:val="de-CH"/>
        </w:rPr>
        <w:t>[3] Bluesky Project. Bluesky Project.</w:t>
      </w:r>
    </w:p>
    <w:p>
      <w:pPr>
        <w:keepNext/>
        <w:spacing w:after="20"/>
      </w:pPr>
      <w:r>
        <w:rPr>
          <w:lang w:val="de-CH"/>
        </w:rPr>
        <w:t>Offizielle Projektbeschreibung zu modularer Experimentsteuerung und wissenschaftlicher Datenerfassung.</w:t>
      </w:r>
    </w:p>
    <w:p>
      <w:pPr>
        <w:spacing w:after="180"/>
      </w:pPr>
      <w:hyperlink r:id="rId14">
        <w:r>
          <w:rPr>
            <w:sz w:val="18"/>
            <w:color w:val="244E72"/>
          </w:rPr>
          <w:t>https://blueskyproject.io/</w:t>
        </w:r>
      </w:hyperlink>
    </w:p>
    <w:p>
      <w:pPr>
        <w:keepNext/>
      </w:pPr>
      <w:r>
        <w:rPr>
          <w:b/>
          <w:lang w:val="de-CH"/>
        </w:rPr>
        <w:t>[4] Dask. Deploy Dask Clusters.</w:t>
      </w:r>
    </w:p>
    <w:p>
      <w:pPr>
        <w:keepNext/>
        <w:spacing w:after="20"/>
      </w:pPr>
      <w:r>
        <w:rPr>
          <w:lang w:val="de-CH"/>
        </w:rPr>
        <w:t>Offizielle Dokumentation zur lokalen und verteilten Ausführung.</w:t>
      </w:r>
    </w:p>
    <w:p>
      <w:pPr>
        <w:spacing w:after="180"/>
      </w:pPr>
      <w:hyperlink r:id="rId15">
        <w:r>
          <w:rPr>
            <w:sz w:val="18"/>
            <w:color w:val="244E72"/>
          </w:rPr>
          <w:t>https://docs.dask.org/en/stable/deploying.html</w:t>
        </w:r>
      </w:hyperlink>
    </w:p>
    <w:p>
      <w:pPr>
        <w:keepNext/>
      </w:pPr>
      <w:r>
        <w:rPr>
          <w:b/>
          <w:lang w:val="de-CH"/>
        </w:rPr>
        <w:t>[5] PostgreSQL. Write Ahead Logging.</w:t>
      </w:r>
    </w:p>
    <w:p>
      <w:pPr>
        <w:keepNext/>
        <w:spacing w:after="20"/>
      </w:pPr>
      <w:r>
        <w:rPr>
          <w:lang w:val="de-CH"/>
        </w:rPr>
        <w:t>Offizielle Dokumentation zur Datenintegrität, Wiederherstellung und WAL-Archivierung.</w:t>
      </w:r>
    </w:p>
    <w:p>
      <w:pPr>
        <w:spacing w:after="180"/>
      </w:pPr>
      <w:hyperlink r:id="rId16">
        <w:r>
          <w:rPr>
            <w:sz w:val="18"/>
            <w:color w:val="244E72"/>
          </w:rPr>
          <w:t>https://www.postgresql.org/docs/current/wal-intro.html</w:t>
        </w:r>
      </w:hyperlink>
    </w:p>
    <w:p>
      <w:pPr>
        <w:keepNext/>
      </w:pPr>
      <w:r>
        <w:rPr>
          <w:b/>
          <w:lang w:val="de-CH"/>
        </w:rPr>
        <w:t>[6] Bytecode Alliance. Wasmtime Security.</w:t>
      </w:r>
    </w:p>
    <w:p>
      <w:pPr>
        <w:keepNext/>
        <w:spacing w:after="20"/>
      </w:pPr>
      <w:r>
        <w:rPr>
          <w:lang w:val="de-CH"/>
        </w:rPr>
        <w:t>Offizielle Dokumentation zu Sandbox, Hostfunktionen und WASI-Berechtigungen.</w:t>
      </w:r>
    </w:p>
    <w:p>
      <w:pPr>
        <w:spacing w:after="180"/>
      </w:pPr>
      <w:hyperlink r:id="rId17">
        <w:r>
          <w:rPr>
            <w:sz w:val="18"/>
            <w:color w:val="244E72"/>
          </w:rPr>
          <w:t>https://docs.wasmtime.dev/security.html</w:t>
        </w:r>
      </w:hyperlink>
    </w:p>
    <w:p>
      <w:pPr>
        <w:keepNext/>
      </w:pPr>
      <w:r>
        <w:rPr>
          <w:b/>
          <w:lang w:val="de-CH"/>
        </w:rPr>
        <w:t>[7] Bytecode Alliance. Deterministic Wasm Execution.</w:t>
      </w:r>
    </w:p>
    <w:p>
      <w:pPr>
        <w:keepNext/>
        <w:spacing w:after="20"/>
      </w:pPr>
      <w:r>
        <w:rPr>
          <w:lang w:val="de-CH"/>
        </w:rPr>
        <w:t>Offizielle Dokumentation zu Hostimports, NaN, Relaxed SIMD und weiteren Nichtdeterminismen.</w:t>
      </w:r>
    </w:p>
    <w:p>
      <w:pPr>
        <w:spacing w:after="180"/>
      </w:pPr>
      <w:hyperlink r:id="rId18">
        <w:r>
          <w:rPr>
            <w:sz w:val="18"/>
            <w:color w:val="244E72"/>
          </w:rPr>
          <w:t>https://docs.wasmtime.dev/examples-deterministic-wasm-execution.html</w:t>
        </w:r>
      </w:hyperlink>
    </w:p>
    <w:p>
      <w:pPr>
        <w:keepNext/>
      </w:pPr>
      <w:r>
        <w:rPr>
          <w:b/>
          <w:lang w:val="de-CH"/>
        </w:rPr>
        <w:t>[8] NIST. Platform Firmware Resiliency Guidelines.</w:t>
      </w:r>
    </w:p>
    <w:p>
      <w:pPr>
        <w:keepNext/>
        <w:spacing w:after="20"/>
      </w:pPr>
      <w:r>
        <w:rPr>
          <w:lang w:val="de-CH"/>
        </w:rPr>
        <w:t>SP 800-193, Mai 2018. Schutz, Erkennung und Wiederherstellung für Plattformfirmware.</w:t>
      </w:r>
    </w:p>
    <w:p>
      <w:pPr>
        <w:spacing w:after="180"/>
      </w:pPr>
      <w:hyperlink r:id="rId19">
        <w:r>
          <w:rPr>
            <w:sz w:val="18"/>
            <w:color w:val="244E72"/>
          </w:rPr>
          <w:t>https://csrc.nist.gov/pubs/sp/800/193/final</w:t>
        </w:r>
      </w:hyperlink>
    </w:p>
    <w:p>
      <w:r>
        <w:rPr>
          <w:lang w:val="de-CH"/>
        </w:rPr>
        <w:br w:type="page"/>
      </w:r>
    </w:p>
    <w:p>
      <w:pPr>
        <w:pStyle w:val="Heading1"/>
      </w:pPr>
      <w:r>
        <w:rPr>
          <w:lang w:val="de-CH"/>
        </w:rPr>
        <w:t>15 Weitere Quellen</w:t>
      </w:r>
    </w:p>
    <w:p>
      <w:pPr>
        <w:keepNext/>
      </w:pPr>
      <w:r>
        <w:rPr>
          <w:b/>
          <w:lang w:val="de-CH"/>
        </w:rPr>
        <w:t>[9] RFC Editor. JSON Canonicalization Scheme.</w:t>
      </w:r>
    </w:p>
    <w:p>
      <w:pPr>
        <w:keepNext/>
        <w:spacing w:after="20"/>
      </w:pPr>
      <w:r>
        <w:rPr>
          <w:lang w:val="de-CH"/>
        </w:rPr>
        <w:t>RFC 8785, Juni 2020, Informational. Kanonische Darstellung von JSON für Hashes und Signaturen.</w:t>
      </w:r>
    </w:p>
    <w:p>
      <w:pPr>
        <w:spacing w:after="180"/>
      </w:pPr>
      <w:hyperlink r:id="rId20">
        <w:r>
          <w:rPr>
            <w:sz w:val="18"/>
            <w:color w:val="244E72"/>
          </w:rPr>
          <w:t>https://www.rfc-editor.org/rfc/rfc8785.html</w:t>
        </w:r>
      </w:hyperlink>
    </w:p>
    <w:p>
      <w:pPr>
        <w:keepNext/>
      </w:pPr>
      <w:r>
        <w:rPr>
          <w:b/>
          <w:lang w:val="de-CH"/>
        </w:rPr>
        <w:t>[10] NIST. Policy on Metrological Traceability.</w:t>
      </w:r>
    </w:p>
    <w:p>
      <w:pPr>
        <w:keepNext/>
        <w:spacing w:after="20"/>
      </w:pPr>
      <w:r>
        <w:rPr>
          <w:lang w:val="de-CH"/>
        </w:rPr>
        <w:t>Rückführbarkeit von Messergebnissen und Bedeutung der Messunsicherheit.</w:t>
      </w:r>
    </w:p>
    <w:p>
      <w:pPr>
        <w:spacing w:after="180"/>
      </w:pPr>
      <w:hyperlink r:id="rId21">
        <w:r>
          <w:rPr>
            <w:sz w:val="18"/>
            <w:color w:val="244E72"/>
          </w:rPr>
          <w:t>https://www.nist.gov/calibrations/traceability</w:t>
        </w:r>
      </w:hyperlink>
    </w:p>
    <w:p>
      <w:pPr>
        <w:keepNext/>
      </w:pPr>
      <w:r>
        <w:rPr>
          <w:b/>
          <w:lang w:val="de-CH"/>
        </w:rPr>
        <w:t>[11] NIST. Module Lattice Based Key Encapsulation Mechanism Standard.</w:t>
      </w:r>
    </w:p>
    <w:p>
      <w:pPr>
        <w:keepNext/>
        <w:spacing w:after="20"/>
      </w:pPr>
      <w:r>
        <w:rPr>
          <w:lang w:val="de-CH"/>
        </w:rPr>
        <w:t>FIPS 203, 13. August 2024. ML-KEM; bei Implementierung aktuelle Errata berücksichtigen.</w:t>
      </w:r>
    </w:p>
    <w:p>
      <w:pPr>
        <w:spacing w:after="180"/>
      </w:pPr>
      <w:hyperlink r:id="rId22">
        <w:r>
          <w:rPr>
            <w:sz w:val="18"/>
            <w:color w:val="244E72"/>
          </w:rPr>
          <w:t>https://csrc.nist.gov/pubs/fips/203/final</w:t>
        </w:r>
      </w:hyperlink>
    </w:p>
    <w:p>
      <w:pPr>
        <w:keepNext/>
      </w:pPr>
      <w:r>
        <w:rPr>
          <w:b/>
          <w:lang w:val="de-CH"/>
        </w:rPr>
        <w:t>[12] NIST. Module Lattice Based Digital Signature Standard.</w:t>
      </w:r>
    </w:p>
    <w:p>
      <w:pPr>
        <w:keepNext/>
        <w:spacing w:after="20"/>
      </w:pPr>
      <w:r>
        <w:rPr>
          <w:lang w:val="de-CH"/>
        </w:rPr>
        <w:t>FIPS 204, 13. August 2024. ML-DSA; bei Implementierung aktuelle Errata berücksichtigen.</w:t>
      </w:r>
    </w:p>
    <w:p>
      <w:pPr>
        <w:spacing w:after="180"/>
      </w:pPr>
      <w:hyperlink r:id="rId23">
        <w:r>
          <w:rPr>
            <w:sz w:val="18"/>
            <w:color w:val="244E72"/>
          </w:rPr>
          <w:t>https://csrc.nist.gov/pubs/fips/204/final</w:t>
        </w:r>
      </w:hyperlink>
    </w:p>
    <w:p>
      <w:pPr>
        <w:keepNext/>
      </w:pPr>
      <w:r>
        <w:rPr>
          <w:b/>
          <w:lang w:val="de-CH"/>
        </w:rPr>
        <w:t>[13] IETF. The Transport Layer Security Protocol Version 1.3.</w:t>
      </w:r>
    </w:p>
    <w:p>
      <w:pPr>
        <w:keepNext/>
        <w:spacing w:after="20"/>
      </w:pPr>
      <w:r>
        <w:rPr>
          <w:lang w:val="de-CH"/>
        </w:rPr>
        <w:t>RFC 8446, August 2018. Transportprotokoll; keine alleinige Referenz für ein Post-Quanten-Profil.</w:t>
      </w:r>
    </w:p>
    <w:p>
      <w:pPr>
        <w:spacing w:after="180"/>
      </w:pPr>
      <w:hyperlink r:id="rId24">
        <w:r>
          <w:rPr>
            <w:sz w:val="18"/>
            <w:color w:val="244E72"/>
          </w:rPr>
          <w:t>https://www.rfc-editor.org/rfc/rfc8446.html</w:t>
        </w:r>
      </w:hyperlink>
    </w:p>
    <w:p>
      <w:pPr>
        <w:keepNext/>
      </w:pPr>
      <w:r>
        <w:rPr>
          <w:b/>
          <w:lang w:val="de-CH"/>
        </w:rPr>
        <w:t>[14] W3C. Web Cryptography API.</w:t>
      </w:r>
    </w:p>
    <w:p>
      <w:pPr>
        <w:keepNext/>
        <w:spacing w:after="20"/>
      </w:pPr>
      <w:r>
        <w:rPr>
          <w:lang w:val="de-CH"/>
        </w:rPr>
        <w:t>Security considerations. Grenzen von Schlüsselzugriff und Verschlüsselung bei Script-Injection.</w:t>
      </w:r>
    </w:p>
    <w:p>
      <w:pPr>
        <w:spacing w:after="180"/>
      </w:pPr>
      <w:hyperlink r:id="rId25">
        <w:r>
          <w:rPr>
            <w:sz w:val="18"/>
            <w:color w:val="244E72"/>
          </w:rPr>
          <w:t>https://www.w3.org/TR/webcrypto/</w:t>
        </w:r>
      </w:hyperlink>
    </w:p>
    <w:p>
      <w:pPr>
        <w:keepNext/>
      </w:pPr>
      <w:r>
        <w:rPr>
          <w:b/>
          <w:lang w:val="de-CH"/>
        </w:rPr>
        <w:t>[15] OWASP. API4 2023 Unrestricted Resource Consumption.</w:t>
      </w:r>
    </w:p>
    <w:p>
      <w:pPr>
        <w:keepNext/>
        <w:spacing w:after="20"/>
      </w:pPr>
      <w:r>
        <w:rPr>
          <w:lang w:val="de-CH"/>
        </w:rPr>
        <w:t>Offizielle Erläuterung von Risiken unbeschränkter Ressourcennutzung.</w:t>
      </w:r>
    </w:p>
    <w:p>
      <w:pPr>
        <w:spacing w:after="180"/>
      </w:pPr>
      <w:hyperlink r:id="rId26">
        <w:r>
          <w:rPr>
            <w:sz w:val="18"/>
            <w:color w:val="244E72"/>
          </w:rPr>
          <w:t>https://api-security.owasp.org/editions/2023/en/0xa4-unrestricted-resource-consumption/</w:t>
        </w:r>
      </w:hyperlink>
    </w:p>
    <w:p>
      <w:pPr>
        <w:keepNext/>
      </w:pPr>
      <w:r>
        <w:rPr>
          <w:b/>
          <w:lang w:val="de-CH"/>
        </w:rPr>
        <w:t>[16] SciPy. scipy.linalg.eigh.</w:t>
      </w:r>
    </w:p>
    <w:p>
      <w:pPr>
        <w:keepNext/>
        <w:spacing w:after="20"/>
      </w:pPr>
      <w:r>
        <w:rPr>
          <w:lang w:val="de-CH"/>
        </w:rPr>
        <w:t>Offizielle Dokumentation zu symmetrischen Eigenwertproblemen, Treibern und numerischen Unterschieden.</w:t>
      </w:r>
    </w:p>
    <w:p>
      <w:pPr>
        <w:spacing w:after="180"/>
      </w:pPr>
      <w:hyperlink r:id="rId27">
        <w:r>
          <w:rPr>
            <w:sz w:val="18"/>
            <w:color w:val="244E72"/>
          </w:rPr>
          <w:t>https://docs.scipy.org/doc/scipy/reference/generated/scipy.linalg.eigh.html</w:t>
        </w:r>
      </w:hyperlink>
    </w:p>
    <w:p>
      <w:pPr>
        <w:keepNext/>
      </w:pPr>
      <w:r>
        <w:rPr>
          <w:b/>
          <w:lang w:val="de-CH"/>
        </w:rPr>
        <w:t>[17] Google Chrome Team. A new path for Kyber on the web.</w:t>
      </w:r>
    </w:p>
    <w:p>
      <w:pPr>
        <w:keepNext/>
        <w:spacing w:after="20"/>
      </w:pPr>
      <w:r>
        <w:rPr>
          <w:lang w:val="de-CH"/>
        </w:rPr>
        <w:t>13. September 2024. Dokumentierte Umstellung auf hybrides ML-KEM in Chrome 131.</w:t>
      </w:r>
    </w:p>
    <w:p>
      <w:pPr>
        <w:spacing w:after="180"/>
      </w:pPr>
      <w:hyperlink r:id="rId28">
        <w:r>
          <w:rPr>
            <w:sz w:val="18"/>
            <w:color w:val="244E72"/>
          </w:rPr>
          <w:t>https://security.googleblog.com/2024/09/a-new-path-for-kyber-on-web.html</w:t>
        </w:r>
      </w:hyperlink>
    </w:p>
    <w:sectPr w:rsidR="00FC693F" w:rsidRPr="0006063C" w:rsidSect="00034616">
      <w:headerReference w:type="default" r:id="rId9"/>
      <w:footerReference w:type="default" r:id="rId10"/>
      <w:pgSz w:w="12240" w:h="15840"/>
      <w:pgMar w:top="1008" w:right="1080" w:bottom="979" w:left="108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14. Oktober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EDGE APPLICATION PLATFORM   |   KONZEPT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2"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8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80" w:line="240" w:lineRule="auto" w:before="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80"/>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w3.org/TR/wot-architecture11/" TargetMode="External"/><Relationship Id="rId13" Type="http://schemas.openxmlformats.org/officeDocument/2006/relationships/hyperlink" Target="https://docs.zephyrproject.org/latest/services/sensing/index.html" TargetMode="External"/><Relationship Id="rId14" Type="http://schemas.openxmlformats.org/officeDocument/2006/relationships/hyperlink" Target="https://blueskyproject.io/" TargetMode="External"/><Relationship Id="rId15" Type="http://schemas.openxmlformats.org/officeDocument/2006/relationships/hyperlink" Target="https://docs.dask.org/en/stable/deploying.html" TargetMode="External"/><Relationship Id="rId16" Type="http://schemas.openxmlformats.org/officeDocument/2006/relationships/hyperlink" Target="https://www.postgresql.org/docs/current/wal-intro.html" TargetMode="External"/><Relationship Id="rId17" Type="http://schemas.openxmlformats.org/officeDocument/2006/relationships/hyperlink" Target="https://docs.wasmtime.dev/security.html" TargetMode="External"/><Relationship Id="rId18" Type="http://schemas.openxmlformats.org/officeDocument/2006/relationships/hyperlink" Target="https://docs.wasmtime.dev/examples-deterministic-wasm-execution.html" TargetMode="External"/><Relationship Id="rId19" Type="http://schemas.openxmlformats.org/officeDocument/2006/relationships/hyperlink" Target="https://csrc.nist.gov/pubs/sp/800/193/final" TargetMode="External"/><Relationship Id="rId20" Type="http://schemas.openxmlformats.org/officeDocument/2006/relationships/hyperlink" Target="https://www.rfc-editor.org/rfc/rfc8785.html" TargetMode="External"/><Relationship Id="rId21" Type="http://schemas.openxmlformats.org/officeDocument/2006/relationships/hyperlink" Target="https://www.nist.gov/calibrations/traceability" TargetMode="External"/><Relationship Id="rId22" Type="http://schemas.openxmlformats.org/officeDocument/2006/relationships/hyperlink" Target="https://csrc.nist.gov/pubs/fips/203/final" TargetMode="External"/><Relationship Id="rId23" Type="http://schemas.openxmlformats.org/officeDocument/2006/relationships/hyperlink" Target="https://csrc.nist.gov/pubs/fips/204/final" TargetMode="External"/><Relationship Id="rId24" Type="http://schemas.openxmlformats.org/officeDocument/2006/relationships/hyperlink" Target="https://www.rfc-editor.org/rfc/rfc8446.html" TargetMode="External"/><Relationship Id="rId25" Type="http://schemas.openxmlformats.org/officeDocument/2006/relationships/hyperlink" Target="https://www.w3.org/TR/webcrypto/" TargetMode="External"/><Relationship Id="rId26" Type="http://schemas.openxmlformats.org/officeDocument/2006/relationships/hyperlink" Target="https://api-security.owasp.org/editions/2023/en/0xa4-unrestricted-resource-consumption/" TargetMode="External"/><Relationship Id="rId27" Type="http://schemas.openxmlformats.org/officeDocument/2006/relationships/hyperlink" Target="https://docs.scipy.org/doc/scipy/reference/generated/scipy.linalg.eigh.html" TargetMode="External"/><Relationship Id="rId28" Type="http://schemas.openxmlformats.org/officeDocument/2006/relationships/hyperlink" Target="https://security.googleblog.com/2024/09/a-new-path-for-kyber-on-web.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Anwendungsunabhängige Plattform für Edge Computing</dc:title>
  <dc:subject>Wissenschaftliches Konzept und ingenieurtechnische Referenzarchitektur</dc:subject>
  <dc:creator/>
  <cp:keywords>Edge Computing, Geräteintegration, Reproduzierbarkeit, Post-Quanten-Kryptografie</cp:keywords>
  <dc:description>Konzeptfassung 0.1. Anforderungen und Prüfprogramm; keine Implementierungsfreigabe.</dc:description>
  <cp:lastModifiedBy/>
  <cp:revision>1</cp:revision>
  <dcterms:created xsi:type="dcterms:W3CDTF">2013-12-23T23:15:00Z</dcterms:created>
  <dcterms:modified xsi:type="dcterms:W3CDTF">2013-12-23T23:15:00Z</dcterms:modified>
  <cp:category/>
</cp:coreProperties>
</file>