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Kristall Sagnac Schleife</w:t>
        <w:br/>
        <w:t>und Kristallofen</w:t>
      </w:r>
    </w:p>
    <w:p>
      <w:pPr>
        <w:pStyle w:val="Subtitle"/>
      </w:pPr>
      <w:r>
        <w:t>Technische Spezifikation für den photonischen Zwei Qubit Aufbau</w:t>
      </w:r>
    </w:p>
    <w:p>
      <w:r>
        <w:t>Projekt Thomas Gfeller · ACVM O02 · O02 KSO 01 · Revision 0.1</w:t>
        <w:br/>
        <w:t>15. Oktober 2026</w:t>
      </w:r>
    </w:p>
    <w:p>
      <w:r>
        <w:t>Diese Spezifikation konkretisiert die drei offenen Quellenbauteile des ACVM Optikprofils 0.2: den Typ-II-ppKTP-Kristall, die gegenläufig durchlaufene Sagnac-Schleife einschliesslich ihrer Spiegel und die temperaturgeregelte Kristallaufnahme. Sie legt ein zusammenhängendes Anfrageprofil, mechanische und optische Schnittstellen sowie messbare Abnahmekriterien fest.</w:t>
      </w:r>
    </w:p>
    <w:p>
      <w:r>
        <w:t>Vorgesehen ist eine kollineare Quelle mit nominell 405 nm Pumplicht und zwei Photonen um 810 nm. Die Basisauslegung verwendet einen 10 mm langen Kristall, eine gemeinsame Dreiecksschleife und einen lokal geregelten Ofen. Die konkrete Polungsperiode und Phasenanpassungstemperatur werden an die gemessene Pumpenwellenlänge gebunden.</w:t>
      </w:r>
    </w:p>
    <w:p>
      <w:pPr>
        <w:pStyle w:val="Heading2"/>
      </w:pPr>
      <w:r>
        <w:t>Entscheidungen dieser Revision</w:t>
      </w:r>
    </w:p>
    <w:tbl>
      <w:tblPr>
        <w:tblW w:type="auto" w:w="0"/>
        <w:jc w:val="center"/>
        <w:tblLayout w:type="fixed"/>
        <w:tblLook w:firstColumn="1" w:firstRow="1" w:lastColumn="0" w:lastRow="0" w:noHBand="0" w:noVBand="1" w:val="04A0"/>
      </w:tblPr>
      <w:tblGrid>
        <w:gridCol w:w="2304"/>
        <w:gridCol w:w="7632"/>
      </w:tblGrid>
      <w:tr>
        <w:trPr>
          <w:tblHeader/>
          <w:cantSplit/>
        </w:trPr>
        <w:tc>
          <w:tcPr>
            <w:tcW w:type="dxa" w:w="2304"/>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Bauteil</w:t>
            </w:r>
          </w:p>
        </w:tc>
        <w:tc>
          <w:tcPr>
            <w:tcW w:type="dxa" w:w="7632"/>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Festgelegte Auslegung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O02-K1</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Typ-II-ppKTP; Kristalllänge 10,0 mm; bidirektionaler Betrieb; Anfrageziel für Entartung bei 40 °C.</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O02-L1 und M1 M2</w:t>
            </w:r>
          </w:p>
        </w:tc>
        <w:tc>
          <w:tcPr>
            <w:tcW w:type="dxa" w:w="763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Eine gemeinsame Schleife mit CW und CCW. Dreieck 120 / 120 / 169,71 mm. Spiegel AOI 22,5° zur Normalen.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O02-O1</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Heizofen mit lokalem PID. Zu qualifizierender Bereich 30–60 °C; zunächst Ofenklasse ±0,1 K am Sensor.</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Beschaffungsstatus</w:t>
            </w:r>
          </w:p>
        </w:tc>
        <w:tc>
          <w:tcPr>
            <w:tcW w:type="dxa" w:w="763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Anfragefähig. Lieferantenzusage, freigegebene Zeichnungen und reale Abnahme stehen aus.</w:t>
            </w:r>
          </w:p>
        </w:tc>
      </w:tr>
    </w:tbl>
    <w:p/>
    <w:p>
      <w:pPr>
        <w:pStyle w:val="Heading2"/>
      </w:pPr>
      <w:r>
        <w:t>Bedeutung der Zahlen</w:t>
      </w:r>
    </w:p>
    <w:p>
      <w:r>
        <w:t>A bezeichnet eine gewählte Projektanforderung, L einen Literaturbefund und H eine veröffentlichte Herstellerangabe. R bezeichnet eine eigene Auslegungsrechnung. A-Werte sind keine gemessenen Geräteeigenschaften. Sämtliche in dieser Fassung definierten Laborprüfungen haben den Status NOT_RUN.</w:t>
      </w:r>
    </w:p>
    <w:p>
      <w:r>
        <w:t>Die wissenschaftliche Grundlage ist die experimentell etablierte Typ-II-Sagnac-Quelle [1, 2]. Der Projektanschluss folgt HARDWARE.md und CALIBRATION.md des veröffentlichten ACVM-Profils [7]. Diese Spezifikation ersetzt weder eine Laborabnahme noch einen Nachweis schneller photonischer Operationen.</w:t>
      </w:r>
    </w:p>
    <w:p>
      <w:r>
        <w:br w:type="page"/>
      </w:r>
    </w:p>
    <w:p>
      <w:pPr>
        <w:pStyle w:val="Heading1"/>
      </w:pPr>
      <w:r>
        <w:t>1 Kristall und Phasenanpassung</w:t>
      </w:r>
    </w:p>
    <w:p>
      <w:r>
        <w:t>K1 wird als einzelner, periodisch gepolter KTiOPO₄-Kristall mit kollinearer Typ-II-SPDC angefragt. In der üblichen Achsenkonvention erfolgt die Ausbreitung entlang x, mit orthogonalen y- und z-Polarisationen der Tochterphotonen. Der Lieferant bestätigt Pumpenpolarisation, Kristallachsen, Polungsrichtung und Einbaulage auf der Zeichnung. [2, 3]</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Merkmal</w:t>
            </w:r>
          </w:p>
        </w:tc>
        <w:tc>
          <w:tcPr>
            <w:tcW w:type="dxa" w:w="8136"/>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Anforderung 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Prozess</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Erste QPM-Ordnung; Typ II, typischerweise y → y + z; beide Ausbreitungsrichtungen ±x qualifizieren.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Wellenlänge</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λp* am realen, thermisch stabilen Laser messen. Entartungsziel λs = λi = 2 λp*. Nominell 405 → 810 + 810 nm.</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Länge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10,0 ±0,1 mm entlang x; aktive gepolte Länge separat bestätigen.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Apertur</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Garantiert nutzbare, gepolte und beschichtete freie Apertur ≥2,0 mm entlang y ×1,0 mm entlang z. Aussenmasse und Randzonen sind zusätzliche Zeichnungsmasse.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Temperatur</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Anfrageziel Tdeg = 40 °C bei λp*. Akzeptierbares Angebotsfenster 35–50 °C; endgültiger Wert chargenbezogen bestätigen.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Polungsperiode</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Vom Hersteller für λp*, Tdeg und Typ II auslegen. Periode, Bezugstemperatur, Toleranz, Tastverhältnis und Homogenität dokumentieren.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Beschichtung</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Beide Endflächen dual AR: R ≤0,5 % je Fläche bei λp* und im genutzten Tochterphotonenspektrum, für die tatsächlich genutzten Polarisationen; nahe Normalinzidenz.</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Oberflächen</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Ziel Ebenheit λ/6 bei 633 nm; Oberflächenqualität 20-10 scratch-dig oder vereinbarte gleichwertige Prüfvorschrift. Keil und Achsfehler angeben.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Leistungsfreigabe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Zulässige CW-Intensität bei 405 nm, Beschichtungsgrenze, Temperaturgrenzen und Rampenrate schriftlich bestätigen.</w:t>
            </w:r>
          </w:p>
        </w:tc>
      </w:tr>
    </w:tbl>
    <w:p/>
    <w:p>
      <w:r>
        <w:t>Die Herstellerangabe „typische Apertur 1×2 mm“ [3] belegt keine ebenso grosse freie Nutzfläche. Falls nur ein 10×2×1-mm-Körper angeboten wird, muss dessen kleinere garantierte Nutzfläche ausdrücklich bewertet werden. Der Halter wird erst nach der verbindlichen Aussenmasszeichnung gefertigt.</w:t>
      </w:r>
    </w:p>
    <w:p>
      <w:pPr>
        <w:pStyle w:val="Heading2"/>
      </w:pPr>
      <w:r>
        <w:t>Physikalischer Vertrag</w:t>
      </w:r>
    </w:p>
    <w:p>
      <w:r>
        <w:t>Energieerhaltung: 1/λp = 1/λs + 1/λi. Für eine gewählte Ausbreitungsrichtung lautet die skalare QPM-Bedingung Δk = kp − ks − ki − 2π/Λ(T) = 0, mit kj = 2π nj(λj,T)/λj. Bei Richtungsumkehr ist das Vorzeichen des passenden reziproken Gittervektors mitzuführen. Das vereinfachte homogene Modell liefert eine spektrale Phasenanpassung proportional zu sinc²(Δk L/2), mit sinc(x)=sin(x)/x.</w:t>
      </w:r>
    </w:p>
    <w:p>
      <w:r>
        <w:t>Eine universelle Bestellperiode ist nicht begründbar: Kim et al. verwendeten 10,0 µm bei 404,96 nm und etwa 28,87 °C [1]; Cai et al. berichten für ihr Typ-II-System 9,825 µm und 92,5 °C [2]. 3,425 µm aus Typ-0-Aufbauten [5] ist keine Ersatzspezifikation. Die endgültige Freigabe erfolgt über das gemessene Spektrum und die Tuningkurve, nicht allein über Λ.</w:t>
      </w:r>
    </w:p>
    <w:p>
      <w:r>
        <w:br w:type="page"/>
      </w:r>
    </w:p>
    <w:p>
      <w:pPr>
        <w:pStyle w:val="Heading1"/>
      </w:pPr>
      <w:r>
        <w:t>2 Gemeinsame Schleife und Geometrie</w:t>
      </w:r>
    </w:p>
    <w:p>
      <w:r>
        <w:t>„Schleifen“ bezeichnet hier die beiden gegenläufigen Wege CW und CCW auf demselben optischen Umlauf. A und B sind die beiden Ausgangsarme. Eine zusätzliche Faser-Verzögerungsschleife ist für diese Quelle nicht erforderlich. Die Schleife ist kein Resonator. Temperatur- und optische Regelkreise werden getrennt spezifiziert.</w:t>
      </w:r>
    </w:p>
    <w:p>
      <w:r>
        <w:drawing>
          <wp:inline xmlns:a="http://schemas.openxmlformats.org/drawingml/2006/main" xmlns:pic="http://schemas.openxmlformats.org/drawingml/2006/picture">
            <wp:extent cx="6217920" cy="3281680"/>
            <wp:docPr id="1" name="Picture 1"/>
            <wp:cNvGraphicFramePr>
              <a:graphicFrameLocks noChangeAspect="1"/>
            </wp:cNvGraphicFramePr>
            <a:graphic>
              <a:graphicData uri="http://schemas.openxmlformats.org/drawingml/2006/picture">
                <pic:pic>
                  <pic:nvPicPr>
                    <pic:cNvPr id="0" name="loop.png"/>
                    <pic:cNvPicPr/>
                  </pic:nvPicPr>
                  <pic:blipFill>
                    <a:blip r:embed="rId10"/>
                    <a:stretch>
                      <a:fillRect/>
                    </a:stretch>
                  </pic:blipFill>
                  <pic:spPr>
                    <a:xfrm>
                      <a:off x="0" y="0"/>
                      <a:ext cx="6217920" cy="3281680"/>
                    </a:xfrm>
                    <a:prstGeom prst="rect"/>
                  </pic:spPr>
                </pic:pic>
              </a:graphicData>
            </a:graphic>
          </wp:inline>
        </w:drawing>
      </w:r>
    </w:p>
    <w:p>
      <w:pPr>
        <w:pStyle w:val="Caption"/>
      </w:pPr>
      <w:r>
        <w:t>Abbildung 1. Paraxiale Strahlmittelpunkte in mm. Der eingezeichnete Pfeil ist eine Umlaufrichtung; die Gegenrichtung nutzt dieselben Strecken. Bauteilkörper, Brechung in Platten und Montagefreiräume sind noch kein CAD-Nachweis.</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Element</w:t>
            </w:r>
          </w:p>
        </w:tc>
        <w:tc>
          <w:tcPr>
            <w:tcW w:type="dxa" w:w="8136"/>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Geometrische Festlegung 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PBS / M1 / M2</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PBS (0,0); M1 (120,0); M2 (0,120). Gemeinsame Strahlhöhe zunächst 50 mm über dem Breadboard; Ofenzeichnung entscheidet endgültig.</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Kristall / HWP</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Kristallzentrum (60,60) auf der Diagonale. Dual-HWP z. B. (88,32), also auf genau einer Seite des Kristalls. Halterkollisionen vor Fertigung prüfen.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Mechanik</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XY-Justage des Kristalls mindestens ±2 mm, axiale Fokusjustage ±5 mm, Pitch/Yaw mindestens ±2°. Klemmung nach der optischen Justage.</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Unterbau</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Gemeinsames metrisches Breadboard, Startgrösse mindestens 300×300 mm nur für das Quellenmodul; Analysearme und Pumpe benötigen zusätzlichen Platz.</w:t>
            </w:r>
          </w:p>
        </w:tc>
      </w:tr>
    </w:tbl>
    <w:p/>
    <w:p>
      <w:r>
        <w:t>Die Dreieckswinkel sind 90°, 45° und 45°. Die Richtungsänderung an jedem Aussenspiegel beträgt 135°, somit ist AOI = (180°−135°)/2 = 22,5° zur Flächennormalen. Die geometrische Umlauflänge beträgt 409,71 mm, der Weg PBS–Kristall je Seite 204,85 mm. Das sind geometrische Längen, keine optischen Gruppenlaufzeiten. [R]</w:t>
      </w:r>
    </w:p>
    <w:p>
      <w:r>
        <w:t>Damit konkretisiert diese Revision das frühere O02-M1-Profil: Seine Angabe 45° wird für diese Geometrie durch 22,5° ersetzt. Wer 45°-Spiegel einsetzen will, muss einen anderen geschlossenen Strahlverlauf auslegen. Eine Beschichtung für 45° wird nicht ohne neuen Nachweis bei 22,5° eingesetzt.</w:t>
      </w:r>
    </w:p>
    <w:p>
      <w:r>
        <w:br w:type="page"/>
      </w:r>
    </w:p>
    <w:p>
      <w:pPr>
        <w:pStyle w:val="Heading1"/>
      </w:pPr>
      <w:r>
        <w:t>3 Schleifenoptik und Modenabgleich</w:t>
      </w:r>
    </w:p>
    <w:tbl>
      <w:tblPr>
        <w:tblW w:type="auto" w:w="0"/>
        <w:jc w:val="center"/>
        <w:tblLayout w:type="fixed"/>
        <w:tblLook w:firstColumn="1" w:firstRow="1" w:lastColumn="0" w:lastRow="0" w:noHBand="0" w:noVBand="1" w:val="04A0"/>
      </w:tblPr>
      <w:tblGrid>
        <w:gridCol w:w="1944"/>
        <w:gridCol w:w="7992"/>
      </w:tblGrid>
      <w:tr>
        <w:trPr>
          <w:tblHeader/>
          <w:cantSplit/>
        </w:trPr>
        <w:tc>
          <w:tcPr>
            <w:tcW w:type="dxa" w:w="1944"/>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Komponente</w:t>
            </w:r>
          </w:p>
        </w:tc>
        <w:tc>
          <w:tcPr>
            <w:tcW w:type="dxa" w:w="7992"/>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Anfrage und Abnahme A</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M1 und M2</w:t>
            </w:r>
          </w:p>
        </w:tc>
        <w:tc>
          <w:tcPr>
            <w:tcW w:type="dxa" w:w="79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Je ein ebener Frontflächenspiegel, UV-Fused-Silica, Ø25,4 mm, Dicke 6,0 ±0,2 mm, freie Apertur ≥20 mm. Haltertasche auf diese Dicke auslegen.</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HR-Beschichtung</w:t>
            </w:r>
          </w:p>
        </w:tc>
        <w:tc>
          <w:tcPr>
            <w:tcW w:type="dxa" w:w="799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AOI 22,5° ±1°; R ≥99,5 % für s und p über 403–407 nm sowie 800–820 nm. Spektralkurven und Messunsicherheit liefern.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Spiegelfläche</w:t>
            </w:r>
          </w:p>
        </w:tc>
        <w:tc>
          <w:tcPr>
            <w:tcW w:type="dxa" w:w="79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Ziel λ/10 PV Oberflächenform bei 633 nm über der Nutzfläche, Messdefinition bestätigen; Ziel 20-10 scratch-dig.</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Polarisationsphase</w:t>
            </w:r>
          </w:p>
        </w:tc>
        <w:tc>
          <w:tcPr>
            <w:tcW w:type="dxa" w:w="799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φs−φp und deren Wellenlängenabhängigkeit angeben, wenn verfügbar. Keine Nullphase voraussetzen; resultierende Jones-Matrizen am Aufbau messen.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PBS und HWP</w:t>
            </w:r>
          </w:p>
        </w:tc>
        <w:tc>
          <w:tcPr>
            <w:tcW w:type="dxa" w:w="79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Bestehende Kandidaten PBS0025-405/810 und WPD03-H810-H405 aus [7]. Beide Farben und Richtungen prüfen. Dual-HWP nominal 45° zur lokalen H/V-Basis: Tausch von H und V. H810-F405 hat eine andere Funktion.</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Projektziele Polarisationsoptik</w:t>
            </w:r>
          </w:p>
        </w:tc>
        <w:tc>
          <w:tcPr>
            <w:tcW w:type="dxa" w:w="799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PBS: nutzbarer T- bzw. R-Port ≥95 %, Extinktion ≥1000:1 bei 810 nm und ≥100:1 bei 405 nm. Dual-HWP: |δ−π| ≤0,05 rad modulo 2π im genutzten Spektrum. Keine bestätigten Katalogwerte.</w:t>
            </w:r>
          </w:p>
        </w:tc>
      </w:tr>
    </w:tbl>
    <w:p/>
    <w:p>
      <w:r>
        <w:t>Für M1/M2 ist eine kundenspezifische Anfrage z. B. bei EKSMA möglich [6]; eine bestätigte Artikelnummer liegt nicht vor. Ein 405-nm-HR/810-nm-HT-Dichroit ist funktional ungeeignet als gemeinsamer Schleifenspiegel. Alle Winkel beziehen sich auf die Flächennormale. Statische Phasen können kalibriert werden; spektrale oder zeitliche Schwankungen können Kohärenz reduzieren.</w:t>
      </w:r>
    </w:p>
    <w:p>
      <w:pPr>
        <w:pStyle w:val="Heading2"/>
      </w:pPr>
      <w:r>
        <w:t>Fokus und Leistung</w:t>
      </w:r>
    </w:p>
    <w:p>
      <w:r>
        <w:t>Startwert A: Pumpenradius w0 = 100 ±20 µm als 1/e²-Intensitätsradius im Kristallzentrum, in beiden Richtungen gleich. Die Fokussierung bleibt schwach; der Fokus wird mit gemessenem Strahlparameter und ABCD-Modell eingestellt. Eine Brennweite von etwa 150–300 mm ist lediglich ein Auslegungsbereich, keine fertig bestimmte Linse.</w:t>
      </w:r>
    </w:p>
    <w:p>
      <w:r>
        <w:t>Mit beispielhaft n=1,8, M²=1 und λp=405 nm ergibt zR=πnw0²/λp ≈140 mm, somit L/(2zR)≈0,036. Der Brechungsindex ist hier nur eine Rechenannahme. Bei 5 mW pro Richtung ergibt I0=2P/(πw0²)=31,8 W/cm². Für zwei gleich starke kohärente Gegenwellen ist lokal bis zu 4I0 möglich. Diese Rechnung ist kein Schadensnachweis. [R]</w:t>
      </w:r>
    </w:p>
    <w:p>
      <w:r>
        <w:t>Inbetriebnahme zunächst 0,1–1 mW am Kristall je aktiver Richtung. Bis 5 mW je Richtung erst nach Leistungsfreigabe und Prüfung von Mehrpaarbeitrag, Detektortotzeit und Sättigung. Die nominelle Laserleistung von 100 mW wird nicht als Arbeitspunkt übernommen.</w:t>
      </w:r>
    </w:p>
    <w:p>
      <w:pPr>
        <w:pStyle w:val="Heading2"/>
      </w:pPr>
      <w:r>
        <w:t>Überlappung</w:t>
      </w:r>
    </w:p>
    <w:p>
      <w:r>
        <w:t>CW und CCW müssen an Kristall und Ausgängen räumlich, spektral, zeitlich und polarimetrisch ununterscheidbar werden. Für identische Gaußmoden am gemeinsamen Waist gilt näherungsweise ηsp=exp[−(d/w)²−(πwθ/λ)²]. Die Justageziele d≤0,1w und θ≤0,1λ/(πw) ergeben ηsp≥0,980 im Modell. Reale Aberrationen, Fokusversatz und spektrale Phase bleiben gesondert zu prüfen. Klassische Interferenz allein belegt keine Verschränkung.</w:t>
      </w:r>
    </w:p>
    <w:p>
      <w:r>
        <w:br w:type="page"/>
      </w:r>
    </w:p>
    <w:p>
      <w:pPr>
        <w:pStyle w:val="Heading1"/>
      </w:pPr>
      <w:r>
        <w:t>4 Ofen und Kristallaufnahme</w:t>
      </w:r>
    </w:p>
    <w:p>
      <w:r>
        <w:t>O1 ist eine temperaturstabilisierte Kristallaufnahme mit freiem optischem Zugang von beiden Seiten. Für den ersten Laboraufbau wird ein kommerziell abgestimmtes Ofen-Regler-Paar bevorzugt. HC Photonics TC-038D mit OV-30D ist ein prüfbarer Kandidat: Der Hersteller nennt PID, 0,1 °C Einstellschritt, ±0,1 °C Stabilität, Umgebung bis 200 °C und USB. Die Angabe 24 V/60 W betrifft die maximale Versorgung des Systems. [4]</w:t>
      </w:r>
    </w:p>
    <w:tbl>
      <w:tblPr>
        <w:tblW w:type="auto" w:w="0"/>
        <w:jc w:val="center"/>
        <w:tblLayout w:type="fixed"/>
        <w:tblLook w:firstColumn="1" w:firstRow="1" w:lastColumn="0" w:lastRow="0" w:noHBand="0" w:noVBand="1" w:val="04A0"/>
      </w:tblPr>
      <w:tblGrid>
        <w:gridCol w:w="2088"/>
        <w:gridCol w:w="7848"/>
      </w:tblGrid>
      <w:tr>
        <w:trPr>
          <w:tblHeader/>
          <w:cantSplit/>
        </w:trPr>
        <w:tc>
          <w:tcPr>
            <w:tcW w:type="dxa" w:w="2088"/>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Merkmal</w:t>
            </w:r>
          </w:p>
        </w:tc>
        <w:tc>
          <w:tcPr>
            <w:tcW w:type="dxa" w:w="7848"/>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Projektanforderung A</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Arbeitsfenster</w:t>
            </w:r>
          </w:p>
        </w:tc>
        <w:tc>
          <w:tcPr>
            <w:tcW w:type="dxa" w:w="78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30–60 °C qualifizieren; Laborumgebung 18–28 °C. Mit reinem Heizer muss Tset mindestens 5 K über der jeweils höchsten Umgebungstemperatur liegen.</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Betriebspunkt</w:t>
            </w:r>
          </w:p>
        </w:tc>
        <w:tc>
          <w:tcPr>
            <w:tcW w:type="dxa" w:w="784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Tset = chargenbezogen gemessenes Tdeg; Anfrageziel 40 °C. Ein 92,5-°C-Kristall passt nicht unverändert zu diesem Projektprofil.</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Temperaturstabilität</w:t>
            </w:r>
          </w:p>
        </w:tc>
        <w:tc>
          <w:tcPr>
            <w:tcW w:type="dxa" w:w="78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Bei festem Sollwert zunächst ±0,10 K um den stationären Mittelwert über 60 min; unabhängige Messung. Das funktionale Budget in Abschnitt 5 kann enger werden.</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Absolute Messung</w:t>
            </w:r>
          </w:p>
        </w:tc>
        <w:tc>
          <w:tcPr>
            <w:tcW w:type="dxa" w:w="784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Kalibrierte Sensorkette; erweiterte Unsicherheit U(T) ≤0,10 K als Ziel. Mittlere Abweichung zum Sollwert einschliesslich U ≤0,20 K.</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Räumliche Gleichförmigkeit</w:t>
            </w:r>
          </w:p>
        </w:tc>
        <w:tc>
          <w:tcPr>
            <w:tcW w:type="dxa" w:w="78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Ziel: maximaler axialer Temperaturunterschied ≤0,20 K über 10 mm. Dummy-/Haltervermessung plus optischer Test; nicht aus dem Reglerdisplay ableiten.</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Temperaturrampe</w:t>
            </w:r>
          </w:p>
        </w:tc>
        <w:tc>
          <w:tcPr>
            <w:tcW w:type="dxa" w:w="784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Projektlimit zunächst 0,5 K/min; langsamere Herstellergrenze hat Vorrang. Automatische Freigabe erst nach Einschwingen und Stabilitätsprüfung.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Schutz</w:t>
            </w:r>
          </w:p>
        </w:tc>
        <w:tc>
          <w:tcPr>
            <w:tcW w:type="dxa" w:w="78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Unabhängiger Übertemperaturpfad; für dieses Profil Abschaltziel 65 °C, sofern alle Bauteile mindestens bis 70 °C freigegeben sind. Fühlerbruch/-kurzschluss und unkontrolliertes Heizen prüfen.</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Daten</w:t>
            </w:r>
          </w:p>
        </w:tc>
        <w:tc>
          <w:tcPr>
            <w:tcW w:type="dxa" w:w="7848"/>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Istwert, Sollwert, Heizerleistung bzw. Stellgrad, Alarm, lokaler Zeitstempel und Sensoridentität. USB allein belegt keinen vorhandenen ACVM-Adapter.</w:t>
            </w:r>
          </w:p>
        </w:tc>
      </w:tr>
    </w:tbl>
    <w:p/>
    <w:p>
      <w:pPr>
        <w:pStyle w:val="Heading2"/>
      </w:pPr>
      <w:r>
        <w:t>Mechanische Ausführung</w:t>
      </w:r>
    </w:p>
    <w:p>
      <w:r>
        <w:t>Eine wärmeleitende Kupfer- oder Messingaufnahme verteilt die Wärme über die Kristalllänge. Der Kristall liegt an unbeschichteten Seitenflächen an; eine nachgiebige, vom Kristallhersteller freigegebene Halterung vermeidet Klemmspannung. Keine Schraube drückt auf eine optische Stirnfläche. Klebstoff, Wärmeleitpaste und Kontaktfolien nur mit schriftlicher Material- und Kontaminationsfreigabe.</w:t>
      </w:r>
    </w:p>
    <w:p>
      <w:r>
        <w:t>Regelfühler dicht am Kristallsitz, separater Schutzfühler am thermisch ungünstigen Punkt. Isolierende Aussenhülle und thermische Entkopplung zum Breadboard reduzieren Gradienten und Lufterwärmung. Für einen Eigenbau sind Pt100 in Vierleitertechnik oder eine kalibrierte Thermistorkette geeignet; beim Kaufgerät gilt dessen dokumentierte Sensorarchitektur. Ein- und Austrittsöffnungen dürfen den Strahl und die Justage nicht beschneiden. Keine zusätzlichen Ofenfenster ohne optischen Bedarf.</w:t>
      </w:r>
    </w:p>
    <w:p>
      <w:r>
        <w:br w:type="page"/>
      </w:r>
    </w:p>
    <w:p>
      <w:pPr>
        <w:pStyle w:val="Heading1"/>
      </w:pPr>
      <w:r>
        <w:t>5 Thermische und optische Regelkreise</w:t>
      </w:r>
    </w:p>
    <w:p>
      <w:pPr>
        <w:pStyle w:val="Heading2"/>
      </w:pPr>
      <w:r>
        <w:t>Thermisches Modell und Dimensionierung</w:t>
      </w:r>
    </w:p>
    <w:p>
      <w:r>
        <w:t>Ein erster Entwurf verwendet Ceff·dT/dt = Ph + Pabs − G·(T−Tamb). Ceff ist die effektive Wärmekapazität in J/K, G der Wärmeleitwert in W/K. Dieses Ein-Knoten-Modell beschreibt weder axiale Gradienten noch die Temperaturdifferenz zwischen Sensor und Kristall vollständig. Ceff, G, Verzögerung und gegebenenfalls weitere Zeitkonstanten werden durch sichere Heizsprünge identifiziert.</w:t>
      </w:r>
    </w:p>
    <w:p>
      <w:r>
        <w:t>Rechenbeispiel R: Ceff=30 J/K, G=0,12 W/K und 20 K Temperaturhub ergeben 2,4 W stationären Bedarf und τ=Ceff/G=250 s. Eine Rampe von 0,5 K/min benötigt zusätzlich 0,25 W. Ein auf 10 W begrenzter Heizer hätte in diesem Beispiel Reserve; daraus folgt keine bestätigte Ofenleistung. Ein Eigenbau erhält erst nach Messung und Abschaltprüfung seine endgültige Leistungsbegrenzung.</w:t>
      </w:r>
    </w:p>
    <w:p>
      <w:pPr>
        <w:pStyle w:val="Heading2"/>
      </w:pPr>
      <w:r>
        <w:t>Lokale Temperaturregelung</w:t>
      </w:r>
    </w:p>
    <w:p>
      <w:r>
        <w:t>Ein lokaler PI/PID-Regler arbeitet unabhängig von Browser und Host. Anti-Windup, begrenzte Stellleistung, begrenzte Sollwertrampe und gefilterte Messung sind erforderlich. PID-Koeffizienten werden erst aus der gemessenen Strecke bestimmt. Das Reglerupdate muss deutlich schneller als die thermische Dynamik sein; 2–10 Hz ist ein Startbereich für einen Eigenbau, kein übertragbarer Tuningwert.</w:t>
      </w:r>
    </w:p>
    <w:p>
      <w:r>
        <w:t>Zustände: OFF → RAMP → SETTLE → READY. Jeder ungültige Sensorwert, Hardwarealarm oder unerlaubte Temperatur führt zu FAULT; Heizung und Pumpenfreigabe werden unterbrochen, der Fehler bleibt verriegelt. Kein automatischer Neustart. Bei Hostverlust hält nur der qualifizierte lokale Regler seine Schutzfunktion aufrecht; die Messfreigabe erlischt. Ein Software-STOP garantiert keine Strahlunterbrechung.</w:t>
      </w:r>
    </w:p>
    <w:p>
      <w:pPr>
        <w:pStyle w:val="Heading2"/>
      </w:pPr>
      <w:r>
        <w:t>Funktionales Temperaturbudget</w:t>
      </w:r>
    </w:p>
    <w:p>
      <w:r>
        <w:t>Aus dem Temperaturscan wird ΔTPM als FWHM der definierten, leistungsnormierten Phasenanpassungsantwort bei festem Detektionsspektrum bestimmt. Zusätzlich wird kφ = dφ/dT am Arbeitspunkt gemessen. Ein vorläufiges Schwankungsbudget ist εT ≤ min(0,10 K; 0,05·ΔTPM; 0,05 rad/|kφ|). Der Phasenterm ist nur mit belastbar bestimmtem kφ nutzbar; Unsicherheit und Nichtlinearität sind einzubeziehen.</w:t>
      </w:r>
    </w:p>
    <w:p>
      <w:r>
        <w:t>Die ±0,1-K-Ofenklasse ist deshalb eine Startauswahl. Verlangt das gemessene Budget beispielsweise ±0,02 K, wird ein genauerer Regler/Sensor samt thermischer Aufnahme qualifiziert. Eine feinere Displayauflösung allein schliesst die Lücke nicht. Räumliche Gradienten und ein stabiler Sensoroffset werden separat bilanziert.</w:t>
      </w:r>
    </w:p>
    <w:p>
      <w:pPr>
        <w:pStyle w:val="Heading2"/>
      </w:pPr>
      <w:r>
        <w:t>Optische Schleifen</w:t>
      </w:r>
    </w:p>
    <w:p>
      <w:r>
        <w:t>Die Sagnac-Geometrie reduziert gemeinsame Weglängendrift; sie ersetzt keine Driftmessung von Polarisation, Temperatur, Fokus und spektraler Überlappung. [1] Zunächst wird passiv charakterisiert. Eine langsame Quellenregelung darf erst danach Pumpenbalance oder relative Polarisationsphase nachführen. Ein Polarisationsphasenschieber gehört nicht automatisch in die gemeinsame Schleife; Wirkung und Reihenfolge sind mit Jones-Modell und Messung festzulegen.</w:t>
      </w:r>
    </w:p>
    <w:p>
      <w:r>
        <w:t>Der bestehende ACVM-Leistungsregelkreis mit ELL14 und PM100D ist ein klassischer 810-nm-Prüfkanal [7]. Er regelt weder den Ofen noch die Verschränkung. Neue Temperatur- oder Quellenadapter benötigen eigene Protokoll-, Fehler- und Hardwaretests. Schnelles photonisches Feed-forward bleibt eine separate Entwicklung.</w:t>
      </w:r>
    </w:p>
    <w:p>
      <w:r>
        <w:br w:type="page"/>
      </w:r>
    </w:p>
    <w:p>
      <w:pPr>
        <w:pStyle w:val="Heading1"/>
      </w:pPr>
      <w:r>
        <w:t>6 Kalibrierung und Messablauf</w:t>
      </w:r>
    </w:p>
    <w:p>
      <w:r>
        <w:t>Kalibrierläufe dienen der Einstellung. Spätere Abnahmeläufe verwenden eingefrorene Parameter und getrennte Aufnahmeblöcke. Alle Rohzeitstempel, Spektren und Temperaturverläufe bleiben erhalten, einschliesslich Anlauf, Ausfällen und verworfenen Blöcken mit vorab festgelegtem Grund.</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Schritt</w:t>
            </w:r>
          </w:p>
        </w:tc>
        <w:tc>
          <w:tcPr>
            <w:tcW w:type="dxa" w:w="8136"/>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Durchführung und Ergebnis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1 Eingangsdaten</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Seriennummern, Achsenzeichnung, aktive Länge, Λ und Bezugstemperatur, Beschichtungskurven, zulässige Leistung sowie Ofen-/Halterzeichnung archivieren. λp* und dessen Drift messen.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2 Ofen ohne SPDC</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Bei z. B. 35, 40 und 50 °C stationäre Haltephasen aufnehmen. Unabhängiger Fühler, zwei Messorte am Dummy und definierte Umgebung. Heizsprünge, Rampen und Fehlerszenarien prüfen.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3 Klassische Justage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Mit geeigneter schwacher Referenz und abgetrennten Einzelphotonendetektoren Strahlmitten, Fokus, Polarisation und Durchsatz beider Richtungen messen. Nach Ofenerwärmung erneut prüfen.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4 Richtung einzeln</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CW und CCW getrennt pumpen. Pumpenleistung am Kristall, Spektren beider Polarisationen, Einzel-/Koinzidenzraten und Hintergrund erfassen. Keine Richtung allein als Bell-Quelle deklarieren.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5 Temperaturtuning</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Im bestätigten Herstellerfenster grob in 0,5-K-Schritten scannen; Feinscan mit ≤min(0,1 K; ΔTPM/10), soweit Gerät und Unsicherheit das erlauben. Pro Punkt thermisch ausgleichen. Gröbere Geräteauflösung erfordert neues Messkonzept.</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6 Gemeinsamer Betrieb</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Gewichte der beiden Erzeugungswege angleichen, spektrale Zentren und Formen vergleichen, relative Phase kalibrieren. Pumpenbalance aus normierten Paarbeiträgen bestimmen; gleiche Eingangsleistung allein reicht nicht.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7 Zeitmessung</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Detektoroffsets, Jitter, Totzeit und Zählverluste unabhängig charakterisieren. Koinzidenzfenster vor der Abnahme einfrieren. Unfallkoinzidenzen mit verschobenem Zeitfenster separat schätzen.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8 Neue Prüfläufe</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Mindestens drei unabhängige Messblöcke an verschiedenen Start-/Temperaturzyklen. H/V, D/A und R/L sowie CHSH-Einstellungen erfassen. Zeitliche Drift durch verschachtelte Messreihen kontrollieren.</w:t>
            </w:r>
          </w:p>
        </w:tc>
      </w:tr>
    </w:tbl>
    <w:p/>
    <w:p>
      <w:pPr>
        <w:pStyle w:val="Heading2"/>
      </w:pPr>
      <w:r>
        <w:t>Messmodell der Quelle</w:t>
      </w:r>
    </w:p>
    <w:p>
      <w:r>
        <w:t>Im idealisierten Paar-Unterraum kann der Zustand als |ψ⟩ ∝ |H⟩A|V⟩B + r·exp(iφ)|V⟩A|H⟩B beschrieben werden. Für perfekte übrige Freiheitsgrade ist die balancebedingte Sichtbarkeit 2r/(1+r²). Reale Überlappung γ und zufällige Phasenänderungen reduzieren die Kohärenz zusätzlich. Für Gauß-verteilte Phasenschwankungen ist der Faktor exp(−σφ²/2). Diese Teilmodelle sind Diagnosehilfen, keine vollständige Fehlergarantie.</w:t>
      </w:r>
    </w:p>
    <w:p>
      <w:r>
        <w:t>Pumpenunterdrückung wird als Gesamtkette gemessen. Die Anforderungen an Sperrung und zulässiges Restlicht werden aus dem konkreten Detektor und dessen Datenblatt abgeleitet. Nominelle Filter-OD werden ohne Streulicht- und Leckpfadprüfung nicht addiert. Die bereits geforderte Laser-Einhausung und unabhängige Pumpenunterbrechung gehören zur Inbetriebnahme. [7]</w:t>
      </w:r>
    </w:p>
    <w:p>
      <w:r>
        <w:br w:type="page"/>
      </w:r>
    </w:p>
    <w:p>
      <w:pPr>
        <w:pStyle w:val="Heading1"/>
      </w:pPr>
      <w:r>
        <w:t>7 Abnahmekriterien</w:t>
      </w:r>
    </w:p>
    <w:p>
      <w:r>
        <w:t>Alle Grenzwerte sind vorläufige Projektkriterien A und vor dem ersten Abnahmelauf einzufrieren. Für eine obere Fehlergrenze b gilt PASS nur, wenn e+U≤b; bei klarer Überschreitung FAIL, bei Grenzüberlappung INCONCLUSIVE. U bezeichnet eine passende erweiterte Unsicherheit, keine automatisch aus einer Anzeige abgeleitete Genauigkeit.</w:t>
      </w:r>
    </w:p>
    <w:tbl>
      <w:tblPr>
        <w:tblW w:type="auto" w:w="0"/>
        <w:jc w:val="center"/>
        <w:tblLayout w:type="fixed"/>
        <w:tblLook w:firstColumn="1" w:firstRow="1" w:lastColumn="0" w:lastRow="0" w:noHBand="0" w:noVBand="1" w:val="04A0"/>
      </w:tblPr>
      <w:tblGrid>
        <w:gridCol w:w="1224"/>
        <w:gridCol w:w="8712"/>
      </w:tblGrid>
      <w:tr>
        <w:trPr>
          <w:tblHeader/>
          <w:cantSplit/>
        </w:trPr>
        <w:tc>
          <w:tcPr>
            <w:tcW w:type="dxa" w:w="1224"/>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ID</w:t>
            </w:r>
          </w:p>
        </w:tc>
        <w:tc>
          <w:tcPr>
            <w:tcW w:type="dxa" w:w="8712"/>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Prüfgegenstand und PASS Bedingung</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KSO01</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K1-Lieferunterlagen vollständig; Typ II, λp*, Tdeg, freie Apertur, AR und beidseitige Verwendung bestätigt. Abweichungen vor Montage freigegeben.</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KSO02</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Beide Richtungen zeigen Typ-II-SPDC im vereinbarten Fenster. |λs−λi| einschliesslich Unsicherheit ≤0,1×min(FWHMs,FWHMi) als spektrales Vorziel. Gemeinsame Phase/Moden separat prüfen.</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KSO03</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Spiegel erfüllen vereinbarte R-Grenzen für beide Polarisationen/Farben bei tatsächlichem AOI. Gesamte Quellenoptik ohne ungeklärte Polarisationsleckage oder Clipping.</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KSO04</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Geometrie geschlossen, Strahlhöhe/Fokus protokolliert. Klassischer Modenüberlappungswert ηsp≥0,98 als Ziel, mit definiertem Messverfahren und Unsicherheit; kein Quantenstatus daraus.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KSO05</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Nach Balancekorrektur normierte Paarbeiträge CW/CCW im Verhältnis 0,90–1,10 einschliesslich Unsicherheit. Einzelbeiträge in derselben Detektionskonfiguration messen.</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KSO06</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Ofenstabilität über 60 min erfüllt εT aus Abschnitt 5; stationäre Sollabweichung und axiale Gleichförmigkeit erfüllen Abschnitt 4. Sensor- und Kristalltemperaturbezug dokumentiert.</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KSO07</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Aufheiz-/Abkühlzyklen wiederholbar. READY erst bei stabilem 5-min-Fenster und |dT/dt|≤0,02 K/min, jeweils mit geeigneter Messauflösung. Ziel Einschwingzeit ≤30 min nach 5-K-Schritt.</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KSO08</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Sensorunterbruch, Kurzschluss, Hostverlust, Reset und Übertemperatur erzeugen den festgelegten sicheren Zustand. Hardwareabschaltung unabhängig nachgewiesen; kein automatischer Wiederanlauf.</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KSO09</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In unabhängigen Quantenmessungen vorläufig Vraw≥0,95 in H/V und D/A, jeweils mit Unsicherheit. R/L ergänzend. Rohzählungen und korrigierte Werte getrennt; keine Wertgarantie.</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KSO10</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CHSH: untere 95-%-Konfidenzgrenze von |S| &gt;2 bei vorab festgelegten Einstellungen und Analyse. Detektions-/Postselektionsannahmen nennen; kein schlupflochfreier Bell-Test behaupten.</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KSO11</w:t>
            </w:r>
          </w:p>
        </w:tc>
        <w:tc>
          <w:tcPr>
            <w:tcW w:type="dxa" w:w="87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60-min-Drifttest ohne Nachjustage: Ziel σφ≤0,10 rad sowie ≤5 % Drift der pumpennormierten Paarhelligkeit. Zählrauschen, fehlende Daten und Unwrap-Verfahren berücksichtigen.</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KSO12</w:t>
            </w:r>
          </w:p>
        </w:tc>
        <w:tc>
          <w:tcPr>
            <w:tcW w:type="dxa" w:w="8712"/>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Reproduzierbare Experimentakte mit Geräteprofil, Kalibrierung, Rohdaten, Softwareversion, Kriterien und Unsicherheit. Physische Test-ID eindeutig von Softwaretests getrennt.</w:t>
            </w:r>
          </w:p>
        </w:tc>
      </w:tr>
    </w:tbl>
    <w:p/>
    <w:p>
      <w:r>
        <w:t>Status aller zwölf Prüfungen: NOT_RUN. Temperatur-, Raten- und Phasenzeitreihen sind korreliert; Unsicherheiten müssen unabhängige Blöcke bzw. ein geprüftes Zeitreihenmodell berücksichtigen. Sichtbarkeit allein ist kein allgemeiner Verschränkungsbeweis. Optional kann Bell-Fidelity F mit unterer Konfidenzgrenze &gt;0,5 einen passenden Zeugen liefern, wenn Tomografie und Messmodell validiert sind.</w:t>
      </w:r>
    </w:p>
    <w:p>
      <w:r>
        <w:br w:type="page"/>
      </w:r>
    </w:p>
    <w:p>
      <w:pPr>
        <w:pStyle w:val="Heading1"/>
      </w:pPr>
      <w:r>
        <w:t>8 Anfrageunterlagen und Schnittstellen</w:t>
      </w:r>
    </w:p>
    <w:p>
      <w:pPr>
        <w:pStyle w:val="Heading2"/>
      </w:pPr>
      <w:r>
        <w:t>Drei zusammenhängende Lieferpositionen</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Position</w:t>
            </w:r>
          </w:p>
        </w:tc>
        <w:tc>
          <w:tcPr>
            <w:tcW w:type="dxa" w:w="7560"/>
            <w:vAlign w:val="center"/>
            <w:shd w:fill="24495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b/>
                <w:color w:val="FFFFFF"/>
                <w:sz w:val="19"/>
              </w:rPr>
              <w:t>Anfrageumfang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K1 an Kristallhersteller</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Ein Typ-II-ppKTP nach Seite 2, λp* mit Messunsicherheit, gewünschtes Tdeg-Fenster, bidirektionale Sagnac-Nutzung. Angebot muss Geometrie, aktive Apertur, Beschichtungen, Temperaturtuning und alle Abweichungen nennen.</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M1 M2 an Optikhersteller</w:t>
            </w:r>
          </w:p>
        </w:tc>
        <w:tc>
          <w:tcPr>
            <w:tcW w:type="dxa" w:w="7560"/>
            <w:vAlign w:val="center"/>
            <w:shd w:fill="F2F5F7"/>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Zwei gleichartige Dual-HR-Spiegel nach Seite 4, AOI 22,5° ±1°, beide Polarisationen, beide Bänder. Reflexionsspektren, Formfehlerprüfung und verfügbare Phaseninformationen anfordern.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O1 an Ofenhersteller</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20" w:before="20" w:line="247" w:lineRule="auto"/>
            </w:pPr>
            <w:r>
              <w:rPr>
                <w:sz w:val="19"/>
              </w:rPr>
              <w:t>Ofen, Regler, Sensoren, geeigneter K1-Halter und Kabel als kompatibles Set. Zwei optische Zugänge, Zeichnung/STEP, Regelbereich, Stabilitätsdefinition, Sensorposition und Abschaltverhalten bestätigen.</w:t>
            </w:r>
          </w:p>
        </w:tc>
      </w:tr>
    </w:tbl>
    <w:p/>
    <w:p>
      <w:r>
        <w:t>Die Anfrageunterlagen können vor einer Bestellung verwendet werden. Ein Angebot, das einzelne Anforderungen nicht erfüllt, wird als Abweichung bewertet. Es wird keine bestätigte Lieferbarkeit, kein Preis und keine Passgenauigkeit zwischen Raicol-Kristall und HCP-Ofen vorausgesetzt.</w:t>
      </w:r>
    </w:p>
    <w:p>
      <w:pPr>
        <w:pStyle w:val="Heading2"/>
      </w:pPr>
      <w:r>
        <w:t>Mechanische Freigabe</w:t>
      </w:r>
    </w:p>
    <w:p>
      <w:r>
        <w:t>Die verbindliche K1-Zeichnung führt Aussenmasse, aktive Länge, Achsen, Endflächen, nutzbare Apertur und zulässige Kontaktzonen. O1 ergänzt Auflage, Haltekraft/-verfahren, Sensororte, Öffnungen und Strahlhöhe. L1 ergänzt reale Bauteilumrisse, Einstellwege, Kabelabgänge und Abstände. Der Strahlentwurf auf Seite 3 ist die Grundlage für diese Baugruppe; er ersetzt ihre Kollisionsprüfung nicht.</w:t>
      </w:r>
    </w:p>
    <w:p>
      <w:pPr>
        <w:pStyle w:val="Heading2"/>
      </w:pPr>
      <w:r>
        <w:t>ACVM Datenvertrag als Erweiterungsvorschlag</w:t>
      </w:r>
    </w:p>
    <w:p>
      <w:r>
        <w:t>Eine spätere Temperaturintegration zeichnet mindestens run_id, timestamp, temperature_sensor_C, temperature_setpoint_C, ambient_C, heater_fraction oder heater_power_W, controller_state, sensor_id, calibration_id und alarm_code auf. Gemessene und vom Gerät gemeldete Werte erhalten getrennte Herkunftskennzeichen. Ein neuer Schemaname und Adapter werden erst mit der Implementierung vergeben.</w:t>
      </w:r>
    </w:p>
    <w:p>
      <w:r>
        <w:t>READY ist ein freigegebener Messzustand und darf nicht aus „USB verbunden“ oder „Sollwert gesendet“ abgeleitet werden. Der Host kann einen begrenzten Sollwert anfordern; lokaler Regler und unabhängiger Schutz überwachen die reale Temperatur. Ein Ofen-Sensor misst nicht automatisch die effektive Temperatur des gesamten optisch genutzten Kristallvolumens.</w:t>
      </w:r>
    </w:p>
    <w:p>
      <w:pPr>
        <w:pStyle w:val="Heading2"/>
      </w:pPr>
      <w:r>
        <w:t>Offene Freigaben mit klarer Schliessbedingung</w:t>
      </w:r>
    </w:p>
    <w:p>
      <w:r>
        <w:t>1. Pumpenwellenlänge: reale Messung einschliesslich Drift. 2. Kristall: verbindliches Angebot mit chargenbezogener Phasenanpassung. 3. Spiegel: angebotene 22,5°-Beschichtung mit R-Nachweis. 4. Ofen: bestätigte Halterkompatibilität und messbares Stabilitäts-/Gradientenbudget. 5. Gesamtquelle: KSO01 bis KSO12 ausführen. Die optische Leistungsfähigkeit wird erst durch diese Messungen belegt.</w:t>
      </w:r>
    </w:p>
    <w:p>
      <w:r>
        <w:t>Die vorgeschlagene 35–50-°C-Kristallauslegung ist ein bewusstes Beschaffungsziel für den Heizofen. Liefert der Hersteller Entartung nur ausserhalb dieses Fensters, werden Kristall- und Ofenprofil gemeinsam revidiert. Eine beliebige Temperaturänderung bei unverändertem Kristall erzeugt nicht automatisch entartete 810-nm-Photonen.</w:t>
      </w:r>
    </w:p>
    <w:p>
      <w:r>
        <w:br w:type="page"/>
      </w:r>
    </w:p>
    <w:p>
      <w:pPr>
        <w:pStyle w:val="Heading1"/>
      </w:pPr>
      <w:r>
        <w:t>9 Quellen und Nachweisgrenzen</w:t>
      </w:r>
    </w:p>
    <w:p>
      <w:r>
        <w:t>Externe Quellen sind Primärpublikationen oder Herstellerunterlagen. Zugriff: 15. Oktober 2026. Literaturwerte werden nicht als Messergebnisse des Projekts übernommen; Herstellerangaben stehen unter den jeweiligen Prüfbedingungen. Die neu festgelegten A-Werte sind Projektentscheidungen.</w:t>
      </w:r>
    </w:p>
    <w:p>
      <w:r>
        <w:rPr>
          <w:b/>
        </w:rPr>
        <w:t xml:space="preserve">[1] Kim T, Fiorentino M, Wong FNC. </w:t>
      </w:r>
      <w:r>
        <w:t>Phase-stable source of polarization-entangled photons using a polarization Sagnac interferometer. Physical Review A 73, 012316 (2006). DOI 10.1103/PhysRevA.73.012316. Grundlage für die Typ-II-Topologie und die physikalische Phasenbetrachtung.</w:t>
      </w:r>
    </w:p>
    <w:p>
      <w:pPr>
        <w:spacing w:after="140"/>
      </w:pPr>
      <w:r>
        <w:rPr>
          <w:sz w:val="16"/>
        </w:rPr>
        <w:t>https://arxiv.org/abs/quant-ph/0509219</w:t>
      </w:r>
    </w:p>
    <w:p>
      <w:r>
        <w:rPr>
          <w:b/>
        </w:rPr>
        <w:t xml:space="preserve">[2] Cai N et al. </w:t>
      </w:r>
      <w:r>
        <w:t>Broadband-laser-diode pumped periodically poled potassium titanyl phosphate-Sagnac polarization-entangled photon source. JOSA B 39, 77–82 (2022). DOI 10.1364/JOSAB.437808. Beispiel für chargen-/auslegungsabhängige Periode und Temperatur.</w:t>
      </w:r>
    </w:p>
    <w:p>
      <w:pPr>
        <w:spacing w:after="140"/>
      </w:pPr>
      <w:r>
        <w:rPr>
          <w:sz w:val="16"/>
        </w:rPr>
        <w:t>https://opg.optica.org/josab/abstract.cfm?uri=josab-39-1-77</w:t>
      </w:r>
    </w:p>
    <w:p>
      <w:r>
        <w:rPr>
          <w:b/>
        </w:rPr>
        <w:t xml:space="preserve">[3] Raicol. </w:t>
      </w:r>
      <w:r>
        <w:t>ppKTP Crystal sowie ppKTP Selection Guide. Dokumentiert anwendungsspezifische Auslegung und typische Produktdaten, aber keine Bestätigung unserer vollständigen Auftragsspezifikation.</w:t>
      </w:r>
    </w:p>
    <w:p>
      <w:pPr>
        <w:spacing w:after="140"/>
      </w:pPr>
      <w:r>
        <w:rPr>
          <w:sz w:val="16"/>
        </w:rPr>
        <w:t>https://raicol.com/product/quantum-components/ppktp</w:t>
        <w:br/>
        <w:t>https://raicol-quantum.com/2022/08/03/ppktp-selection-guide/</w:t>
      </w:r>
    </w:p>
    <w:p>
      <w:r>
        <w:rPr>
          <w:b/>
        </w:rPr>
        <w:t xml:space="preserve">[4] HC Photonics. </w:t>
      </w:r>
      <w:r>
        <w:t>Accessories, Temperature controller TC-038D and Oven. Herstellerangaben für die Ofenklasse; keine Qualifikation unseres Kristall-Halter-Verbunds.</w:t>
      </w:r>
    </w:p>
    <w:p>
      <w:pPr>
        <w:spacing w:after="140"/>
      </w:pPr>
      <w:r>
        <w:rPr>
          <w:sz w:val="16"/>
        </w:rPr>
        <w:t>https://www.hcphotonics.com/accessories</w:t>
      </w:r>
    </w:p>
    <w:p>
      <w:r>
        <w:rPr>
          <w:b/>
        </w:rPr>
        <w:t xml:space="preserve">[5] Terashima H et al. </w:t>
      </w:r>
      <w:r>
        <w:t>Quantum interferometric generation of polarization entangled photons. Scientific Reports 8, 15733 (2018). DOI 10.1038/s41598-018-33876-z. Typ-0-Beispiel mit 3,425 µm; dient nur zur Abgrenzung.</w:t>
      </w:r>
    </w:p>
    <w:p>
      <w:pPr>
        <w:spacing w:after="140"/>
      </w:pPr>
      <w:r>
        <w:rPr>
          <w:sz w:val="16"/>
        </w:rPr>
        <w:t>https://www.nature.com/articles/s41598-018-33876-z</w:t>
      </w:r>
    </w:p>
    <w:p>
      <w:r>
        <w:rPr>
          <w:b/>
        </w:rPr>
        <w:t xml:space="preserve">[6] EKSMA Optics. </w:t>
      </w:r>
      <w:r>
        <w:t>Mirrors. Hersteller beschreibt kundenspezifische Beschichtung und Fertigung. Keine bestätigte Artikelnummer oder Lieferzusage für O02-M1/M2.</w:t>
      </w:r>
    </w:p>
    <w:p>
      <w:pPr>
        <w:spacing w:after="140"/>
      </w:pPr>
      <w:r>
        <w:rPr>
          <w:sz w:val="16"/>
        </w:rPr>
        <w:t>https://www.eksmaoptics.com/c/mirrors/15</w:t>
      </w:r>
    </w:p>
    <w:p>
      <w:r>
        <w:rPr>
          <w:b/>
        </w:rPr>
        <w:t xml:space="preserve">[7] Projektquelle ACVM Optik 0.2. </w:t>
      </w:r>
      <w:r>
        <w:t>HARDWARE.md und CALIBRATION.md, abgerufen am 15.10.2026. HARDWARE-Inhaltskennung SHA-1 37401e15d3dc2fe6603347124967ee8125814dde. Anschluss an das nominelle 405/810-nm-Profil und getrennte physische Abnahme.</w:t>
      </w:r>
    </w:p>
    <w:p>
      <w:pPr>
        <w:spacing w:after="140"/>
      </w:pPr>
      <w:r>
        <w:rPr>
          <w:sz w:val="16"/>
        </w:rPr>
        <w:t>https://github.com/thomasmgfeller/x6-spectral-astrolabium/blob/main/docs/acvm/optical-v0.2/HARDWARE.md</w:t>
        <w:br/>
        <w:t>https://github.com/thomasmgfeller/x6-spectral-astrolabium/blob/main/docs/acvm/optical-v0.2/CALIBRATION.md</w:t>
      </w:r>
    </w:p>
    <w:p>
      <w:pPr>
        <w:pStyle w:val="Heading2"/>
      </w:pPr>
      <w:r>
        <w:t>Rechenkontrolle und Geltungsbereich</w:t>
      </w:r>
    </w:p>
    <w:p>
      <w:r>
        <w:t>Spiegelwinkel und Weglängen wurden aus den angegebenen Strahlvektoren numerisch nachgerechnet. Gaußstrahl-, Intensitäts- und Ein-Knoten-Ofenbeispiele wurden arithmetisch geprüft. Nicht gerechnet wurden eine chargengenaue Sellmeier-/Thermooptik-Auslegung, vollständige Strahlverfolgung, Beschichtungsdispersion, thermische FEM oder eine Paarhelligkeitsprognose. Dafür sind die verbindlichen Bauteildaten erforderlich.</w:t>
      </w:r>
    </w:p>
    <w:p>
      <w:r>
        <w:t>Die Spezifikation ermöglicht gezielte Lieferantenanfragen und eine prüfbare Detailkonstruktion. Sie ist kein Nachweis vorhandener, funktionierender Quantenhardware und keine Beschaffungs- oder Fertigungsfreigabe.</w:t>
      </w:r>
    </w:p>
    <w:sectPr w:rsidR="00FC693F" w:rsidRPr="0006063C" w:rsidSect="00034616">
      <w:footerReference w:type="default" r:id="rId9"/>
      <w:pgSz w:w="12240" w:h="15840"/>
      <w:pgMar w:top="936" w:right="1123" w:bottom="936"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O02 KSO 01 · Revision 0.1 · 15.10.2026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Kristall Sagnac Schleife und Kristallofen</dc:title>
  <dc:subject>ACVM O02 technische Spezifikation Revision 0.1</dc:subject>
  <dc:creator>Thomas Gfeller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