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0B216" w14:textId="77777777" w:rsidR="00112D33" w:rsidRPr="00DB35A9" w:rsidRDefault="00000000">
      <w:pPr>
        <w:pStyle w:val="Title"/>
        <w:rPr>
          <w:rFonts w:asciiTheme="minorHAnsi" w:hAnsiTheme="minorHAnsi" w:cstheme="minorHAnsi"/>
        </w:rPr>
      </w:pPr>
      <w:r w:rsidRPr="00DB35A9">
        <w:rPr>
          <w:rFonts w:asciiTheme="minorHAnsi" w:hAnsiTheme="minorHAnsi" w:cstheme="minorHAnsi"/>
        </w:rPr>
        <w:t>Pricing, Control Years, and Contract Value</w:t>
      </w:r>
    </w:p>
    <w:p w14:paraId="08EC9AEE" w14:textId="77777777" w:rsidR="00112D33" w:rsidRPr="00DB35A9" w:rsidRDefault="00000000">
      <w:pPr>
        <w:rPr>
          <w:rFonts w:asciiTheme="minorHAnsi" w:hAnsiTheme="minorHAnsi" w:cstheme="minorHAnsi"/>
        </w:rPr>
      </w:pPr>
      <w:r w:rsidRPr="00DB35A9">
        <w:rPr>
          <w:rFonts w:asciiTheme="minorHAnsi" w:hAnsiTheme="minorHAnsi" w:cstheme="minorHAnsi"/>
        </w:rPr>
        <w:t>The player model estimates what a player's projected production would command in salary and subtracts the contract's cap cost. For future seasons, it weights that production value by the probability that the player remains in the NHL and discounts the resulting surplus to the valuation date. If the player remains under restricted-free-agent control after the contract expires, the model also adds the expected surplus from those additional years.</w:t>
      </w:r>
    </w:p>
    <w:p w14:paraId="780051DD" w14:textId="77777777" w:rsidR="00112D33" w:rsidRPr="00DB35A9" w:rsidRDefault="00000000">
      <w:pPr>
        <w:pStyle w:val="Heading1"/>
        <w:rPr>
          <w:rFonts w:asciiTheme="minorHAnsi" w:hAnsiTheme="minorHAnsi" w:cstheme="minorHAnsi"/>
        </w:rPr>
      </w:pPr>
      <w:r w:rsidRPr="00DB35A9">
        <w:rPr>
          <w:rFonts w:asciiTheme="minorHAnsi" w:hAnsiTheme="minorHAnsi" w:cstheme="minorHAnsi"/>
        </w:rPr>
        <w:t>1. Turning Wins into Dollars</w:t>
      </w:r>
    </w:p>
    <w:p w14:paraId="3F518088" w14:textId="77777777" w:rsidR="00112D33" w:rsidRPr="00DB35A9" w:rsidRDefault="00000000">
      <w:pPr>
        <w:rPr>
          <w:rFonts w:asciiTheme="minorHAnsi" w:hAnsiTheme="minorHAnsi" w:cstheme="minorHAnsi"/>
        </w:rPr>
      </w:pPr>
      <w:r w:rsidRPr="00DB35A9">
        <w:rPr>
          <w:rFonts w:asciiTheme="minorHAnsi" w:hAnsiTheme="minorHAnsi" w:cstheme="minorHAnsi"/>
        </w:rPr>
        <w:t>The skater price equation is estimated on 2,349 contracts starting from 2018 through 2025. Both salary and the league minimum are measured as shares of that season's salary cap. Using cap shares makes contracts from different salary environments comparable.</w:t>
      </w:r>
    </w:p>
    <w:p w14:paraId="34BCA704" w14:textId="77777777" w:rsidR="00112D33" w:rsidRPr="00DB35A9" w:rsidRDefault="00000000">
      <w:pPr>
        <w:rPr>
          <w:rFonts w:asciiTheme="minorHAnsi" w:hAnsiTheme="minorHAnsi" w:cstheme="minorHAnsi"/>
        </w:rPr>
      </w:pPr>
      <w:r w:rsidRPr="00DB35A9">
        <w:rPr>
          <w:rFonts w:asciiTheme="minorHAnsi" w:hAnsiTheme="minorHAnsi" w:cstheme="minorHAnsi"/>
        </w:rPr>
        <w:t>Of the 2,349 contracts, 529 pay the league minimum. A player cannot be paid less than that amount, even if his production would otherwise command a lower salary. The model handles this constraint with a censored regression, also called a Tobit model. For salaries above the minimum, it measures how closely the equation predicts observed pay. For minimum-salary contracts, it measures how likely the equation is to place the player at or below the minimum. This retains those observations without treating the salary floor as an unrestricted market price.</w:t>
      </w:r>
    </w:p>
    <w:p w14:paraId="4460147A" w14:textId="77777777" w:rsidR="00112D33" w:rsidRPr="00DB35A9" w:rsidRDefault="00000000">
      <w:pPr>
        <w:rPr>
          <w:rFonts w:asciiTheme="minorHAnsi" w:hAnsiTheme="minorHAnsi" w:cstheme="minorHAnsi"/>
        </w:rPr>
      </w:pPr>
      <w:r w:rsidRPr="00DB35A9">
        <w:rPr>
          <w:rFonts w:asciiTheme="minorHAnsi" w:hAnsiTheme="minorHAnsi" w:cstheme="minorHAnsi"/>
        </w:rPr>
        <w:t>The calculation assumes that underlying price changes in a straight line with production and that unexplained differences around that line follow a bell-shaped distribution.</w:t>
      </w:r>
    </w:p>
    <w:p w14:paraId="34FE65DC" w14:textId="77777777" w:rsidR="00112D33" w:rsidRPr="00DB35A9" w:rsidRDefault="00000000">
      <w:pPr>
        <w:rPr>
          <w:rFonts w:asciiTheme="minorHAnsi" w:hAnsiTheme="minorHAnsi" w:cstheme="minorHAnsi"/>
        </w:rPr>
      </w:pPr>
      <w:r w:rsidRPr="00DB35A9">
        <w:rPr>
          <w:rFonts w:asciiTheme="minorHAnsi" w:hAnsiTheme="minorHAnsi" w:cstheme="minorHAnsi"/>
        </w:rPr>
        <w:t>The sample begins in 2018 because earlier contract coverage is thin. The export contains 63, 223, and 452 contracts starting in 2015, 2016, and 2017, compared with roughly 700 a year afterward. The estimation uses the later window for its broader coverage.</w:t>
      </w:r>
    </w:p>
    <w:p w14:paraId="1E968516" w14:textId="0C17CB53" w:rsidR="00112D33" w:rsidRPr="00DB35A9" w:rsidRDefault="00000000">
      <w:pPr>
        <w:rPr>
          <w:rFonts w:asciiTheme="minorHAnsi" w:hAnsiTheme="minorHAnsi" w:cstheme="minorHAnsi"/>
        </w:rPr>
      </w:pPr>
      <w:r w:rsidRPr="00DB35A9">
        <w:rPr>
          <w:rFonts w:asciiTheme="minorHAnsi" w:hAnsiTheme="minorHAnsi" w:cstheme="minorHAnsi"/>
        </w:rPr>
        <w:t xml:space="preserve">The equation gives a player at zero WAR a price of about 1.325% of the cap. Each projected win adds 2.123% of the cap for a forward or 2.410% for a defenceman. </w:t>
      </w:r>
    </w:p>
    <w:p w14:paraId="0F7C6082" w14:textId="77777777" w:rsidR="00112D33" w:rsidRPr="00DB35A9" w:rsidRDefault="00000000">
      <w:pPr>
        <w:rPr>
          <w:rFonts w:asciiTheme="minorHAnsi" w:hAnsiTheme="minorHAnsi" w:cstheme="minorHAnsi"/>
        </w:rPr>
      </w:pPr>
      <w:r w:rsidRPr="00DB35A9">
        <w:rPr>
          <w:rFonts w:asciiTheme="minorHAnsi" w:hAnsiTheme="minorHAnsi" w:cstheme="minorHAnsi"/>
        </w:rPr>
        <w:t>At a $95.5 million cap, a two-win forward is priced at about $5.32 million: $1.265 million at zero WAR plus two wins at $2.028 million each. A two-win defenceman is priced at about $5.87 million. Subtracting a $4 million cap hit leaves $1.32 million or $1.87 million in surplus for that season, before forecast uncertainty, exit risk, and discounting.</w:t>
      </w:r>
    </w:p>
    <w:p w14:paraId="318F0197" w14:textId="07DFDE96" w:rsidR="00112D33" w:rsidRPr="00DB35A9" w:rsidRDefault="00000000">
      <w:pPr>
        <w:rPr>
          <w:rFonts w:asciiTheme="minorHAnsi" w:hAnsiTheme="minorHAnsi" w:cstheme="minorHAnsi"/>
        </w:rPr>
      </w:pPr>
      <w:r w:rsidRPr="00DB35A9">
        <w:rPr>
          <w:rFonts w:asciiTheme="minorHAnsi" w:hAnsiTheme="minorHAnsi" w:cstheme="minorHAnsi"/>
        </w:rPr>
        <w:t>A nonlinear alternative allowed the price per win to change with production level. It fitted observed salaries better but predicted held-out salaries less accurately, so the straight-line specification was retained.</w:t>
      </w:r>
    </w:p>
    <w:p w14:paraId="563CD7B2" w14:textId="77777777" w:rsidR="00112D33" w:rsidRPr="00DB35A9" w:rsidRDefault="00000000">
      <w:pPr>
        <w:rPr>
          <w:rFonts w:asciiTheme="minorHAnsi" w:hAnsiTheme="minorHAnsi" w:cstheme="minorHAnsi"/>
        </w:rPr>
      </w:pPr>
      <w:r w:rsidRPr="00DB35A9">
        <w:rPr>
          <w:rFonts w:asciiTheme="minorHAnsi" w:hAnsiTheme="minorHAnsi" w:cstheme="minorHAnsi"/>
        </w:rPr>
        <w:t>A longer contract may indicate that a club expects more from a player than his recent production suggests. The contract-length test therefore asked whether term helped predict subsequent production after accounting for the player's trailing WAR baseline.</w:t>
      </w:r>
    </w:p>
    <w:p w14:paraId="5EA651A1" w14:textId="0B3485CD" w:rsidR="00112D33" w:rsidRPr="00DB35A9" w:rsidRDefault="00000000">
      <w:pPr>
        <w:rPr>
          <w:rFonts w:asciiTheme="minorHAnsi" w:hAnsiTheme="minorHAnsi" w:cstheme="minorHAnsi"/>
        </w:rPr>
      </w:pPr>
      <w:r w:rsidRPr="00DB35A9">
        <w:rPr>
          <w:rFonts w:asciiTheme="minorHAnsi" w:hAnsiTheme="minorHAnsi" w:cstheme="minorHAnsi"/>
        </w:rPr>
        <w:lastRenderedPageBreak/>
        <w:t>The main comparison used 1,781 contracts and measured production as average annual adjusted Game Value, converted to wins, over the three seasons after signing. Game Value contains no WAR input, so the outcome is constructed separately from the baseline. Each additional contract year was associated with -0.0135 wins per season, with a 95% interval from -0.0360 to +0.0089. Because this interval includes zero, the result did not justify increasing projected production for longer contracts.</w:t>
      </w:r>
      <w:r w:rsidR="00DB35A9">
        <w:rPr>
          <w:rFonts w:asciiTheme="minorHAnsi" w:hAnsiTheme="minorHAnsi" w:cstheme="minorHAnsi"/>
        </w:rPr>
        <w:t xml:space="preserve"> </w:t>
      </w:r>
      <w:r w:rsidRPr="00DB35A9">
        <w:rPr>
          <w:rFonts w:asciiTheme="minorHAnsi" w:hAnsiTheme="minorHAnsi" w:cstheme="minorHAnsi"/>
        </w:rPr>
        <w:t xml:space="preserve">For forwards alone, the association was +0.0273 wins per season per additional contract year, with a 95% interval from +0.0028 to +0.0518. This subgroup result has not been adopted in the price equation. </w:t>
      </w:r>
    </w:p>
    <w:p w14:paraId="2D968227" w14:textId="77777777" w:rsidR="00112D33" w:rsidRPr="00DB35A9" w:rsidRDefault="00000000">
      <w:pPr>
        <w:rPr>
          <w:rFonts w:asciiTheme="minorHAnsi" w:hAnsiTheme="minorHAnsi" w:cstheme="minorHAnsi"/>
        </w:rPr>
      </w:pPr>
      <w:r w:rsidRPr="00DB35A9">
        <w:rPr>
          <w:rFonts w:asciiTheme="minorHAnsi" w:hAnsiTheme="minorHAnsi" w:cstheme="minorHAnsi"/>
        </w:rPr>
        <w:t>A separate test found little evidence that RFA and UFA skaters required different price equations (F = 0.12; p = 0.887), so the model uses one equation for both groups. An exploratory test of star RFAs remains outside the model. Adopting that addition requires testing the star cutoff, refitting the current sample, and recalculating the affected valuations.</w:t>
      </w:r>
    </w:p>
    <w:p w14:paraId="020BE4E5" w14:textId="77777777" w:rsidR="00112D33" w:rsidRPr="00DB35A9" w:rsidRDefault="00000000">
      <w:pPr>
        <w:rPr>
          <w:rFonts w:asciiTheme="minorHAnsi" w:hAnsiTheme="minorHAnsi" w:cstheme="minorHAnsi"/>
        </w:rPr>
      </w:pPr>
      <w:r w:rsidRPr="00DB35A9">
        <w:rPr>
          <w:rFonts w:asciiTheme="minorHAnsi" w:hAnsiTheme="minorHAnsi" w:cstheme="minorHAnsi"/>
        </w:rPr>
        <w:t>The equation holds the relationship between production and cap-adjusted pay constant across the sample. Measuring salaries as cap shares accounts for the cap's size but does not prove that this relationship is stable. A test comparing the pre-COVID growth years (2018-2019) with the flat-cap years (2020-2022) found no detectable change (p = 0.75).</w:t>
      </w:r>
    </w:p>
    <w:p w14:paraId="1D58C6B0" w14:textId="77777777" w:rsidR="00112D33" w:rsidRPr="00DB35A9" w:rsidRDefault="00000000">
      <w:pPr>
        <w:pStyle w:val="Heading1"/>
        <w:rPr>
          <w:rFonts w:asciiTheme="minorHAnsi" w:hAnsiTheme="minorHAnsi" w:cstheme="minorHAnsi"/>
        </w:rPr>
      </w:pPr>
      <w:r w:rsidRPr="00DB35A9">
        <w:rPr>
          <w:rFonts w:asciiTheme="minorHAnsi" w:hAnsiTheme="minorHAnsi" w:cstheme="minorHAnsi"/>
        </w:rPr>
        <w:t>2. The Minimum and Forecast Uncertainty</w:t>
      </w:r>
    </w:p>
    <w:p w14:paraId="71CB08D5" w14:textId="77777777" w:rsidR="00112D33" w:rsidRPr="00DB35A9" w:rsidRDefault="00000000">
      <w:pPr>
        <w:rPr>
          <w:rFonts w:asciiTheme="minorHAnsi" w:hAnsiTheme="minorHAnsi" w:cstheme="minorHAnsi"/>
        </w:rPr>
      </w:pPr>
      <w:r w:rsidRPr="00DB35A9">
        <w:rPr>
          <w:rFonts w:asciiTheme="minorHAnsi" w:hAnsiTheme="minorHAnsi" w:cstheme="minorHAnsi"/>
        </w:rPr>
        <w:t>The model sets a lower limit on a skater's dollar value equal to the league-minimum salary. In the valuation season, it converts the player's baseline production into dollars and raises the result to the minimum if it falls below that amount.</w:t>
      </w:r>
    </w:p>
    <w:p w14:paraId="151EBB62" w14:textId="77777777" w:rsidR="00112D33" w:rsidRPr="00DB35A9" w:rsidRDefault="00000000">
      <w:pPr>
        <w:rPr>
          <w:rFonts w:asciiTheme="minorHAnsi" w:hAnsiTheme="minorHAnsi" w:cstheme="minorHAnsi"/>
        </w:rPr>
      </w:pPr>
      <w:r w:rsidRPr="00DB35A9">
        <w:rPr>
          <w:rFonts w:asciiTheme="minorHAnsi" w:hAnsiTheme="minorHAnsi" w:cstheme="minorHAnsi"/>
        </w:rPr>
        <w:t>For future contract years, the model also accounts for uncertainty in projected production. It considers a range of possible production outcomes around the forecast, converts each outcome into dollars, and applies the salary minimum to each one. It then averages those values, giving more weight to outcomes close to the forecast using an assumed normal distribution.</w:t>
      </w:r>
    </w:p>
    <w:p w14:paraId="57075692" w14:textId="77777777" w:rsidR="00112D33" w:rsidRPr="00DB35A9" w:rsidRDefault="00000000">
      <w:pPr>
        <w:rPr>
          <w:rFonts w:asciiTheme="minorHAnsi" w:hAnsiTheme="minorHAnsi" w:cstheme="minorHAnsi"/>
        </w:rPr>
      </w:pPr>
      <w:r w:rsidRPr="00DB35A9">
        <w:rPr>
          <w:rFonts w:asciiTheme="minorHAnsi" w:hAnsiTheme="minorHAnsi" w:cstheme="minorHAnsi"/>
        </w:rPr>
        <w:t>Applying the minimum before averaging matters for players valued near it. Suppose the minimum is $800,000. A worse-than-forecast outcome might imply a value of $400,000, but the model raises it to $800,000. A better-than-forecast outcome worth $1.2 million keeps its full value. The minimum therefore limits the downside in dollar value without limiting the upside. As a result, the average can exceed the value calculated from the central forecast alone. This adjustment has little effect for players valued far above the minimum.</w:t>
      </w:r>
    </w:p>
    <w:p w14:paraId="1DD04229" w14:textId="77777777" w:rsidR="00112D33" w:rsidRPr="00DB35A9" w:rsidRDefault="00000000">
      <w:pPr>
        <w:pStyle w:val="Heading1"/>
        <w:rPr>
          <w:rFonts w:asciiTheme="minorHAnsi" w:hAnsiTheme="minorHAnsi" w:cstheme="minorHAnsi"/>
        </w:rPr>
      </w:pPr>
      <w:r w:rsidRPr="00DB35A9">
        <w:rPr>
          <w:rFonts w:asciiTheme="minorHAnsi" w:hAnsiTheme="minorHAnsi" w:cstheme="minorHAnsi"/>
        </w:rPr>
        <w:t>3. Value after an RFA Contract Expires</w:t>
      </w:r>
    </w:p>
    <w:p w14:paraId="5986D72A" w14:textId="77777777" w:rsidR="00112D33" w:rsidRPr="00DB35A9" w:rsidRDefault="00000000">
      <w:pPr>
        <w:rPr>
          <w:rFonts w:asciiTheme="minorHAnsi" w:hAnsiTheme="minorHAnsi" w:cstheme="minorHAnsi"/>
        </w:rPr>
      </w:pPr>
      <w:r w:rsidRPr="00DB35A9">
        <w:rPr>
          <w:rFonts w:asciiTheme="minorHAnsi" w:hAnsiTheme="minorHAnsi" w:cstheme="minorHAnsi"/>
        </w:rPr>
        <w:t>Terminal value is the projected surplus from team control after the signed contract expires. An unrestricted-free-agent expiry receives zero because the contract gives the club no further control. For an RFA expiry, the model projects production through the remaining control years, subtracts the estimated cost of retaining the player, and discounts the expected surplus.</w:t>
      </w:r>
    </w:p>
    <w:p w14:paraId="24F94FE9" w14:textId="77777777" w:rsidR="00112D33" w:rsidRPr="00DB35A9" w:rsidRDefault="00000000">
      <w:pPr>
        <w:pStyle w:val="Heading2"/>
        <w:rPr>
          <w:rFonts w:asciiTheme="minorHAnsi" w:hAnsiTheme="minorHAnsi" w:cstheme="minorHAnsi"/>
        </w:rPr>
      </w:pPr>
      <w:r w:rsidRPr="00DB35A9">
        <w:rPr>
          <w:rFonts w:asciiTheme="minorHAnsi" w:hAnsiTheme="minorHAnsi" w:cstheme="minorHAnsi"/>
        </w:rPr>
        <w:lastRenderedPageBreak/>
        <w:t>Estimating the cost of retention</w:t>
      </w:r>
    </w:p>
    <w:p w14:paraId="0B7B5578" w14:textId="77777777" w:rsidR="00112D33" w:rsidRPr="00DB35A9" w:rsidRDefault="00000000">
      <w:pPr>
        <w:rPr>
          <w:rFonts w:asciiTheme="minorHAnsi" w:hAnsiTheme="minorHAnsi" w:cstheme="minorHAnsi"/>
        </w:rPr>
      </w:pPr>
      <w:r w:rsidRPr="00DB35A9">
        <w:rPr>
          <w:rFonts w:asciiTheme="minorHAnsi" w:hAnsiTheme="minorHAnsi" w:cstheme="minorHAnsi"/>
        </w:rPr>
        <w:t>The model assumes the player stays on successive one-year qualifying offers. Each offer starts from the previous year's base salary and applies the relevant percentage, salary minimum, and offer cap. For example, a $900,000 base salary produces a $945,000 offer before any minimum-salary adjustment. Later offers are calculated from the preceding modeled offer.</w:t>
      </w:r>
    </w:p>
    <w:p w14:paraId="158A9C70" w14:textId="77777777" w:rsidR="00112D33" w:rsidRPr="00DB35A9" w:rsidRDefault="00000000">
      <w:pPr>
        <w:rPr>
          <w:rFonts w:asciiTheme="minorHAnsi" w:hAnsiTheme="minorHAnsi" w:cstheme="minorHAnsi"/>
        </w:rPr>
      </w:pPr>
      <w:r w:rsidRPr="00DB35A9">
        <w:rPr>
          <w:rFonts w:asciiTheme="minorHAnsi" w:hAnsiTheme="minorHAnsi" w:cstheme="minorHAnsi"/>
        </w:rPr>
        <w:t>If the expiring contract's final-year base salary is missing, the model uses the highest recorded base salary on that contract, then average annual value if no base salary is available. These substitutes were needed in 355 of the 1,439 deals checked and may differ from the salary that should determine the offer. The model also uses the contract's starting season as a substitute for its signing date when deciding whether the 120%-of-cap-hit limit applies.</w:t>
      </w:r>
    </w:p>
    <w:p w14:paraId="01A01EE0" w14:textId="77777777" w:rsidR="00112D33" w:rsidRPr="00DB35A9" w:rsidRDefault="00000000">
      <w:pPr>
        <w:rPr>
          <w:rFonts w:asciiTheme="minorHAnsi" w:hAnsiTheme="minorHAnsi" w:cstheme="minorHAnsi"/>
        </w:rPr>
      </w:pPr>
      <w:r w:rsidRPr="00DB35A9">
        <w:rPr>
          <w:rFonts w:asciiTheme="minorHAnsi" w:hAnsiTheme="minorHAnsi" w:cstheme="minorHAnsi"/>
        </w:rPr>
        <w:t>Actual renewals can involve arbitration or negotiated salaries and terms. Among 1,439 RFA-expiring deals with an observed next contract, the next cap hit equaled or exceeded the modeled offer in 48.3% of cases. The median difference was -$10,000 and the mean was +$690,000: the middle difference was close to zero, but more expensive renewals raised the average substantially. Where retention costs exceed the offer, the model overstates surplus. This comparison covers observed next contracts and their cap hits; it does not reconstruct individual negotiations.</w:t>
      </w:r>
    </w:p>
    <w:p w14:paraId="76CD34F7" w14:textId="77777777" w:rsidR="00112D33" w:rsidRPr="00DB35A9" w:rsidRDefault="00000000">
      <w:pPr>
        <w:pStyle w:val="Heading2"/>
        <w:rPr>
          <w:rFonts w:asciiTheme="minorHAnsi" w:hAnsiTheme="minorHAnsi" w:cstheme="minorHAnsi"/>
        </w:rPr>
      </w:pPr>
      <w:r w:rsidRPr="00DB35A9">
        <w:rPr>
          <w:rFonts w:asciiTheme="minorHAnsi" w:hAnsiTheme="minorHAnsi" w:cstheme="minorHAnsi"/>
        </w:rPr>
        <w:t>Accounting for players who are not retained</w:t>
      </w:r>
    </w:p>
    <w:p w14:paraId="3975CD69" w14:textId="77777777" w:rsidR="00112D33" w:rsidRPr="00DB35A9" w:rsidRDefault="00000000">
      <w:pPr>
        <w:rPr>
          <w:rFonts w:asciiTheme="minorHAnsi" w:hAnsiTheme="minorHAnsi" w:cstheme="minorHAnsi"/>
        </w:rPr>
      </w:pPr>
      <w:r w:rsidRPr="00DB35A9">
        <w:rPr>
          <w:rFonts w:asciiTheme="minorHAnsi" w:hAnsiTheme="minorHAnsi" w:cstheme="minorHAnsi"/>
        </w:rPr>
        <w:t>The model stops counting control-year surplus at the first year in which projected value falls below the qualifying offer. Once the club would let the player go, a later improvement cannot restore that lost control.</w:t>
      </w:r>
    </w:p>
    <w:p w14:paraId="775606E3" w14:textId="77777777" w:rsidR="00112D33" w:rsidRPr="00DB35A9" w:rsidRDefault="00000000">
      <w:pPr>
        <w:rPr>
          <w:rFonts w:asciiTheme="minorHAnsi" w:hAnsiTheme="minorHAnsi" w:cstheme="minorHAnsi"/>
        </w:rPr>
      </w:pPr>
      <w:r w:rsidRPr="00DB35A9">
        <w:rPr>
          <w:rFonts w:asciiTheme="minorHAnsi" w:hAnsiTheme="minorHAnsi" w:cstheme="minorHAnsi"/>
        </w:rPr>
        <w:t>Positive modeled surplus does not guarantee retention. For years in which keeping the player remains worthwhile, the model also weights surplus by the observed qualification rate for players of similar quality:</w:t>
      </w:r>
    </w:p>
    <w:p w14:paraId="3A533930" w14:textId="77777777" w:rsidR="00112D33" w:rsidRPr="00DB35A9" w:rsidRDefault="00000000">
      <w:pPr>
        <w:rPr>
          <w:rFonts w:asciiTheme="minorHAnsi" w:hAnsiTheme="minorHAnsi" w:cstheme="minorHAnsi"/>
        </w:rPr>
      </w:pPr>
      <w:r w:rsidRPr="00DB35A9">
        <w:rPr>
          <w:rFonts w:asciiTheme="minorHAnsi" w:hAnsiTheme="minorHAnsi" w:cstheme="minorHAnsi"/>
        </w:rPr>
        <w:t>Stars: 100.0% across 22 decisions.</w:t>
      </w:r>
    </w:p>
    <w:p w14:paraId="25C5B0B2" w14:textId="77777777" w:rsidR="00112D33" w:rsidRPr="00DB35A9" w:rsidRDefault="00000000">
      <w:pPr>
        <w:rPr>
          <w:rFonts w:asciiTheme="minorHAnsi" w:hAnsiTheme="minorHAnsi" w:cstheme="minorHAnsi"/>
        </w:rPr>
      </w:pPr>
      <w:r w:rsidRPr="00DB35A9">
        <w:rPr>
          <w:rFonts w:asciiTheme="minorHAnsi" w:hAnsiTheme="minorHAnsi" w:cstheme="minorHAnsi"/>
        </w:rPr>
        <w:t>Regular players: 93.2% across 190 decisions.</w:t>
      </w:r>
    </w:p>
    <w:p w14:paraId="2C18505E" w14:textId="77777777" w:rsidR="00112D33" w:rsidRPr="00DB35A9" w:rsidRDefault="00000000">
      <w:pPr>
        <w:rPr>
          <w:rFonts w:asciiTheme="minorHAnsi" w:hAnsiTheme="minorHAnsi" w:cstheme="minorHAnsi"/>
        </w:rPr>
      </w:pPr>
      <w:r w:rsidRPr="00DB35A9">
        <w:rPr>
          <w:rFonts w:asciiTheme="minorHAnsi" w:hAnsiTheme="minorHAnsi" w:cstheme="minorHAnsi"/>
        </w:rPr>
        <w:t>Fringe players: 79.3% across 595 decisions.</w:t>
      </w:r>
    </w:p>
    <w:p w14:paraId="3BCFE65D" w14:textId="77777777" w:rsidR="00112D33" w:rsidRPr="00DB35A9" w:rsidRDefault="00000000">
      <w:pPr>
        <w:rPr>
          <w:rFonts w:asciiTheme="minorHAnsi" w:hAnsiTheme="minorHAnsi" w:cstheme="minorHAnsi"/>
        </w:rPr>
      </w:pPr>
      <w:r w:rsidRPr="00DB35A9">
        <w:rPr>
          <w:rFonts w:asciiTheme="minorHAnsi" w:hAnsiTheme="minorHAnsi" w:cstheme="minorHAnsi"/>
        </w:rPr>
        <w:t>Below-replacement players: 67.3% across 1,463 decisions.</w:t>
      </w:r>
    </w:p>
    <w:p w14:paraId="31C54AD0" w14:textId="77777777" w:rsidR="00112D33" w:rsidRPr="00DB35A9" w:rsidRDefault="00000000">
      <w:pPr>
        <w:rPr>
          <w:rFonts w:asciiTheme="minorHAnsi" w:hAnsiTheme="minorHAnsi" w:cstheme="minorHAnsi"/>
        </w:rPr>
      </w:pPr>
      <w:r w:rsidRPr="00DB35A9">
        <w:rPr>
          <w:rFonts w:asciiTheme="minorHAnsi" w:hAnsiTheme="minorHAnsi" w:cstheme="minorHAnsi"/>
        </w:rPr>
        <w:t>The salary equation otherwise makes many marginal players look worth retaining even though clubs let them go. Players without usable recent production remain in the bottom group to include likely departures. This expands the calibration sample from 1,231 to 2,270 decisions and raises the observed walk-away rate from 21.3% to 27.0%. The 100% star rate rests on only 22 decisions and treats that small sample's outcome as certain.</w:t>
      </w:r>
    </w:p>
    <w:p w14:paraId="78D3DCE9" w14:textId="77777777" w:rsidR="00112D33" w:rsidRPr="00DB35A9" w:rsidRDefault="00000000">
      <w:pPr>
        <w:rPr>
          <w:rFonts w:asciiTheme="minorHAnsi" w:hAnsiTheme="minorHAnsi" w:cstheme="minorHAnsi"/>
        </w:rPr>
      </w:pPr>
      <w:r w:rsidRPr="00DB35A9">
        <w:rPr>
          <w:rFonts w:asciiTheme="minorHAnsi" w:hAnsiTheme="minorHAnsi" w:cstheme="minorHAnsi"/>
        </w:rPr>
        <w:lastRenderedPageBreak/>
        <w:t>Qualification probabilities accumulate across years. With $1 million of annual surplus and an 80% qualification probability, the model counts $800,000 in year one and $640,000 in year two before discounting. Reaching year two requires retention in both years.</w:t>
      </w:r>
    </w:p>
    <w:p w14:paraId="72CEBE31" w14:textId="77777777" w:rsidR="00112D33" w:rsidRPr="00DB35A9" w:rsidRDefault="00000000">
      <w:pPr>
        <w:rPr>
          <w:rFonts w:asciiTheme="minorHAnsi" w:hAnsiTheme="minorHAnsi" w:cstheme="minorHAnsi"/>
        </w:rPr>
      </w:pPr>
      <w:r w:rsidRPr="00DB35A9">
        <w:rPr>
          <w:rFonts w:asciiTheme="minorHAnsi" w:hAnsiTheme="minorHAnsi" w:cstheme="minorHAnsi"/>
        </w:rPr>
        <w:t>Qualification probabilities replace the exit probabilities used during the signed contract. The qualification chain starts at expiry without carrying forward the chance of departure before expiry; this remains unresolved. Control-year prices also apply the salary minimum directly, without the forecast-uncertainty adjustment used during the signed contract.</w:t>
      </w:r>
    </w:p>
    <w:p w14:paraId="00635F35" w14:textId="77777777" w:rsidR="00112D33" w:rsidRPr="00DB35A9" w:rsidRDefault="00000000">
      <w:pPr>
        <w:pStyle w:val="Heading1"/>
        <w:rPr>
          <w:rFonts w:asciiTheme="minorHAnsi" w:hAnsiTheme="minorHAnsi" w:cstheme="minorHAnsi"/>
        </w:rPr>
      </w:pPr>
      <w:r w:rsidRPr="00DB35A9">
        <w:rPr>
          <w:rFonts w:asciiTheme="minorHAnsi" w:hAnsiTheme="minorHAnsi" w:cstheme="minorHAnsi"/>
        </w:rPr>
        <w:t>4. Adding the Contract Years</w:t>
      </w:r>
    </w:p>
    <w:p w14:paraId="7F481C0A" w14:textId="77777777" w:rsidR="00112D33" w:rsidRPr="00DB35A9" w:rsidRDefault="00000000">
      <w:pPr>
        <w:rPr>
          <w:rFonts w:asciiTheme="minorHAnsi" w:hAnsiTheme="minorHAnsi" w:cstheme="minorHAnsi"/>
        </w:rPr>
      </w:pPr>
      <w:r w:rsidRPr="00DB35A9">
        <w:rPr>
          <w:rFonts w:asciiTheme="minorHAnsi" w:hAnsiTheme="minorHAnsi" w:cstheme="minorHAnsi"/>
        </w:rPr>
        <w:t>Only the contract active at the valuation date enters the contract-year calculation. A later extension cannot be taken from the historical record and included before it was agreed.</w:t>
      </w:r>
    </w:p>
    <w:p w14:paraId="0C6896C9" w14:textId="77777777" w:rsidR="00112D33" w:rsidRPr="00DB35A9" w:rsidRDefault="00000000">
      <w:pPr>
        <w:rPr>
          <w:rFonts w:asciiTheme="minorHAnsi" w:hAnsiTheme="minorHAnsi" w:cstheme="minorHAnsi"/>
        </w:rPr>
      </w:pPr>
      <w:r w:rsidRPr="00DB35A9">
        <w:rPr>
          <w:rFonts w:asciiTheme="minorHAnsi" w:hAnsiTheme="minorHAnsi" w:cstheme="minorHAnsi"/>
        </w:rPr>
        <w:t>For each remaining season, the model multiplies projected production value by the probability of remaining in the NHL, subtracts the full cap cost, and discounts the surplus to the valuation date. The annual contribution is (S_k x V_k - C_k) / (1.03)^k, where k is the number of years after valuation, V_k is production value in dollars, C_k is cap cost, and S_k is the probability of remaining in the NHL.</w:t>
      </w:r>
    </w:p>
    <w:p w14:paraId="236D5525" w14:textId="77777777" w:rsidR="00112D33" w:rsidRPr="00DB35A9" w:rsidRDefault="00000000">
      <w:pPr>
        <w:rPr>
          <w:rFonts w:asciiTheme="minorHAnsi" w:hAnsiTheme="minorHAnsi" w:cstheme="minorHAnsi"/>
        </w:rPr>
      </w:pPr>
      <w:r w:rsidRPr="00DB35A9">
        <w:rPr>
          <w:rFonts w:asciiTheme="minorHAnsi" w:hAnsiTheme="minorHAnsi" w:cstheme="minorHAnsi"/>
        </w:rPr>
        <w:t>The model sums these annual contributions and adds discounted RFA control-year surplus. In the valuation season, k is zero and survival is one, so neither survival weighting nor discounting reduces that season's value.</w:t>
      </w:r>
    </w:p>
    <w:p w14:paraId="346821CB" w14:textId="77777777" w:rsidR="00112D33" w:rsidRPr="00DB35A9" w:rsidRDefault="00000000">
      <w:pPr>
        <w:rPr>
          <w:rFonts w:asciiTheme="minorHAnsi" w:hAnsiTheme="minorHAnsi" w:cstheme="minorHAnsi"/>
        </w:rPr>
      </w:pPr>
      <w:r w:rsidRPr="00DB35A9">
        <w:rPr>
          <w:rFonts w:asciiTheme="minorHAnsi" w:hAnsiTheme="minorHAnsi" w:cstheme="minorHAnsi"/>
        </w:rPr>
        <w:t>For example, $5 million of future production value with a 90% survival probability contributes $4.5 million of expected value. Against a $4 million cap charge, the surplus is $500,000, or about $485,000 if that season is one year away. Multiplying the net $1 million by 90% would instead give $900,000 before discounting. That would incorrectly reduce the contract cost alongside production.</w:t>
      </w:r>
    </w:p>
    <w:p w14:paraId="19E528D0" w14:textId="77777777" w:rsidR="00112D33" w:rsidRPr="00DB35A9" w:rsidRDefault="00000000">
      <w:pPr>
        <w:rPr>
          <w:rFonts w:asciiTheme="minorHAnsi" w:hAnsiTheme="minorHAnsi" w:cstheme="minorHAnsi"/>
        </w:rPr>
      </w:pPr>
      <w:r w:rsidRPr="00DB35A9">
        <w:rPr>
          <w:rFonts w:asciiTheme="minorHAnsi" w:hAnsiTheme="minorHAnsi" w:cstheme="minorHAnsi"/>
        </w:rPr>
        <w:t>The model keeps the full cap cost even if the player leaves the NHL. It does not calculate contract-specific relief from retirement or other departures, so it overstates the cost where relief would apply.</w:t>
      </w:r>
    </w:p>
    <w:p w14:paraId="075B72A8" w14:textId="77777777" w:rsidR="00112D33" w:rsidRPr="00DB35A9" w:rsidRDefault="00000000">
      <w:pPr>
        <w:rPr>
          <w:rFonts w:asciiTheme="minorHAnsi" w:hAnsiTheme="minorHAnsi" w:cstheme="minorHAnsi"/>
        </w:rPr>
      </w:pPr>
      <w:r w:rsidRPr="00DB35A9">
        <w:rPr>
          <w:rFonts w:asciiTheme="minorHAnsi" w:hAnsiTheme="minorHAnsi" w:cstheme="minorHAnsi"/>
        </w:rPr>
        <w:t>The model assumes 3% annual cap growth from the ceiling known at valuation and discounts future surplus at the same rate. This expresses future dollars in the purchasing power of the valuation-date cap without using subsequently observed cap growth. The 3% rate is a planning assumption.</w:t>
      </w:r>
    </w:p>
    <w:p w14:paraId="5A4A4842" w14:textId="77777777" w:rsidR="00112D33" w:rsidRPr="00DB35A9" w:rsidRDefault="00000000">
      <w:pPr>
        <w:rPr>
          <w:rFonts w:asciiTheme="minorHAnsi" w:hAnsiTheme="minorHAnsi" w:cstheme="minorHAnsi"/>
        </w:rPr>
      </w:pPr>
      <w:r w:rsidRPr="00DB35A9">
        <w:rPr>
          <w:rFonts w:asciiTheme="minorHAnsi" w:hAnsiTheme="minorHAnsi" w:cstheme="minorHAnsi"/>
        </w:rPr>
        <w:t>The model adds no discount for managerial impatience because the trade study is intended to investigate that behavior. A preference for near-term production would not establish impatience by itself: competitive position, uncertainty, and private information can also explain it.</w:t>
      </w:r>
    </w:p>
    <w:p w14:paraId="6EC2F2C7" w14:textId="77777777" w:rsidR="00112D33" w:rsidRPr="00DB35A9" w:rsidRDefault="00000000">
      <w:pPr>
        <w:rPr>
          <w:rFonts w:asciiTheme="minorHAnsi" w:hAnsiTheme="minorHAnsi" w:cstheme="minorHAnsi"/>
        </w:rPr>
      </w:pPr>
      <w:r w:rsidRPr="00DB35A9">
        <w:rPr>
          <w:rFonts w:asciiTheme="minorHAnsi" w:hAnsiTheme="minorHAnsi" w:cstheme="minorHAnsi"/>
        </w:rPr>
        <w:t>A negative surplus means the contract costs more than the fitted market price of its expected production. Team fit, private information, and avoiding a future negotiation may explain why a club still accepts it. The model also omits the cost of losing cap flexibility through a long commitment; adding that cost would lower long-contract value further.</w:t>
      </w:r>
    </w:p>
    <w:p w14:paraId="47E89E39" w14:textId="77777777" w:rsidR="00112D33" w:rsidRPr="00DB35A9" w:rsidRDefault="00000000">
      <w:pPr>
        <w:pStyle w:val="Heading1"/>
        <w:rPr>
          <w:rFonts w:asciiTheme="minorHAnsi" w:hAnsiTheme="minorHAnsi" w:cstheme="minorHAnsi"/>
        </w:rPr>
      </w:pPr>
      <w:r w:rsidRPr="00DB35A9">
        <w:rPr>
          <w:rFonts w:asciiTheme="minorHAnsi" w:hAnsiTheme="minorHAnsi" w:cstheme="minorHAnsi"/>
        </w:rPr>
        <w:lastRenderedPageBreak/>
        <w:t>5. Goaltenders</w:t>
      </w:r>
    </w:p>
    <w:p w14:paraId="420ADA22" w14:textId="77777777" w:rsidR="00112D33" w:rsidRPr="00DB35A9" w:rsidRDefault="00000000">
      <w:pPr>
        <w:rPr>
          <w:rFonts w:asciiTheme="minorHAnsi" w:hAnsiTheme="minorHAnsi" w:cstheme="minorHAnsi"/>
        </w:rPr>
      </w:pPr>
      <w:r w:rsidRPr="00DB35A9">
        <w:rPr>
          <w:rFonts w:asciiTheme="minorHAnsi" w:hAnsiTheme="minorHAnsi" w:cstheme="minorHAnsi"/>
        </w:rPr>
        <w:t>Goalie performance is much less stable from year to year than skater performance. The model therefore places less weight on a goalie's recent results and more on league-average production. Goalies also have separate pricing and exit estimates.</w:t>
      </w:r>
    </w:p>
    <w:p w14:paraId="355F13A2" w14:textId="77777777" w:rsidR="00112D33" w:rsidRPr="00DB35A9" w:rsidRDefault="00000000">
      <w:pPr>
        <w:rPr>
          <w:rFonts w:asciiTheme="minorHAnsi" w:hAnsiTheme="minorHAnsi" w:cstheme="minorHAnsi"/>
        </w:rPr>
      </w:pPr>
      <w:r w:rsidRPr="00DB35A9">
        <w:rPr>
          <w:rFonts w:asciiTheme="minorHAnsi" w:hAnsiTheme="minorHAnsi" w:cstheme="minorHAnsi"/>
        </w:rPr>
        <w:t>The calculation starts with a weighted average of the goalie's previous three seasons: 50% on the most recent, 30% on the second, and 20% on the third. With only two seasons, the weights become 60% and 40%; with only the preceding season, that season supplies the baseline. These calculations require the immediately preceding season, although a separate carry-back rule can recover an older baseline when recent history is missing. The skater requirement of at least ten games does not apply.</w:t>
      </w:r>
    </w:p>
    <w:p w14:paraId="1B80FA0E" w14:textId="77777777" w:rsidR="00112D33" w:rsidRPr="00DB35A9" w:rsidRDefault="00000000">
      <w:pPr>
        <w:rPr>
          <w:rFonts w:asciiTheme="minorHAnsi" w:hAnsiTheme="minorHAnsi" w:cstheme="minorHAnsi"/>
        </w:rPr>
      </w:pPr>
      <w:r w:rsidRPr="00DB35A9">
        <w:rPr>
          <w:rFonts w:asciiTheme="minorHAnsi" w:hAnsiTheme="minorHAnsi" w:cstheme="minorHAnsi"/>
        </w:rPr>
        <w:t>The projection then combines 35% of the goalie's own baseline with 65% of the league mean, approximately 2.19 goalie wins above replacement (WAR). For example, a goalie with a baseline of 4.0 wins receives a projection of: 0.35 × 4.0 + 0.65 × 2.19 = 2.82 wins.</w:t>
      </w:r>
    </w:p>
    <w:p w14:paraId="3E05BA83" w14:textId="77777777" w:rsidR="00112D33" w:rsidRPr="00DB35A9" w:rsidRDefault="00000000">
      <w:pPr>
        <w:rPr>
          <w:rFonts w:asciiTheme="minorHAnsi" w:hAnsiTheme="minorHAnsi" w:cstheme="minorHAnsi"/>
        </w:rPr>
      </w:pPr>
      <w:r w:rsidRPr="00DB35A9">
        <w:rPr>
          <w:rFonts w:asciiTheme="minorHAnsi" w:hAnsiTheme="minorHAnsi" w:cstheme="minorHAnsi"/>
        </w:rPr>
        <w:t>Validation kept each goalie's records together when separating training and test samples. After adjusting shortened seasons, it supported placing 65% of the projection on the league mean.</w:t>
      </w:r>
    </w:p>
    <w:p w14:paraId="7CD0FBBE" w14:textId="77777777" w:rsidR="00112D33" w:rsidRPr="00DB35A9" w:rsidRDefault="00000000">
      <w:pPr>
        <w:rPr>
          <w:rFonts w:asciiTheme="minorHAnsi" w:hAnsiTheme="minorHAnsi" w:cstheme="minorHAnsi"/>
        </w:rPr>
      </w:pPr>
      <w:r w:rsidRPr="00DB35A9">
        <w:rPr>
          <w:rFonts w:asciiTheme="minorHAnsi" w:hAnsiTheme="minorHAnsi" w:cstheme="minorHAnsi"/>
        </w:rPr>
        <w:t>The blended production forecast stays constant through the contract because the model has no fitted goalie aging curve. Validation supports the blend, not the choice to hold production constant.</w:t>
      </w:r>
    </w:p>
    <w:p w14:paraId="7856A527" w14:textId="77777777" w:rsidR="00112D33" w:rsidRPr="00DB35A9" w:rsidRDefault="00000000">
      <w:pPr>
        <w:rPr>
          <w:rFonts w:asciiTheme="minorHAnsi" w:hAnsiTheme="minorHAnsi" w:cstheme="minorHAnsi"/>
        </w:rPr>
      </w:pPr>
      <w:r w:rsidRPr="00DB35A9">
        <w:rPr>
          <w:rFonts w:asciiTheme="minorHAnsi" w:hAnsiTheme="minorHAnsi" w:cstheme="minorHAnsi"/>
        </w:rPr>
        <w:t>Separate goalie exit probabilities reduce the contribution of future seasons as the chance of leaving the NHL accumulates. Forecasts retain the goalie's historical baseline even without a future performance record. A goalie with no usable history is left unpriced.</w:t>
      </w:r>
    </w:p>
    <w:p w14:paraId="2F0AB032" w14:textId="77777777" w:rsidR="00112D33" w:rsidRPr="00DB35A9" w:rsidRDefault="00000000">
      <w:pPr>
        <w:rPr>
          <w:rFonts w:asciiTheme="minorHAnsi" w:hAnsiTheme="minorHAnsi" w:cstheme="minorHAnsi"/>
        </w:rPr>
      </w:pPr>
      <w:r w:rsidRPr="00DB35A9">
        <w:rPr>
          <w:rFonts w:asciiTheme="minorHAnsi" w:hAnsiTheme="minorHAnsi" w:cstheme="minorHAnsi"/>
        </w:rPr>
        <w:t>The goalie salary equation assigns 1.391% of the cap at zero WAR, plus 1.059% of the cap per goalie WAR. It uses an older ordinary least-squares regression, which fits salary to production without the skater regression's treatment of minimum-salary observations. Goalie valuations also use different salary-floor rules, and goalie control years lack the skater qualification-rate adjustment. These differences limit comparability even though both models express surplus in dollars.</w:t>
      </w:r>
    </w:p>
    <w:sectPr w:rsidR="00112D33" w:rsidRPr="00DB35A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E0761"/>
    <w:multiLevelType w:val="hybridMultilevel"/>
    <w:tmpl w:val="4A842726"/>
    <w:lvl w:ilvl="0" w:tplc="56C09BFC">
      <w:start w:val="1"/>
      <w:numFmt w:val="bullet"/>
      <w:lvlText w:val="●"/>
      <w:lvlJc w:val="left"/>
      <w:pPr>
        <w:ind w:left="720" w:hanging="360"/>
      </w:pPr>
    </w:lvl>
    <w:lvl w:ilvl="1" w:tplc="A78AC8D8">
      <w:start w:val="1"/>
      <w:numFmt w:val="bullet"/>
      <w:lvlText w:val="○"/>
      <w:lvlJc w:val="left"/>
      <w:pPr>
        <w:ind w:left="1440" w:hanging="360"/>
      </w:pPr>
    </w:lvl>
    <w:lvl w:ilvl="2" w:tplc="AFDAB022">
      <w:start w:val="1"/>
      <w:numFmt w:val="bullet"/>
      <w:lvlText w:val="■"/>
      <w:lvlJc w:val="left"/>
      <w:pPr>
        <w:ind w:left="2160" w:hanging="360"/>
      </w:pPr>
    </w:lvl>
    <w:lvl w:ilvl="3" w:tplc="A664C3AC">
      <w:start w:val="1"/>
      <w:numFmt w:val="bullet"/>
      <w:lvlText w:val="●"/>
      <w:lvlJc w:val="left"/>
      <w:pPr>
        <w:ind w:left="2880" w:hanging="360"/>
      </w:pPr>
    </w:lvl>
    <w:lvl w:ilvl="4" w:tplc="26B43ECE">
      <w:start w:val="1"/>
      <w:numFmt w:val="bullet"/>
      <w:lvlText w:val="○"/>
      <w:lvlJc w:val="left"/>
      <w:pPr>
        <w:ind w:left="3600" w:hanging="360"/>
      </w:pPr>
    </w:lvl>
    <w:lvl w:ilvl="5" w:tplc="CD224704">
      <w:start w:val="1"/>
      <w:numFmt w:val="bullet"/>
      <w:lvlText w:val="■"/>
      <w:lvlJc w:val="left"/>
      <w:pPr>
        <w:ind w:left="4320" w:hanging="360"/>
      </w:pPr>
    </w:lvl>
    <w:lvl w:ilvl="6" w:tplc="B546D15E">
      <w:start w:val="1"/>
      <w:numFmt w:val="bullet"/>
      <w:lvlText w:val="●"/>
      <w:lvlJc w:val="left"/>
      <w:pPr>
        <w:ind w:left="5040" w:hanging="360"/>
      </w:pPr>
    </w:lvl>
    <w:lvl w:ilvl="7" w:tplc="ABF8CE32">
      <w:start w:val="1"/>
      <w:numFmt w:val="bullet"/>
      <w:lvlText w:val="●"/>
      <w:lvlJc w:val="left"/>
      <w:pPr>
        <w:ind w:left="5760" w:hanging="360"/>
      </w:pPr>
    </w:lvl>
    <w:lvl w:ilvl="8" w:tplc="D2CA3600">
      <w:start w:val="1"/>
      <w:numFmt w:val="bullet"/>
      <w:lvlText w:val="●"/>
      <w:lvlJc w:val="left"/>
      <w:pPr>
        <w:ind w:left="6480" w:hanging="360"/>
      </w:pPr>
    </w:lvl>
  </w:abstractNum>
  <w:num w:numId="1" w16cid:durableId="10163499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10A4"/>
    <w:rsid w:val="0009126F"/>
    <w:rsid w:val="00112D33"/>
    <w:rsid w:val="00240904"/>
    <w:rsid w:val="002F0D96"/>
    <w:rsid w:val="004341A2"/>
    <w:rsid w:val="004F5377"/>
    <w:rsid w:val="00532929"/>
    <w:rsid w:val="00563F95"/>
    <w:rsid w:val="00590D4F"/>
    <w:rsid w:val="005C0F74"/>
    <w:rsid w:val="006034F5"/>
    <w:rsid w:val="00636594"/>
    <w:rsid w:val="006406F0"/>
    <w:rsid w:val="00660853"/>
    <w:rsid w:val="00775321"/>
    <w:rsid w:val="007E751A"/>
    <w:rsid w:val="00831EFC"/>
    <w:rsid w:val="0091049F"/>
    <w:rsid w:val="009105B3"/>
    <w:rsid w:val="00B229B1"/>
    <w:rsid w:val="00C444E1"/>
    <w:rsid w:val="00C97F34"/>
    <w:rsid w:val="00CD25AD"/>
    <w:rsid w:val="00DB35A9"/>
    <w:rsid w:val="00DE0F1A"/>
    <w:rsid w:val="00E20E0A"/>
    <w:rsid w:val="00E23368"/>
    <w:rsid w:val="00FD10A4"/>
    <w:rsid w:val="00FE2E9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2F19C"/>
  <w15:docId w15:val="{173A5462-0475-469F-8A75-9FA89289B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000000"/>
      <w:sz w:val="22"/>
      <w:szCs w:val="22"/>
    </w:rPr>
  </w:style>
  <w:style w:type="paragraph" w:styleId="Heading1">
    <w:name w:val="heading 1"/>
    <w:uiPriority w:val="9"/>
    <w:qFormat/>
    <w:pPr>
      <w:keepNext/>
      <w:keepLines/>
      <w:spacing w:before="280" w:after="140" w:line="276" w:lineRule="auto"/>
      <w:outlineLvl w:val="0"/>
    </w:pPr>
    <w:rPr>
      <w:b/>
      <w:color w:val="2E74B5"/>
      <w:sz w:val="26"/>
      <w:szCs w:val="26"/>
    </w:rPr>
  </w:style>
  <w:style w:type="paragraph" w:styleId="Heading2">
    <w:name w:val="heading 2"/>
    <w:uiPriority w:val="9"/>
    <w:unhideWhenUsed/>
    <w:qFormat/>
    <w:pPr>
      <w:keepNext/>
      <w:keepLines/>
      <w:spacing w:before="200" w:after="140" w:line="276" w:lineRule="auto"/>
      <w:outlineLvl w:val="1"/>
    </w:pPr>
    <w:rPr>
      <w:b/>
      <w:color w:val="1F4D78"/>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line="276" w:lineRule="auto"/>
    </w:pPr>
    <w:rPr>
      <w:b/>
      <w:color w:val="000000"/>
      <w:sz w:val="30"/>
      <w:szCs w:val="3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TotalTime>
  <Pages>1</Pages>
  <Words>1995</Words>
  <Characters>11372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Mihaljevic</cp:lastModifiedBy>
  <cp:revision>19</cp:revision>
  <dcterms:created xsi:type="dcterms:W3CDTF">2026-09-09T20:55:00Z</dcterms:created>
  <dcterms:modified xsi:type="dcterms:W3CDTF">2026-09-11T18:10:00Z</dcterms:modified>
</cp:coreProperties>
</file>