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615B3" w14:textId="070F7DE4" w:rsidR="00FD10A4" w:rsidRPr="007E751A" w:rsidRDefault="00E23368">
      <w:pPr>
        <w:pStyle w:val="Title"/>
        <w:keepNext/>
        <w:spacing w:after="240"/>
        <w:rPr>
          <w:rFonts w:asciiTheme="minorHAnsi" w:hAnsiTheme="minorHAnsi" w:cstheme="minorHAnsi"/>
          <w:sz w:val="40"/>
          <w:szCs w:val="40"/>
        </w:rPr>
      </w:pPr>
      <w:r>
        <w:rPr>
          <w:rFonts w:asciiTheme="minorHAnsi" w:hAnsiTheme="minorHAnsi" w:cstheme="minorHAnsi"/>
          <w:sz w:val="40"/>
          <w:szCs w:val="40"/>
        </w:rPr>
        <w:t>Model Step 1</w:t>
      </w:r>
      <w:r w:rsidR="00000000" w:rsidRPr="007E751A">
        <w:rPr>
          <w:rFonts w:asciiTheme="minorHAnsi" w:hAnsiTheme="minorHAnsi" w:cstheme="minorHAnsi"/>
          <w:sz w:val="40"/>
          <w:szCs w:val="40"/>
        </w:rPr>
        <w:t>: Data, Production, and Aging</w:t>
      </w:r>
    </w:p>
    <w:p w14:paraId="26DB49E6" w14:textId="40436A94" w:rsidR="00FD10A4" w:rsidRPr="007E751A" w:rsidRDefault="00000000">
      <w:pPr>
        <w:spacing w:after="200"/>
        <w:rPr>
          <w:rFonts w:asciiTheme="minorHAnsi" w:hAnsiTheme="minorHAnsi" w:cstheme="minorHAnsi"/>
        </w:rPr>
      </w:pPr>
      <w:r w:rsidRPr="007E751A">
        <w:rPr>
          <w:rFonts w:asciiTheme="minorHAnsi" w:hAnsiTheme="minorHAnsi" w:cstheme="minorHAnsi"/>
        </w:rPr>
        <w:t xml:space="preserve">A player's </w:t>
      </w:r>
      <w:r w:rsidR="002F0D96">
        <w:rPr>
          <w:rFonts w:asciiTheme="minorHAnsi" w:hAnsiTheme="minorHAnsi" w:cstheme="minorHAnsi"/>
        </w:rPr>
        <w:t xml:space="preserve">net </w:t>
      </w:r>
      <w:r w:rsidRPr="007E751A">
        <w:rPr>
          <w:rFonts w:asciiTheme="minorHAnsi" w:hAnsiTheme="minorHAnsi" w:cstheme="minorHAnsi"/>
        </w:rPr>
        <w:t xml:space="preserve">contract value starts with an estimate of what he will produce. For skaters, the model uses Bacon's wins above replacement (WAR), projects that production through the remaining </w:t>
      </w:r>
      <w:r w:rsidR="002F0D96">
        <w:rPr>
          <w:rFonts w:asciiTheme="minorHAnsi" w:hAnsiTheme="minorHAnsi" w:cstheme="minorHAnsi"/>
        </w:rPr>
        <w:t>term of team control</w:t>
      </w:r>
      <w:r w:rsidRPr="007E751A">
        <w:rPr>
          <w:rFonts w:asciiTheme="minorHAnsi" w:hAnsiTheme="minorHAnsi" w:cstheme="minorHAnsi"/>
        </w:rPr>
        <w:t>, accounts separately for the chance that the player leaves the NHL</w:t>
      </w:r>
      <w:r w:rsidR="002F0D96">
        <w:rPr>
          <w:rFonts w:asciiTheme="minorHAnsi" w:hAnsiTheme="minorHAnsi" w:cstheme="minorHAnsi"/>
        </w:rPr>
        <w:t>, and is discounted to present value</w:t>
      </w:r>
      <w:r w:rsidRPr="007E751A">
        <w:rPr>
          <w:rFonts w:asciiTheme="minorHAnsi" w:hAnsiTheme="minorHAnsi" w:cstheme="minorHAnsi"/>
        </w:rPr>
        <w:t>. The dollar price and contract costs enter in Document 3.</w:t>
      </w:r>
    </w:p>
    <w:p w14:paraId="45AEB62D" w14:textId="2105357E" w:rsidR="00FD10A4" w:rsidRPr="007E751A" w:rsidRDefault="00000000">
      <w:pPr>
        <w:spacing w:after="200"/>
        <w:rPr>
          <w:rFonts w:asciiTheme="minorHAnsi" w:hAnsiTheme="minorHAnsi" w:cstheme="minorHAnsi"/>
        </w:rPr>
      </w:pPr>
      <w:r w:rsidRPr="007E751A">
        <w:rPr>
          <w:rFonts w:asciiTheme="minorHAnsi" w:hAnsiTheme="minorHAnsi" w:cstheme="minorHAnsi"/>
        </w:rPr>
        <w:t>The starting estimate uses completed seasons before the valuation season. That keeps the player's current form out of his own baseline</w:t>
      </w:r>
      <w:r w:rsidR="002F0D96">
        <w:rPr>
          <w:rFonts w:asciiTheme="minorHAnsi" w:hAnsiTheme="minorHAnsi" w:cstheme="minorHAnsi"/>
        </w:rPr>
        <w:t xml:space="preserve"> projection</w:t>
      </w:r>
      <w:r w:rsidRPr="007E751A">
        <w:rPr>
          <w:rFonts w:asciiTheme="minorHAnsi" w:hAnsiTheme="minorHAnsi" w:cstheme="minorHAnsi"/>
        </w:rPr>
        <w:t xml:space="preserve">. </w:t>
      </w:r>
      <w:r w:rsidR="002F0D96">
        <w:rPr>
          <w:rFonts w:asciiTheme="minorHAnsi" w:hAnsiTheme="minorHAnsi" w:cstheme="minorHAnsi"/>
        </w:rPr>
        <w:t>Player production is determined at the time of evaluation, however, a</w:t>
      </w:r>
      <w:r w:rsidRPr="007E751A">
        <w:rPr>
          <w:rFonts w:asciiTheme="minorHAnsi" w:hAnsiTheme="minorHAnsi" w:cstheme="minorHAnsi"/>
        </w:rPr>
        <w:t>ging curves and exit probabilities are estimated using a shared historical sample, including seasons after some valuation dates.</w:t>
      </w:r>
    </w:p>
    <w:p w14:paraId="5A8FA9F9" w14:textId="77777777" w:rsidR="00FD10A4" w:rsidRPr="007E751A" w:rsidRDefault="00000000">
      <w:pPr>
        <w:pStyle w:val="Heading2"/>
        <w:keepNext/>
        <w:spacing w:before="280" w:after="140"/>
        <w:rPr>
          <w:rFonts w:asciiTheme="minorHAnsi" w:hAnsiTheme="minorHAnsi" w:cstheme="minorHAnsi"/>
        </w:rPr>
      </w:pPr>
      <w:r w:rsidRPr="007E751A">
        <w:rPr>
          <w:rFonts w:asciiTheme="minorHAnsi" w:hAnsiTheme="minorHAnsi" w:cstheme="minorHAnsi"/>
        </w:rPr>
        <w:t>1. Joining the Data</w:t>
      </w:r>
    </w:p>
    <w:p w14:paraId="54789630" w14:textId="77777777" w:rsidR="00FD10A4" w:rsidRPr="007E751A" w:rsidRDefault="00000000">
      <w:pPr>
        <w:spacing w:after="200"/>
        <w:rPr>
          <w:rFonts w:asciiTheme="minorHAnsi" w:hAnsiTheme="minorHAnsi" w:cstheme="minorHAnsi"/>
        </w:rPr>
      </w:pPr>
      <w:r w:rsidRPr="007E751A">
        <w:rPr>
          <w:rFonts w:asciiTheme="minorHAnsi" w:hAnsiTheme="minorHAnsi" w:cstheme="minorHAnsi"/>
        </w:rPr>
        <w:t>The player model combines performance records, ages, and contract terms from different sources. Their identifiers do not line up consistently, so names and positions help connect the records. Accents and spelling variants are standardized, and known same-name players need separate treatment. If one player's performance has been merged with another's in the source, that record cannot safely be priced.</w:t>
      </w:r>
    </w:p>
    <w:p w14:paraId="31269C62" w14:textId="3DBF558A" w:rsidR="00FD10A4" w:rsidRPr="007E751A" w:rsidRDefault="00000000">
      <w:pPr>
        <w:spacing w:after="200"/>
        <w:rPr>
          <w:rFonts w:asciiTheme="minorHAnsi" w:hAnsiTheme="minorHAnsi" w:cstheme="minorHAnsi"/>
        </w:rPr>
      </w:pPr>
      <w:proofErr w:type="spellStart"/>
      <w:r w:rsidRPr="007E751A">
        <w:rPr>
          <w:rFonts w:asciiTheme="minorHAnsi" w:hAnsiTheme="minorHAnsi" w:cstheme="minorHAnsi"/>
        </w:rPr>
        <w:t>PuckPedia</w:t>
      </w:r>
      <w:proofErr w:type="spellEnd"/>
      <w:r w:rsidRPr="007E751A">
        <w:rPr>
          <w:rFonts w:asciiTheme="minorHAnsi" w:hAnsiTheme="minorHAnsi" w:cstheme="minorHAnsi"/>
        </w:rPr>
        <w:t xml:space="preserve"> supplies contract terms and the trade ledger. </w:t>
      </w:r>
      <w:r w:rsidR="00C444E1">
        <w:rPr>
          <w:rFonts w:asciiTheme="minorHAnsi" w:hAnsiTheme="minorHAnsi" w:cstheme="minorHAnsi"/>
        </w:rPr>
        <w:t xml:space="preserve">Patrick </w:t>
      </w:r>
      <w:r w:rsidRPr="007E751A">
        <w:rPr>
          <w:rFonts w:asciiTheme="minorHAnsi" w:hAnsiTheme="minorHAnsi" w:cstheme="minorHAnsi"/>
        </w:rPr>
        <w:t xml:space="preserve">Bacon supplies player production throughout the valuation model. Trade-protection clauses come from a separate scrape, checked against a second clause source, while the NHL game and shift records support Game Value. Keeping one provider for player production avoids combining wins measured on different scales. Game Value has a separate role as a check and a proposed allocation measure, as explained in </w:t>
      </w:r>
      <w:r w:rsidR="00FE2E9A">
        <w:rPr>
          <w:rFonts w:asciiTheme="minorHAnsi" w:hAnsiTheme="minorHAnsi" w:cstheme="minorHAnsi"/>
        </w:rPr>
        <w:t>the Circularity document</w:t>
      </w:r>
      <w:r w:rsidRPr="007E751A">
        <w:rPr>
          <w:rFonts w:asciiTheme="minorHAnsi" w:hAnsiTheme="minorHAnsi" w:cstheme="minorHAnsi"/>
        </w:rPr>
        <w:t>.</w:t>
      </w:r>
    </w:p>
    <w:p w14:paraId="314A397D" w14:textId="70416440" w:rsidR="00FD10A4" w:rsidRPr="007E751A" w:rsidRDefault="00000000">
      <w:pPr>
        <w:spacing w:after="200"/>
        <w:rPr>
          <w:rFonts w:asciiTheme="minorHAnsi" w:hAnsiTheme="minorHAnsi" w:cstheme="minorHAnsi"/>
        </w:rPr>
      </w:pPr>
      <w:r w:rsidRPr="007E751A">
        <w:rPr>
          <w:rFonts w:asciiTheme="minorHAnsi" w:hAnsiTheme="minorHAnsi" w:cstheme="minorHAnsi"/>
        </w:rPr>
        <w:t xml:space="preserve">The contract database's player identifier is the main entity key. A separate shared identifier connects clause records, and the NHL identifier connects game-level records. These are different joins, not interchangeable labels for the same field. </w:t>
      </w:r>
    </w:p>
    <w:p w14:paraId="29B645B2" w14:textId="6F54D76C" w:rsidR="00FD10A4" w:rsidRPr="007E751A" w:rsidRDefault="00000000">
      <w:pPr>
        <w:spacing w:after="200"/>
        <w:rPr>
          <w:rFonts w:asciiTheme="minorHAnsi" w:hAnsiTheme="minorHAnsi" w:cstheme="minorHAnsi"/>
        </w:rPr>
      </w:pPr>
      <w:r w:rsidRPr="007E751A">
        <w:rPr>
          <w:rFonts w:asciiTheme="minorHAnsi" w:hAnsiTheme="minorHAnsi" w:cstheme="minorHAnsi"/>
        </w:rPr>
        <w:t>Team splits are a different problem. A traded player's two team records belong to one season and must be added together. The code aggregates these rows and stops if their combined games exceed a full season, which can indicate that two players have been combined.</w:t>
      </w:r>
    </w:p>
    <w:p w14:paraId="47AE8791" w14:textId="36B995C7" w:rsidR="00FD10A4" w:rsidRPr="007E751A" w:rsidRDefault="00000000">
      <w:pPr>
        <w:spacing w:after="200"/>
        <w:rPr>
          <w:rFonts w:asciiTheme="minorHAnsi" w:hAnsiTheme="minorHAnsi" w:cstheme="minorHAnsi"/>
        </w:rPr>
      </w:pPr>
      <w:r w:rsidRPr="007E751A">
        <w:rPr>
          <w:rFonts w:asciiTheme="minorHAnsi" w:hAnsiTheme="minorHAnsi" w:cstheme="minorHAnsi"/>
        </w:rPr>
        <w:t xml:space="preserve">The recorded trade inventory contains 980 export rows grouped into 946 events, including linked legs of facilitated transactions. The export begins effectively in 2018, leaving little of the intended 2017-18 window. Its completeness has not been checked against an independent trade source. </w:t>
      </w:r>
    </w:p>
    <w:p w14:paraId="0D9398A0" w14:textId="77777777" w:rsidR="00FD10A4" w:rsidRPr="007E751A" w:rsidRDefault="00000000">
      <w:pPr>
        <w:pStyle w:val="Heading2"/>
        <w:keepNext/>
        <w:spacing w:before="280" w:after="140"/>
        <w:rPr>
          <w:rFonts w:asciiTheme="minorHAnsi" w:hAnsiTheme="minorHAnsi" w:cstheme="minorHAnsi"/>
        </w:rPr>
      </w:pPr>
      <w:r w:rsidRPr="007E751A">
        <w:rPr>
          <w:rFonts w:asciiTheme="minorHAnsi" w:hAnsiTheme="minorHAnsi" w:cstheme="minorHAnsi"/>
        </w:rPr>
        <w:t>2. The Starting Production Estimate</w:t>
      </w:r>
    </w:p>
    <w:p w14:paraId="7252E885" w14:textId="77777777" w:rsidR="00FD10A4" w:rsidRPr="007E751A" w:rsidRDefault="00000000">
      <w:pPr>
        <w:spacing w:after="200"/>
        <w:rPr>
          <w:rFonts w:asciiTheme="minorHAnsi" w:hAnsiTheme="minorHAnsi" w:cstheme="minorHAnsi"/>
        </w:rPr>
      </w:pPr>
      <w:r w:rsidRPr="007E751A">
        <w:rPr>
          <w:rFonts w:asciiTheme="minorHAnsi" w:hAnsiTheme="minorHAnsi" w:cstheme="minorHAnsi"/>
        </w:rPr>
        <w:t>The skater baseline gives 60% weight to the previous season and 40% to the season before it. A season qualifies with at least ten games. If only one of those two seasons qualifies, it supplies the whole baseline. If neither qualifies, the player is unpriced.</w:t>
      </w:r>
    </w:p>
    <w:p w14:paraId="71AF3192" w14:textId="77777777" w:rsidR="00FD10A4" w:rsidRPr="007E751A" w:rsidRDefault="00000000">
      <w:pPr>
        <w:spacing w:after="200"/>
        <w:rPr>
          <w:rFonts w:asciiTheme="minorHAnsi" w:hAnsiTheme="minorHAnsi" w:cstheme="minorHAnsi"/>
        </w:rPr>
      </w:pPr>
      <w:r w:rsidRPr="007E751A">
        <w:rPr>
          <w:rFonts w:asciiTheme="minorHAnsi" w:hAnsiTheme="minorHAnsi" w:cstheme="minorHAnsi"/>
        </w:rPr>
        <w:t>For example, a player with 2.0 wins last season and 1.0 the season before starts at 1.6 wins: 0.60 times 2.0 plus 0.40 times 1.0. The extra weight on the recent season lets the estimate respond to improvement without treating one strong year as his settled level. With only a qualifying 2.0-win season, the baseline would be 2.0, not 1.2; the missing older season is not assigned zero production.</w:t>
      </w:r>
    </w:p>
    <w:p w14:paraId="690DA699" w14:textId="5474C8B4" w:rsidR="00FD10A4" w:rsidRPr="007E751A" w:rsidRDefault="00FE2E9A">
      <w:pPr>
        <w:spacing w:after="200"/>
        <w:rPr>
          <w:rFonts w:asciiTheme="minorHAnsi" w:hAnsiTheme="minorHAnsi" w:cstheme="minorHAnsi"/>
        </w:rPr>
      </w:pPr>
      <w:r>
        <w:rPr>
          <w:rFonts w:asciiTheme="minorHAnsi" w:hAnsiTheme="minorHAnsi" w:cstheme="minorHAnsi"/>
        </w:rPr>
        <w:t>Due to Covid-19, p</w:t>
      </w:r>
      <w:r w:rsidR="00000000" w:rsidRPr="007E751A">
        <w:rPr>
          <w:rFonts w:asciiTheme="minorHAnsi" w:hAnsiTheme="minorHAnsi" w:cstheme="minorHAnsi"/>
        </w:rPr>
        <w:t>roduction in the shortened 2019-20 and 2020-21 seasons is scaled to an 82-game schedule before the baseline is calculated. This corrects for the league playing fewer games. It does not turn an injured player's partial season into a full season of production, so missed games still lower the starting estimate.</w:t>
      </w:r>
    </w:p>
    <w:p w14:paraId="4BBD1F76" w14:textId="77777777" w:rsidR="00FD10A4" w:rsidRPr="007E751A" w:rsidRDefault="00000000">
      <w:pPr>
        <w:spacing w:after="200"/>
        <w:rPr>
          <w:rFonts w:asciiTheme="minorHAnsi" w:hAnsiTheme="minorHAnsi" w:cstheme="minorHAnsi"/>
        </w:rPr>
      </w:pPr>
      <w:r w:rsidRPr="007E751A">
        <w:rPr>
          <w:rFonts w:asciiTheme="minorHAnsi" w:hAnsiTheme="minorHAnsi" w:cstheme="minorHAnsi"/>
        </w:rPr>
        <w:lastRenderedPageBreak/>
        <w:t>The baseline uses total production. The aging model uses production per 82 games to estimate how a comparable player's performance changes with age. Its projected change is then applied to the original baseline. Those two steps separate the level being priced from the shape of the aging path.</w:t>
      </w:r>
    </w:p>
    <w:p w14:paraId="316CD094" w14:textId="77777777" w:rsidR="00FD10A4" w:rsidRPr="007E751A" w:rsidRDefault="00000000">
      <w:pPr>
        <w:pStyle w:val="Heading2"/>
        <w:keepNext/>
        <w:spacing w:before="280" w:after="140"/>
        <w:rPr>
          <w:rFonts w:asciiTheme="minorHAnsi" w:hAnsiTheme="minorHAnsi" w:cstheme="minorHAnsi"/>
        </w:rPr>
      </w:pPr>
      <w:r w:rsidRPr="007E751A">
        <w:rPr>
          <w:rFonts w:asciiTheme="minorHAnsi" w:hAnsiTheme="minorHAnsi" w:cstheme="minorHAnsi"/>
        </w:rPr>
        <w:t>3. How the Aging Curve Works</w:t>
      </w:r>
    </w:p>
    <w:p>
      <w:pPr>
        <w:spacing w:after="200"/>
        <w:rPr>
          <w:rFonts w:asciiTheme="minorHAnsi" w:hAnsiTheme="minorHAnsi" w:cstheme="minorHAnsi"/>
        </w:rPr>
      </w:pPr>
      <w:r>
        <w:t>The aging curve estimates how a player's production is likely to change over the remaining years of his contract. It uses the later careers of players who resembled him at the same age. The calculation has two parts: build a path showing the expected change in performance, then apply that change to the production estimate from Section 2. Keeping those parts separate allows the projection to use comparable players without replacing the player's own recent production with their production level.</w:t>
      </w:r>
    </w:p>
    <w:p>
      <w:pPr>
        <w:pStyle w:val="Heading3"/>
        <w:keepNext/>
      </w:pPr>
      <w:r>
        <w:t>Start with information available at the valuation date</w:t>
      </w:r>
    </w:p>
    <w:p>
      <w:pPr>
        <w:spacing w:after="200"/>
        <w:rPr>
          <w:rFonts w:asciiTheme="minorHAnsi" w:hAnsiTheme="minorHAnsi" w:cstheme="minorHAnsi"/>
        </w:rPr>
      </w:pPr>
      <w:r>
        <w:t>For a valuation in 2025-26, the model first looks for the player's usable 2024-25 season in the aging data. If that season is unavailable, it tries 2023-24. It uses his age and performance in that earlier season to find comparable players. It does not use his performance during 2025-26 to decide whom he resembles.</w:t>
      </w:r>
    </w:p>
    <w:p>
      <w:pPr>
        <w:spacing w:after="200"/>
        <w:rPr>
          <w:rFonts w:asciiTheme="minorHAnsi" w:hAnsiTheme="minorHAnsi" w:cstheme="minorHAnsi"/>
        </w:rPr>
      </w:pPr>
      <w:r>
        <w:t>For example, consider a forward aged 26 in the valuation season who was 25 in the previous season. The model compares his age-25 profile with other forwards' profiles at age 25. It then follows what happened to those players as they grew older. Age is measured in whole years as of February 1 in the season's ending year.</w:t>
      </w:r>
    </w:p>
    <w:p>
      <w:pPr>
        <w:spacing w:after="200"/>
        <w:rPr>
          <w:rFonts w:asciiTheme="minorHAnsi" w:hAnsiTheme="minorHAnsi" w:cstheme="minorHAnsi"/>
        </w:rPr>
      </w:pPr>
      <w:r>
        <w:t>The aging data require at least twenty games in a season. A profile in the comparable-player pool also needs two consecutive qualifying seasons, because it describes recent form and the change from one year to the next. A gap between ages 24 and 27 cannot be treated as a one-year change. The player being valued can use a single-season profile when his preceding season is missing; the comparable pool retains its two-season requirement. If neither of his two preceding seasons can supply a usable curve, the projection uses the fallback described in Section 4.</w:t>
      </w:r>
    </w:p>
    <w:p>
      <w:pPr>
        <w:pStyle w:val="Heading3"/>
        <w:keepNext/>
      </w:pPr>
      <w:r>
        <w:t>Describe the player before looking for similar players</w:t>
      </w:r>
    </w:p>
    <w:p>
      <w:pPr>
        <w:spacing w:after="200"/>
        <w:rPr>
          <w:rFonts w:asciiTheme="minorHAnsi" w:hAnsiTheme="minorHAnsi" w:cstheme="minorHAnsi"/>
        </w:rPr>
      </w:pPr>
      <w:r>
        <w:t>Each profile contains eight measures. Five describe playing style using the player's even-strength offensive, even-strength defensive, power-play, penalty-killing, and shooting contributions. The other three describe ice time per game, recent production, and whether production has been rising or falling.</w:t>
      </w:r>
    </w:p>
    <w:p>
      <w:pPr>
        <w:spacing w:after="200"/>
        <w:rPr>
          <w:rFonts w:asciiTheme="minorHAnsi" w:hAnsiTheme="minorHAnsi" w:cstheme="minorHAnsi"/>
        </w:rPr>
      </w:pPr>
      <w:r>
        <w:t>For these comparisons, production is expressed as wins per 82 games: season WAR divided by games played, multiplied by 82. This puts players with different numbers of appearances on a comparable performance scale. For example, two wins in 82 games and one win in 41 games both equal two wins per 82 games. They remain different season totals when the contract's production baseline is calculated.</w:t>
      </w:r>
    </w:p>
    <w:p>
      <w:pPr>
        <w:spacing w:after="200"/>
        <w:rPr>
          <w:rFonts w:asciiTheme="minorHAnsi" w:hAnsiTheme="minorHAnsi" w:cstheme="minorHAnsi"/>
        </w:rPr>
      </w:pPr>
      <w:r>
        <w:t>Recent production in the profile is the simple average of the two consecutive seasons' wins per 82 games. This is what “smoothed production” means here. Averaging reduces the influence of an unusually strong or weak single season. If only one season is available for the player being valued, the profile uses that season. The trend measure records the change between the seasons; with one season, there is no observed trend, so that measure is set to zero.</w:t>
      </w:r>
    </w:p>
    <w:p>
      <w:pPr>
        <w:spacing w:after="200"/>
        <w:rPr>
          <w:rFonts w:asciiTheme="minorHAnsi" w:hAnsiTheme="minorHAnsi" w:cstheme="minorHAnsi"/>
        </w:rPr>
      </w:pPr>
      <w:r>
        <w:t>The five style measures together receive the same total importance as ice time, production level, or trend. These are four equally weighted groups. The measures are first put on comparable numerical scales within position, so a difference measured in minutes does not dominate one measured in wins merely because the numbers are larger. The relative group weights are an assumption; they have not been systematically tested against alternatives.</w:t>
      </w:r>
    </w:p>
    <w:p>
      <w:pPr>
        <w:pStyle w:val="Heading3"/>
        <w:keepNext/>
      </w:pPr>
      <w:r>
        <w:t>Give more influence to closer matches</w:t>
      </w:r>
    </w:p>
    <w:p>
      <w:pPr>
        <w:spacing w:after="200"/>
        <w:rPr>
          <w:rFonts w:asciiTheme="minorHAnsi" w:hAnsiTheme="minorHAnsi" w:cstheme="minorHAnsi"/>
        </w:rPr>
      </w:pPr>
      <w:r>
        <w:t>The model calculates a similarity score from the differences between the profiles. In the code, this is called a distance: a small distance means the players resemble each other on the measured attributes. Forwards are compared with forwards and defencemen with defencemen, at the same age. There is no fixed shortlist of five or ten comparables. Each eligible profile receives a weight, with closer matches receiving more influence.</w:t>
      </w:r>
    </w:p>
    <w:p>
      <w:pPr>
        <w:spacing w:after="200"/>
        <w:rPr>
          <w:rFonts w:asciiTheme="minorHAnsi" w:hAnsiTheme="minorHAnsi" w:cstheme="minorHAnsi"/>
        </w:rPr>
      </w:pPr>
      <w:r>
        <w:t>The weight falls smoothly as the profiles become less alike. To decide how quickly it should fall, the model measures the distances between sampled pairs of profiles within each position and takes the median across those distances. That median is the reference distance. An exact match has weight 1; a profile one reference distance away receives about 0.61, and one twice as far away receives about 0.14. These weights determine influence on the average. They are not probabilities that a player will follow a particular career.</w:t>
      </w:r>
    </w:p>
    <w:p>
      <w:pPr>
        <w:pStyle w:val="Heading3"/>
        <w:keepNext/>
      </w:pPr>
      <w:r>
        <w:t>Stabilize the comparable estimate before using it</w:t>
      </w:r>
    </w:p>
    <w:p>
      <w:pPr>
        <w:spacing w:after="200"/>
        <w:rPr>
          <w:rFonts w:asciiTheme="minorHAnsi" w:hAnsiTheme="minorHAnsi" w:cstheme="minorHAnsi"/>
        </w:rPr>
      </w:pPr>
      <w:r>
        <w:t>The model also calculates a broader average for each position and age, using the eligible careers in the data. It combines that average with the estimate from the comparable players. This prevents a small or weakly matched pool from controlling the projection by itself.</w:t>
      </w:r>
    </w:p>
    <w:p>
      <w:pPr>
        <w:spacing w:after="200"/>
        <w:rPr>
          <w:rFonts w:asciiTheme="minorHAnsi" w:hAnsiTheme="minorHAnsi" w:cstheme="minorHAnsi"/>
        </w:rPr>
      </w:pPr>
      <w:r>
        <w:t>The broader average receives a fixed weight of ten. The comparable side receives the sum of the individual similarity weights for players with an observed value at the age being estimated. For example, if those weights add to twenty, the comparable estimate receives two-thirds of the combined weight and the broader average receives one-third. If the comparable weights add to five, the shares reverse: one-third comparables and two-thirds broader average. The number ten controls how strongly the model relies on the broader evidence; it does not mean ten additional players are selected.</w:t>
      </w:r>
    </w:p>
    <w:p>
      <w:pPr>
        <w:spacing w:after="200"/>
        <w:rPr>
          <w:rFonts w:asciiTheme="minorHAnsi" w:hAnsiTheme="minorHAnsi" w:cstheme="minorHAnsi"/>
        </w:rPr>
      </w:pPr>
      <w:r>
        <w:t>For a worked example, suppose the age-25 comparable players average 2.6 wins per 82 games, their weights sum to twenty, and the broader average for age-25 forwards is 2.0. The combined estimate is (20 times 2.6 plus 10 times 2.0) divided by 30, which equals 2.4 wins per 82 games. The same blending rule will be used for the annual changes in production below.</w:t>
      </w:r>
    </w:p>
    <w:p>
      <w:pPr>
        <w:spacing w:after="200"/>
        <w:rPr>
          <w:rFonts w:asciiTheme="minorHAnsi" w:hAnsiTheme="minorHAnsi" w:cstheme="minorHAnsi"/>
        </w:rPr>
      </w:pPr>
      <w:r>
        <w:t>There is then a separate adjustment between the player's own recent form and this combined comparable estimate. The starting point of his aging curve gives 55% weight to his own smoothed production and 45% to the comparable estimate. This allows some movement toward the level seen among similar players, rather than treating recent form as a permanent level of ability. The evidence for the 55/45 choice is reported in Section 6.</w:t>
      </w:r>
    </w:p>
    <w:p>
      <w:pPr>
        <w:spacing w:after="200"/>
        <w:rPr>
          <w:rFonts w:asciiTheme="minorHAnsi" w:hAnsiTheme="minorHAnsi" w:cstheme="minorHAnsi"/>
        </w:rPr>
      </w:pPr>
      <w:r>
        <w:t>Continue the example with the forward who produced two wins in 82 games at age 25 and one win in 41 games at age 24. His two performance rates are both 2.0 wins per 82 games, so his smoothed rate is 2.0. Combining that with the 2.4 comparable estimate gives an age-25 curve starting point of 2.18: 55% of 2.0 plus 45% of 2.4. This number starts the calculation of the aging path. The contract's starting production estimate remains the 1.6 wins calculated from his season totals in Section 2.</w:t>
      </w:r>
    </w:p>
    <w:p>
      <w:pPr>
        <w:pStyle w:val="Heading3"/>
        <w:keepNext/>
      </w:pPr>
      <w:r>
        <w:t>Estimate what happens as those players grow older</w:t>
      </w:r>
    </w:p>
    <w:p>
      <w:pPr>
        <w:spacing w:after="200"/>
        <w:rPr>
          <w:rFonts w:asciiTheme="minorHAnsi" w:hAnsiTheme="minorHAnsi" w:cstheme="minorHAnsi"/>
        </w:rPr>
      </w:pPr>
      <w:r>
        <w:t>For each comparable player, the model measures the difference between his smoothed production at one age and his smoothed production at the next age. If a player's rate falls from 2.2 wins per 82 games at age 25 to 2.0 at age 26, his observed change is minus 0.2. The model averages these changes using the similarity weights, then combines that result with the broader average change for the same position and ages using the weighting rule above.</w:t>
      </w:r>
    </w:p>
    <w:p>
      <w:pPr>
        <w:spacing w:after="200"/>
        <w:rPr>
          <w:rFonts w:asciiTheme="minorHAnsi" w:hAnsiTheme="minorHAnsi" w:cstheme="minorHAnsi"/>
        </w:rPr>
      </w:pPr>
      <w:r>
        <w:t>This is the meaning of measuring aging within players: compare a player with himself one year later, then average those changes. Comparing two separate groups of 25-year-olds and 26-year-olds could give a different answer because some weaker players leave between those ages. The average among the remaining 26-year-olds could rise even if none of those individuals improved.</w:t>
      </w:r>
    </w:p>
    <w:p>
      <w:pPr>
        <w:spacing w:after="200"/>
        <w:rPr>
          <w:rFonts w:asciiTheme="minorHAnsi" w:hAnsiTheme="minorHAnsi" w:cstheme="minorHAnsi"/>
        </w:rPr>
      </w:pPr>
      <w:r>
        <w:t>The adjustment does not eliminate selection. Measuring a change from 25 to 26 requires a player to be observed at both ages. A comparable who leaves the league contributes no observed change for that transition. The aging curve therefore describes changes among continuing players; the separate exit model estimates the chance that the player being valued stops appearing in the NHL.</w:t>
      </w:r>
    </w:p>
    <w:p>
      <w:pPr>
        <w:spacing w:after="200"/>
        <w:rPr>
          <w:rFonts w:asciiTheme="minorHAnsi" w:hAnsiTheme="minorHAnsi" w:cstheme="minorHAnsi"/>
        </w:rPr>
      </w:pPr>
      <w:r>
        <w:t>The original similarity weights remain fixed as the projection moves forward. At each later age, the model uses the subsequent changes observed for those same comparable players. It does not update the match using the target player's future performance. As fewer comparables supply observations at older ages, the broader age pattern generally receives more influence.</w:t>
      </w:r>
    </w:p>
    <w:p>
      <w:pPr>
        <w:pStyle w:val="Heading3"/>
        <w:keepNext/>
      </w:pPr>
      <w:r>
        <w:t>Apply the aging path to the contract's production baseline</w:t>
      </w:r>
    </w:p>
    <w:p>
      <w:pPr>
        <w:spacing w:after="200"/>
        <w:rPr>
          <w:rFonts w:asciiTheme="minorHAnsi" w:hAnsiTheme="minorHAnsi" w:cstheme="minorHAnsi"/>
        </w:rPr>
      </w:pPr>
      <w:r>
        <w:t>The curve begins at the player's last usable observed age, but the contract valuation begins later. In the example, the observed profile is at age 25 and the valuation season is age 26. The model first projects the curve to age 26, then uses that projected age-26 level as the reference for changes over the contract. It does not use the player's actual age-26 season, which is not yet available at the valuation date.</w:t>
      </w:r>
    </w:p>
    <w:p>
      <w:pPr>
        <w:spacing w:after="200"/>
        <w:rPr>
          <w:rFonts w:asciiTheme="minorHAnsi" w:hAnsiTheme="minorHAnsi" w:cstheme="minorHAnsi"/>
        </w:rPr>
      </w:pPr>
      <w:r>
        <w:t>Suppose the combined age changes are minus 0.18 wins from 25 to 26 and minus 0.30 from 26 to 27. Starting from 2.18, the curve reaches 2.00 at age 26 and 1.70 at age 27. These figures are illustrative inputs chosen to show the calculation, not estimated results for a named player.</w:t>
      </w:r>
    </w:p>
    <w:p>
      <w:pPr>
        <w:spacing w:after="200"/>
        <w:rPr>
          <w:rFonts w:asciiTheme="minorHAnsi" w:hAnsiTheme="minorHAnsi" w:cstheme="minorHAnsi"/>
        </w:rPr>
      </w:pPr>
      <w:r>
        <w:t>The age-27 curve level is 15% below its age-26 level: 1.70 divided by 2.00 equals 0.85. The model applies that same 15% reduction to the contract's 1.6-win production baseline. The valuation season therefore starts at 1.6 wins, and the following season is projected at 1.36 wins, calculated as 1.6 times 0.85.</w:t>
      </w:r>
    </w:p>
    <w:p>
      <w:pPr>
        <w:spacing w:after="200"/>
        <w:rPr>
          <w:rFonts w:asciiTheme="minorHAnsi" w:hAnsiTheme="minorHAnsi" w:cstheme="minorHAnsi"/>
        </w:rPr>
      </w:pPr>
      <w:r>
        <w:t>The player's recent season totals determine where his projection starts; the aging curve determines how much it changes afterward. In this example, the curve supplies a 15% decline, which is applied to the player's own 1.6-win baseline. This keeps his recent contribution, including the effect of games missed, as the starting point. The chance of leaving the NHL is accounted for separately.</w:t>
      </w:r>
    </w:p>
    <w:p>
      <w:pPr>
        <w:pStyle w:val="Heading3"/>
        <w:keepNext/>
      </w:pPr>
      <w:r>
        <w:t>What information still enters from later seasons</w:t>
      </w:r>
    </w:p>
    <w:p>
      <w:pPr>
        <w:spacing w:after="200"/>
        <w:rPr>
          <w:rFonts w:asciiTheme="minorHAnsi" w:hAnsiTheme="minorHAnsi" w:cstheme="minorHAnsi"/>
        </w:rPr>
      </w:pPr>
      <w:r>
        <w:t>The player's own career receives zero weight among his direct comparables. However, the broader position-and-age averages are calculated from the full historical panel, including his career. His later seasons can enter through those averages, and later seasons from other players also influence the fitted curve. The player's profile is dated before the valuation season, but the fitted aging model is not restricted to information available at each historical valuation date. The size of that remaining exposure has not been measured.</w:t>
      </w:r>
    </w:p>
    <w:p w14:paraId="5166618F" w14:textId="77777777" w:rsidR="00FD10A4" w:rsidRPr="007E751A" w:rsidRDefault="00000000">
      <w:pPr>
        <w:pStyle w:val="Heading2"/>
        <w:keepNext/>
        <w:spacing w:before="280" w:after="140"/>
        <w:rPr>
          <w:rFonts w:asciiTheme="minorHAnsi" w:hAnsiTheme="minorHAnsi" w:cstheme="minorHAnsi"/>
        </w:rPr>
      </w:pPr>
      <w:r w:rsidRPr="007E751A">
        <w:rPr>
          <w:rFonts w:asciiTheme="minorHAnsi" w:hAnsiTheme="minorHAnsi" w:cstheme="minorHAnsi"/>
        </w:rPr>
        <w:t>4. Where the Projection Uses a Rule Instead</w:t>
      </w:r>
    </w:p>
    <w:p>
      <w:pPr>
        <w:spacing w:after="200"/>
        <w:rPr>
          <w:rFonts w:asciiTheme="minorHAnsi" w:hAnsiTheme="minorHAnsi" w:cstheme="minorHAnsi"/>
        </w:rPr>
      </w:pPr>
      <w:r>
        <w:t>Several limits prevent the ratio calculation from producing extreme projections. These are chosen modeling safeguards rather than estimated aging parameters. If the curve's level in the valuation season is 0.25 wins per 82 games or less, the model holds the player's production baseline constant instead of calculating percentage changes from that small number. For example, moving from 0.10 to 0.30 is a small gain in wins but a tripling in percentage terms. Applying that percentage to a much larger production baseline could create an implausible forecast.</w:t>
      </w:r>
    </w:p>
    <w:p>
      <w:pPr>
        <w:spacing w:after="200"/>
        <w:rPr>
          <w:rFonts w:asciiTheme="minorHAnsi" w:hAnsiTheme="minorHAnsi" w:cstheme="minorHAnsi"/>
        </w:rPr>
      </w:pPr>
      <w:r>
        <w:t>The 0.25 cutoff was not selected by testing which threshold best predicts future production. A later review considered raising it to 0.40, but the recorded diagnostic did not support that change: it would have sent additional contracts onto flat projections without fixing most of the negative-ratio cases under review. That check supports retaining the existing safeguard over that proposed change; it does not establish that 0.25 is the optimal cutoff.</w:t>
      </w:r>
    </w:p>
    <w:p>
      <w:pPr>
        <w:spacing w:after="200"/>
        <w:rPr>
          <w:rFonts w:asciiTheme="minorHAnsi" w:hAnsiTheme="minorHAnsi" w:cstheme="minorHAnsi"/>
        </w:rPr>
      </w:pPr>
      <w:r>
        <w:t>For curves that pass the starting-level check, the multiplier is capped at three, so projected production cannot exceed three times the player's baseline through this calculation. Three is a chosen upper limit, not an estimated maximum growth rate. It did not constrain any rows in the recorded review. The multiplier is also floored at zero, preventing a positive starting estimate from turning negative when the fitted curve falls below zero. That floor expresses the model's replacement-level convention; it is not a claim that below-replacement seasons cannot occur.</w:t>
      </w:r>
    </w:p>
    <w:p>
      <w:pPr>
        <w:spacing w:after="200"/>
        <w:rPr>
          <w:rFonts w:asciiTheme="minorHAnsi" w:hAnsiTheme="minorHAnsi" w:cstheme="minorHAnsi"/>
        </w:rPr>
      </w:pPr>
      <w:r>
        <w:t>The remaining flat projections are fallbacks for missing evidence. If no usable curve can be constructed, the baseline is held constant. If the contract extends beyond the ages covered by the curve, the last available multiplier is carried forward. Neither rule is an empirical finding that the player stops aging.</w:t>
      </w:r>
    </w:p>
    <w:p>
      <w:pPr>
        <w:spacing w:after="200"/>
        <w:rPr>
          <w:rFonts w:asciiTheme="minorHAnsi" w:hAnsiTheme="minorHAnsi" w:cstheme="minorHAnsi"/>
        </w:rPr>
      </w:pPr>
      <w:r>
        <w:t>A negative production baseline gets separate treatment because ordinary percentage changes behave misleadingly below zero. For example, suppose the baseline is -0.5 wins and the aging curve implies a 10% decline. Multiplying -0.5 by 0.90 gives -0.45, which is an improvement toward zero. Conversely, multiplying by 1.20, a factor that would improve a positive player by 20%, gives -0.60 and makes this player's projection worse.</w:t>
      </w:r>
    </w:p>
    <w:p>
      <w:pPr>
        <w:spacing w:after="200"/>
        <w:rPr>
          <w:rFonts w:asciiTheme="minorHAnsi" w:hAnsiTheme="minorHAnsi" w:cstheme="minorHAnsi"/>
        </w:rPr>
      </w:pPr>
      <w:r>
        <w:t>The model therefore keeps the -0.5 estimate in the valuation season and projects zero WAR in each later season. Zero WAR means replacement-level production. This rule does not come from estimating a percentage decline for negative players; it was chosen after comparing ways of handling those baselines. The backcast results below provide the evidence for that choice. The same zero floor applied to declining positive baselines is a related modeling convention, not a separately estimated boundary.</w:t>
      </w:r>
    </w:p>
    <w:p w14:paraId="07EA853F" w14:textId="77777777" w:rsidR="00FD10A4" w:rsidRPr="007E751A" w:rsidRDefault="00000000">
      <w:pPr>
        <w:spacing w:after="200"/>
        <w:rPr>
          <w:rFonts w:asciiTheme="minorHAnsi" w:hAnsiTheme="minorHAnsi" w:cstheme="minorHAnsi"/>
        </w:rPr>
      </w:pPr>
      <w:r w:rsidRPr="007E751A">
        <w:rPr>
          <w:rFonts w:asciiTheme="minorHAnsi" w:hAnsiTheme="minorHAnsi" w:cstheme="minorHAnsi"/>
        </w:rPr>
        <w:t>The supporting rebound evidence concerns players who continued playing. It cannot show what happened to those who disappeared from the data, and it does not remove their exit risk. Zero WAR also does not mean zero dollar value: the pricing equation assigns a positive price to replacement-level production.</w:t>
      </w:r>
    </w:p>
    <w:p w14:paraId="4B067F41" w14:textId="77777777" w:rsidR="00FD10A4" w:rsidRPr="007E751A" w:rsidRDefault="00000000">
      <w:pPr>
        <w:spacing w:after="200"/>
        <w:rPr>
          <w:rFonts w:asciiTheme="minorHAnsi" w:hAnsiTheme="minorHAnsi" w:cstheme="minorHAnsi"/>
        </w:rPr>
      </w:pPr>
      <w:r w:rsidRPr="007E751A">
        <w:rPr>
          <w:rFonts w:asciiTheme="minorHAnsi" w:hAnsiTheme="minorHAnsi" w:cstheme="minorHAnsi"/>
        </w:rPr>
        <w:t xml:space="preserve">The recorded 2018-2022 </w:t>
      </w:r>
      <w:proofErr w:type="spellStart"/>
      <w:r w:rsidRPr="007E751A">
        <w:rPr>
          <w:rFonts w:asciiTheme="minorHAnsi" w:hAnsiTheme="minorHAnsi" w:cstheme="minorHAnsi"/>
        </w:rPr>
        <w:t>backcast</w:t>
      </w:r>
      <w:proofErr w:type="spellEnd"/>
      <w:r w:rsidRPr="007E751A">
        <w:rPr>
          <w:rFonts w:asciiTheme="minorHAnsi" w:hAnsiTheme="minorHAnsi" w:cstheme="minorHAnsi"/>
        </w:rPr>
        <w:t xml:space="preserve"> compared replacement reversion with holding negative baselines flat and with reversing the age multiplier. Among the low-baseline players observed again, 93% improved in the next season and 81% became positive. Replacement reversion had mean absolute errors of 0.364, 0.569, and 0.562 wins at one, two, and three years, against 0.551, 0.733, and 0.662 for holding flat. These results support the chosen rule for the observed group. They do not show that all low-value players recover or that future production has no downside uncertainty.</w:t>
      </w:r>
    </w:p>
    <w:p w14:paraId="534CB163" w14:textId="77777777" w:rsidR="00FD10A4" w:rsidRPr="007E751A" w:rsidRDefault="00000000">
      <w:pPr>
        <w:pStyle w:val="Heading2"/>
        <w:keepNext/>
        <w:spacing w:before="280" w:after="140"/>
        <w:rPr>
          <w:rFonts w:asciiTheme="minorHAnsi" w:hAnsiTheme="minorHAnsi" w:cstheme="minorHAnsi"/>
        </w:rPr>
      </w:pPr>
      <w:r w:rsidRPr="007E751A">
        <w:rPr>
          <w:rFonts w:asciiTheme="minorHAnsi" w:hAnsiTheme="minorHAnsi" w:cstheme="minorHAnsi"/>
        </w:rPr>
        <w:t>5. Leaving the NHL</w:t>
      </w:r>
    </w:p>
    <w:p w14:paraId="403DF576" w14:textId="77777777" w:rsidR="00FD10A4" w:rsidRPr="007E751A" w:rsidRDefault="00000000">
      <w:pPr>
        <w:spacing w:after="200"/>
        <w:rPr>
          <w:rFonts w:asciiTheme="minorHAnsi" w:hAnsiTheme="minorHAnsi" w:cstheme="minorHAnsi"/>
        </w:rPr>
      </w:pPr>
      <w:r w:rsidRPr="007E751A">
        <w:rPr>
          <w:rFonts w:asciiTheme="minorHAnsi" w:hAnsiTheme="minorHAnsi" w:cstheme="minorHAnsi"/>
        </w:rPr>
        <w:t>The exit model estimates the chance that a player with at least ten games in one season has no NHL performance record in the next. Any next-season appearance counts as continued participation. A player who misses a season and later returns still counts as an exit in that transition; later returns are recorded separately.</w:t>
      </w:r>
    </w:p>
    <w:p>
      <w:pPr>
        <w:spacing w:after="200"/>
        <w:rPr>
          <w:rFonts w:asciiTheme="minorHAnsi" w:hAnsiTheme="minorHAnsi" w:cstheme="minorHAnsi"/>
        </w:rPr>
      </w:pPr>
      <w:r>
        <w:t>The exit model uses transitions from 2018 through 2024. It groups players by that season's production: below zero WAR, zero to less than one win, one to less than three wins, and at least three wins. It also divides them into five age groups: 22 and under, 23-26, 27-30, 31-34, and 35 or older. There are therefore twenty possible age-and-quality combinations.</w:t>
      </w:r>
    </w:p>
    <w:p>
      <w:pPr>
        <w:spacing w:after="200"/>
        <w:rPr>
          <w:rFonts w:asciiTheme="minorHAnsi" w:hAnsiTheme="minorHAnsi" w:cstheme="minorHAnsi"/>
        </w:rPr>
      </w:pPr>
      <w:r>
        <w:t>One way to estimate risk would be to calculate a separate departure rate for each combination. For example, among star players aged 31-34, none of the forty observed player-seasons was followed by an NHL absence. Using that group's departure count alone would assign it zero exit risk. Forty observations with no departure are not enough to establish that a future player in this group is certain to continue.</w:t>
      </w:r>
    </w:p>
    <w:p>
      <w:pPr>
        <w:spacing w:after="200"/>
        <w:rPr>
          <w:rFonts w:asciiTheme="minorHAnsi" w:hAnsiTheme="minorHAnsi" w:cstheme="minorHAnsi"/>
        </w:rPr>
      </w:pPr>
      <w:r>
        <w:t>The model instead estimates the relationship between quality and exit across the age groups, and the relationship between age and exit across the quality groups. These relationships are fitted together. A star aged 31-34 is therefore informed by the wider evidence about stars and about players in that age group, rather than only the forty observations at their intersection. The fitted exit probability for this group is about 1.2% a year.</w:t>
      </w:r>
    </w:p>
    <w:p>
      <w:pPr>
        <w:spacing w:after="200"/>
        <w:rPr>
          <w:rFonts w:asciiTheme="minorHAnsi" w:hAnsiTheme="minorHAnsi" w:cstheme="minorHAnsi"/>
        </w:rPr>
      </w:pPr>
      <w:r>
        <w:t>This is a logistic model, which converts the estimated age and quality relationships into probabilities between zero and one. It uses a common age pattern across quality groups, applied at their different underlying levels of risk. It does not give each quality group a separately fitted age pattern. An age-group adjustment can still produce a different change in exit probability for stars than for fringe players because their starting risks differ.</w:t>
      </w:r>
    </w:p>
    <w:p>
      <w:pPr>
        <w:spacing w:after="200"/>
        <w:rPr>
          <w:rFonts w:asciiTheme="minorHAnsi" w:hAnsiTheme="minorHAnsi" w:cstheme="minorHAnsi"/>
        </w:rPr>
      </w:pPr>
      <w:r>
        <w:t>A comparison with a more flexible model allowed the age pattern to differ by quality group. The extra flexibility did not improve the fit enough to justify it in the recorded test (p = 0.955), so the simpler model was retained. That result means the data did not provide evidence for those additional differences; it does not prove that stars and fringe players age identically in their exit risk. The transition sample contains 5,346 observations, of which 5,344 have the age information used in this fit. Players with unknown age use the overall observed departure rate for their quality group.</w:t>
      </w:r>
    </w:p>
    <w:p w14:paraId="477767C1" w14:textId="77777777" w:rsidR="00FD10A4" w:rsidRPr="007E751A" w:rsidRDefault="00000000">
      <w:pPr>
        <w:spacing w:after="200"/>
        <w:rPr>
          <w:rFonts w:asciiTheme="minorHAnsi" w:hAnsiTheme="minorHAnsi" w:cstheme="minorHAnsi"/>
        </w:rPr>
      </w:pPr>
      <w:r w:rsidRPr="007E751A">
        <w:rPr>
          <w:rFonts w:asciiTheme="minorHAnsi" w:hAnsiTheme="minorHAnsi" w:cstheme="minorHAnsi"/>
        </w:rPr>
        <w:t>The boundaries are chosen for interpretability, not recovered from an optimization. A player just below one win can receive a different exit probability from one just above it despite similar underlying ability. In the recorded fitted table, regular players aged 27-30 have an annual exit probability of about 0.94%, compared with 9.37% for fringe players of the same age. That gap makes classification near a boundary consequential. The pandemic transition also needs care because opt-outs, loans, and other temporary absences can be counted as departures.</w:t>
      </w:r>
    </w:p>
    <w:p w14:paraId="4AD422DE" w14:textId="77777777" w:rsidR="00FD10A4" w:rsidRPr="007E751A" w:rsidRDefault="00000000">
      <w:pPr>
        <w:spacing w:after="200"/>
        <w:rPr>
          <w:rFonts w:asciiTheme="minorHAnsi" w:hAnsiTheme="minorHAnsi" w:cstheme="minorHAnsi"/>
        </w:rPr>
      </w:pPr>
      <w:r w:rsidRPr="007E751A">
        <w:rPr>
          <w:rFonts w:asciiTheme="minorHAnsi" w:hAnsiTheme="minorHAnsi" w:cstheme="minorHAnsi"/>
        </w:rPr>
        <w:t>For a projected contract year, the lookup uses the preceding year's projected age and quality. Annual continuation probabilities are multiplied to get the chance of reaching that year. The valuation season starts with survival equal to one.</w:t>
      </w:r>
    </w:p>
    <w:p w14:paraId="474A6AA0" w14:textId="77777777" w:rsidR="00FD10A4" w:rsidRPr="007E751A" w:rsidRDefault="00000000">
      <w:pPr>
        <w:spacing w:after="200"/>
        <w:rPr>
          <w:rFonts w:asciiTheme="minorHAnsi" w:hAnsiTheme="minorHAnsi" w:cstheme="minorHAnsi"/>
        </w:rPr>
      </w:pPr>
      <w:r w:rsidRPr="007E751A">
        <w:rPr>
          <w:rFonts w:asciiTheme="minorHAnsi" w:hAnsiTheme="minorHAnsi" w:cstheme="minorHAnsi"/>
        </w:rPr>
        <w:lastRenderedPageBreak/>
        <w:t>If annual exit risk were a constant 10%, the chance of reaching the following season would be 90%, and the chance of reaching the season after that would be 81%. In the actual calculation the probabilities change with projected age and quality. This is why a modest annual risk can meaningfully reduce the distant years of a contract.</w:t>
      </w:r>
    </w:p>
    <w:p w14:paraId="0CE95D03" w14:textId="77777777" w:rsidR="00FD10A4" w:rsidRPr="007E751A" w:rsidRDefault="00000000">
      <w:pPr>
        <w:spacing w:after="200"/>
        <w:rPr>
          <w:rFonts w:asciiTheme="minorHAnsi" w:hAnsiTheme="minorHAnsi" w:cstheme="minorHAnsi"/>
        </w:rPr>
      </w:pPr>
      <w:r w:rsidRPr="007E751A">
        <w:rPr>
          <w:rFonts w:asciiTheme="minorHAnsi" w:hAnsiTheme="minorHAnsi" w:cstheme="minorHAnsi"/>
        </w:rPr>
        <w:t>This is an approximation to continued NHL participation, not a model of injury, retirement, and temporary absence separately. It treats departure as permanent when accumulating survival probabilities even though some players return. Aging, the replacement-level rule, and exit risk each handle a different part of future production, but their combined behavior still needs checking for players near replacement level.</w:t>
      </w:r>
    </w:p>
    <w:p w14:paraId="6FA1EA3E" w14:textId="77777777" w:rsidR="00FD10A4" w:rsidRPr="007E751A" w:rsidRDefault="00000000">
      <w:pPr>
        <w:spacing w:after="200"/>
        <w:rPr>
          <w:rFonts w:asciiTheme="minorHAnsi" w:hAnsiTheme="minorHAnsi" w:cstheme="minorHAnsi"/>
        </w:rPr>
      </w:pPr>
      <w:r w:rsidRPr="007E751A">
        <w:rPr>
          <w:rFonts w:asciiTheme="minorHAnsi" w:hAnsiTheme="minorHAnsi" w:cstheme="minorHAnsi"/>
        </w:rPr>
        <w:t>The projection also responds slowly to breakouts. A strong season in progress cannot enter a baseline restricted to completed seasons. That protects the historical information rule while leaving the model behind a club that has already seen convincing improvement.</w:t>
      </w:r>
    </w:p>
    <w:p w14:paraId="31A44888" w14:textId="77777777" w:rsidR="00FD10A4" w:rsidRPr="007E751A" w:rsidRDefault="00000000">
      <w:pPr>
        <w:pStyle w:val="Heading2"/>
        <w:keepNext/>
        <w:spacing w:before="280" w:after="140"/>
        <w:rPr>
          <w:rFonts w:asciiTheme="minorHAnsi" w:hAnsiTheme="minorHAnsi" w:cstheme="minorHAnsi"/>
        </w:rPr>
      </w:pPr>
      <w:r w:rsidRPr="007E751A">
        <w:rPr>
          <w:rFonts w:asciiTheme="minorHAnsi" w:hAnsiTheme="minorHAnsi" w:cstheme="minorHAnsi"/>
        </w:rPr>
        <w:t>6. Validation and Remaining Choices</w:t>
      </w:r>
    </w:p>
    <w:p w14:paraId="067F5490" w14:textId="77777777" w:rsidR="00FD10A4" w:rsidRPr="007E751A" w:rsidRDefault="00000000">
      <w:pPr>
        <w:spacing w:after="200"/>
        <w:rPr>
          <w:rFonts w:asciiTheme="minorHAnsi" w:hAnsiTheme="minorHAnsi" w:cstheme="minorHAnsi"/>
        </w:rPr>
      </w:pPr>
      <w:r w:rsidRPr="007E751A">
        <w:rPr>
          <w:rFonts w:asciiTheme="minorHAnsi" w:hAnsiTheme="minorHAnsi" w:cstheme="minorHAnsi"/>
        </w:rPr>
        <w:t>The recorded aging-model validation split players across five folds, keeping a held-out player's career together rather than scattering his seasons between training and evaluation. The hybrid curve's mean absolute error was 0.898 wins per 82 games at one year and 1.034 at six years. The previous position-only curve produced 1.048 and 1.264; holding current production flat produced 1.055 and 1.364. Mean absolute error is the average size of a forecast miss, ignoring its sign. These comparisons measure future production among observable outcomes, not the accuracy of the final contract dollar values.</w:t>
      </w:r>
    </w:p>
    <w:p w14:paraId="5DDBD2E8" w14:textId="77777777" w:rsidR="00FD10A4" w:rsidRPr="007E751A" w:rsidRDefault="00000000">
      <w:pPr>
        <w:spacing w:after="200"/>
        <w:rPr>
          <w:rFonts w:asciiTheme="minorHAnsi" w:hAnsiTheme="minorHAnsi" w:cstheme="minorHAnsi"/>
        </w:rPr>
      </w:pPr>
      <w:r w:rsidRPr="007E751A">
        <w:rPr>
          <w:rFonts w:asciiTheme="minorHAnsi" w:hAnsiTheme="minorHAnsi" w:cstheme="minorHAnsi"/>
        </w:rPr>
        <w:t>The 55% weight on the player's own smoothed level was selected in the aging-model validation and checked again after the career data were rebuilt. In that later comparison, average error was 1.0068 at a weight of 0.55, compared with 1.0110 at 0.45 and 1.0095 at 0.65. The nearby settings are close, so the result supports the chosen blend without establishing that 0.55 is uniquely precise. No separate blend has been selected for different player-quality groups.</w:t>
      </w:r>
    </w:p>
    <w:p w14:paraId="5536E9C5" w14:textId="77777777" w:rsidR="00FD10A4" w:rsidRPr="007E751A" w:rsidRDefault="00000000">
      <w:pPr>
        <w:spacing w:after="200"/>
        <w:rPr>
          <w:rFonts w:asciiTheme="minorHAnsi" w:hAnsiTheme="minorHAnsi" w:cstheme="minorHAnsi"/>
        </w:rPr>
      </w:pPr>
      <w:r w:rsidRPr="007E751A">
        <w:rPr>
          <w:rFonts w:asciiTheme="minorHAnsi" w:hAnsiTheme="minorHAnsi" w:cstheme="minorHAnsi"/>
        </w:rPr>
        <w:t>That evidence does not validate every weight in the pipeline. The raw 60/40 valuation baseline is a separate choice. A recorded comparison favored a three-season 50/30/20 baseline, but it has not been adopted. Changing it would require a consistent rule for short histories, a new check of the aging blend, and refitting the price equation and downstream values. The comparison gives a reason to revisit the choice; it is not a change already operating in this model.</w:t>
      </w:r>
    </w:p>
    <w:p w14:paraId="36B2FC17" w14:textId="77777777" w:rsidR="00FD10A4" w:rsidRPr="007E751A" w:rsidRDefault="00000000">
      <w:pPr>
        <w:spacing w:after="200"/>
        <w:rPr>
          <w:rFonts w:asciiTheme="minorHAnsi" w:hAnsiTheme="minorHAnsi" w:cstheme="minorHAnsi"/>
        </w:rPr>
      </w:pPr>
      <w:r w:rsidRPr="007E751A">
        <w:rPr>
          <w:rFonts w:asciiTheme="minorHAnsi" w:hAnsiTheme="minorHAnsi" w:cstheme="minorHAnsi"/>
        </w:rPr>
        <w:t>These are recorded validation exercises, distinct from the full-panel model used to generate the current historical valuations. The direct exclusion and pooled-profile limitations described above still apply to that production model. A complete historical forecasting test would rebuild the relevant estimates using only data available at each date.</w:t>
      </w:r>
    </w:p>
    <w:sectPr w:rsidR="00FD10A4" w:rsidRPr="007E751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E0761"/>
    <w:multiLevelType w:val="hybridMultilevel"/>
    <w:tmpl w:val="4A842726"/>
    <w:lvl w:ilvl="0" w:tplc="56C09BFC">
      <w:start w:val="1"/>
      <w:numFmt w:val="bullet"/>
      <w:lvlText w:val="●"/>
      <w:lvlJc w:val="left"/>
      <w:pPr>
        <w:ind w:left="720" w:hanging="360"/>
      </w:pPr>
    </w:lvl>
    <w:lvl w:ilvl="1" w:tplc="A78AC8D8">
      <w:start w:val="1"/>
      <w:numFmt w:val="bullet"/>
      <w:lvlText w:val="○"/>
      <w:lvlJc w:val="left"/>
      <w:pPr>
        <w:ind w:left="1440" w:hanging="360"/>
      </w:pPr>
    </w:lvl>
    <w:lvl w:ilvl="2" w:tplc="AFDAB022">
      <w:start w:val="1"/>
      <w:numFmt w:val="bullet"/>
      <w:lvlText w:val="■"/>
      <w:lvlJc w:val="left"/>
      <w:pPr>
        <w:ind w:left="2160" w:hanging="360"/>
      </w:pPr>
    </w:lvl>
    <w:lvl w:ilvl="3" w:tplc="A664C3AC">
      <w:start w:val="1"/>
      <w:numFmt w:val="bullet"/>
      <w:lvlText w:val="●"/>
      <w:lvlJc w:val="left"/>
      <w:pPr>
        <w:ind w:left="2880" w:hanging="360"/>
      </w:pPr>
    </w:lvl>
    <w:lvl w:ilvl="4" w:tplc="26B43ECE">
      <w:start w:val="1"/>
      <w:numFmt w:val="bullet"/>
      <w:lvlText w:val="○"/>
      <w:lvlJc w:val="left"/>
      <w:pPr>
        <w:ind w:left="3600" w:hanging="360"/>
      </w:pPr>
    </w:lvl>
    <w:lvl w:ilvl="5" w:tplc="CD224704">
      <w:start w:val="1"/>
      <w:numFmt w:val="bullet"/>
      <w:lvlText w:val="■"/>
      <w:lvlJc w:val="left"/>
      <w:pPr>
        <w:ind w:left="4320" w:hanging="360"/>
      </w:pPr>
    </w:lvl>
    <w:lvl w:ilvl="6" w:tplc="B546D15E">
      <w:start w:val="1"/>
      <w:numFmt w:val="bullet"/>
      <w:lvlText w:val="●"/>
      <w:lvlJc w:val="left"/>
      <w:pPr>
        <w:ind w:left="5040" w:hanging="360"/>
      </w:pPr>
    </w:lvl>
    <w:lvl w:ilvl="7" w:tplc="ABF8CE32">
      <w:start w:val="1"/>
      <w:numFmt w:val="bullet"/>
      <w:lvlText w:val="●"/>
      <w:lvlJc w:val="left"/>
      <w:pPr>
        <w:ind w:left="5760" w:hanging="360"/>
      </w:pPr>
    </w:lvl>
    <w:lvl w:ilvl="8" w:tplc="D2CA3600">
      <w:start w:val="1"/>
      <w:numFmt w:val="bullet"/>
      <w:lvlText w:val="●"/>
      <w:lvlJc w:val="left"/>
      <w:pPr>
        <w:ind w:left="6480" w:hanging="360"/>
      </w:pPr>
    </w:lvl>
  </w:abstractNum>
  <w:num w:numId="1" w16cid:durableId="1016349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0A4"/>
    <w:rsid w:val="002F0D96"/>
    <w:rsid w:val="00563F95"/>
    <w:rsid w:val="007E751A"/>
    <w:rsid w:val="0091049F"/>
    <w:rsid w:val="009105B3"/>
    <w:rsid w:val="00C444E1"/>
    <w:rsid w:val="00E23368"/>
    <w:rsid w:val="00FD10A4"/>
    <w:rsid w:val="00FE2E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20F26"/>
  <w15:docId w15:val="{173A5462-0475-469F-8A75-9FA89289B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2181</Words>
  <Characters>12432</Characters>
  <Application>Microsoft Office Word</Application>
  <DocSecurity>0</DocSecurity>
  <Lines>103</Lines>
  <Paragraphs>29</Paragraphs>
  <ScaleCrop>false</ScaleCrop>
  <Company/>
  <LinksUpToDate>false</LinksUpToDate>
  <CharactersWithSpaces>14584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Mihaljevic</cp:lastModifiedBy>
  <cp:revision>8</cp:revision>
  <dcterms:created xsi:type="dcterms:W3CDTF">2026-09-09T20:55:00Z</dcterms:created>
  <dcterms:modified xsi:type="dcterms:W3CDTF">2026-09-10T11:54:00Z</dcterms:modified>
</cp:coreProperties>
</file>