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Player Pillar I: Data, Production, and Aging</w:t>
      </w:r>
    </w:p>
    <w:p>
      <w:pPr>
        <w:spacing w:after="200"/>
        <w:jc w:val="left"/>
      </w:pPr>
      <w:r>
        <w:t>A player's contract value starts with an estimate of what he will produce. For skaters, the model uses Bacon's wins above replacement (WAR), projects that production through the remaining contract, and accounts separately for the chance that the player leaves the NHL. The dollar price and contract costs enter in Document 3.</w:t>
      </w:r>
    </w:p>
    <w:p>
      <w:pPr>
        <w:spacing w:after="200"/>
        <w:jc w:val="left"/>
      </w:pPr>
      <w:r>
        <w:t>The starting estimate uses completed seasons before the valuation season. That keeps the player's current form out of his own baseline. It does not make the whole model a historical forecast: the aging curves and exit probabilities are estimated using a shared historical sample, including seasons after some valuation dates.</w:t>
      </w:r>
    </w:p>
    <w:p>
      <w:pPr>
        <w:pStyle w:val="Heading2"/>
        <w:keepNext/>
        <w:spacing w:after="140" w:before="280"/>
      </w:pPr>
      <w:r>
        <w:t>1. Joining the Data</w:t>
      </w:r>
    </w:p>
    <w:p>
      <w:pPr>
        <w:spacing w:after="200"/>
        <w:jc w:val="left"/>
      </w:pPr>
      <w: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pPr>
        <w:spacing w:after="200"/>
        <w:jc w:val="left"/>
      </w:pPr>
      <w:r>
        <w:t>PuckPedia supplies contract terms and the trade ledger. 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 check and a proposed allocation measure, as explained in Document 1.</w:t>
      </w:r>
    </w:p>
    <w:p>
      <w:pPr>
        <w:spacing w:after="200"/>
        <w:jc w:val="left"/>
      </w:pPr>
      <w:r>
        <w:t>The contract database's player identifier is the main entity key. A separate shared identifier connects clause records, and the NHL identifier connects game-level records. These are different joins, not interchangeable labels for the same field. A record can match the contract source correctly and still fail to match the game data.</w:t>
      </w:r>
    </w:p>
    <w:p>
      <w:pPr>
        <w:spacing w:after="200"/>
        <w:jc w:val="left"/>
      </w:pPr>
      <w:r>
        <w:t>Name cleaning needs to preserve real differences as well as remove spelling differences. The two Elias Petterssons, for example, need a rule that retains the defensive player's distinguishing marker. Conversely, Nick Paul and Nicholas Paul must become one career. A broken career changes the age profile used for a long contract, even when the contract itself is attached to the right person.</w:t>
      </w:r>
    </w:p>
    <w:p>
      <w:pPr>
        <w:spacing w:after="200"/>
        <w:jc w:val="left"/>
      </w:pPr>
      <w:r>
        <w:t>Team splits are a different problem. A traded player's two team records belong to one season and must be added together. Keeping only one understates his games and production. The code aggregates these rows and stops if their combined games exceed a full season, which can indicate that two players have been combined.</w:t>
      </w:r>
    </w:p>
    <w:p>
      <w:pPr>
        <w:spacing w:after="200"/>
        <w:jc w:val="left"/>
      </w:pPr>
      <w:r>
        <w:t>The age join also checks that an identifier agrees with the player's name. An audit found identifiers attached to more than one player. That guard protects subsequent joins, but it does not establish that every age already used to fit the aging and exit models is correct. The possible effect of those earlier records remains an open data check.</w:t>
      </w:r>
    </w:p>
    <w:p>
      <w:pPr>
        <w:spacing w:after="200"/>
        <w:jc w:val="left"/>
      </w:pPr>
      <w:r>
        <w:t>These distinctions affect coverage. No usable performance history means no player-pillar estimate, not zero value. A rookie may have substantial value that belongs in the prospect model. Treating missing information as replacement-level production would assign a price without evidence.</w:t>
      </w:r>
    </w:p>
    <w:p>
      <w:pPr>
        <w:spacing w:after="200"/>
        <w:jc w:val="left"/>
      </w:pPr>
      <w:r>
        <w:t>The recorded trade inventory contains 980 export rows grouped into 946 events, including linked legs of facilitated transactions. Grouping matters because otherwise one economic exchange can be counted more than once. The export begins effectively in 2018, leaving little of the intended 2017-18 window. Its completeness has not been checked against an independent trade source. A clean join establishes that the included records connect; it does not establish that the source includes every trade.</w:t>
      </w:r>
    </w:p>
    <w:p>
      <w:pPr>
        <w:pStyle w:val="Heading2"/>
        <w:keepNext/>
        <w:spacing w:after="140" w:before="280"/>
      </w:pPr>
      <w:r>
        <w:t>2. The Starting Production Estimate</w:t>
      </w:r>
    </w:p>
    <w:p>
      <w:pPr>
        <w:spacing w:after="200"/>
        <w:jc w:val="left"/>
      </w:pPr>
      <w:r>
        <w:t>The skater baseline gives 60% weight to the previous season and 40% to the season before it. A season qualifies with at least ten games. If only one of those two seasons qualifies, it supplies the whole baseline. If neither qualifies, the player is unpriced.</w:t>
      </w:r>
    </w:p>
    <w:p>
      <w:pPr>
        <w:spacing w:after="200"/>
        <w:jc w:val="left"/>
      </w:pPr>
      <w:r>
        <w:t>For example, a player with 2.0 wins last season and 1.0 the season before starts at 1.6 wins: 0.60 times 2.0 plus 0.40 times 1.0. The extra weight on the recent season lets the estimate respond to improvement without treating one strong year as his settled level. With only a qualifying 2.0-win season, the baseline would be 2.0, not 1.2; the missing older season is not assigned zero production.</w:t>
      </w:r>
    </w:p>
    <w:p>
      <w:pPr>
        <w:spacing w:after="200"/>
        <w:jc w:val="left"/>
      </w:pPr>
      <w:r>
        <w:t>Production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pPr>
        <w:spacing w:after="200"/>
        <w:jc w:val="left"/>
      </w:pPr>
      <w:r>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pPr>
        <w:pStyle w:val="Heading2"/>
        <w:keepNext/>
        <w:spacing w:after="140" w:before="280"/>
      </w:pPr>
      <w:r>
        <w:t>3. How the Aging Curve Works</w:t>
      </w:r>
    </w:p>
    <w:p>
      <w:pPr>
        <w:spacing w:after="200"/>
        <w:jc w:val="left"/>
      </w:pPr>
      <w:r>
        <w:t>The model compares a skater with players of the same position at the same age. Similarity depends on playing style, ice time per game, recent production, and recent trajectory. The style measures describe how his value is divided among even-strength offence, even-strength defence, power-play play, penalty killing, and shooting.</w:t>
      </w:r>
    </w:p>
    <w:p>
      <w:pPr>
        <w:spacing w:after="200"/>
        <w:jc w:val="left"/>
      </w:pPr>
      <w:r>
        <w:t>Those five style measures form one group of attributes. Usage, production level, and trend each form another, giving four groups equal weight in the distance calculation. The inputs are standardized within position so a measure with a large numerical scale does not dominate merely because of its units. The penalty component is not included in the matching profile. Equal group weights are a modeling choice; they have not been systematically varied to find an optimum.</w:t>
      </w:r>
    </w:p>
    <w:p>
      <w:pPr>
        <w:spacing w:after="200"/>
        <w:jc w:val="left"/>
      </w:pPr>
      <w:r>
        <w:t>The comparable bank requires at least twenty games per usable season, rather than the ten needed for a valuation baseline. It also requires two consecutive qualifying seasons to form a profile. A season at age 24 followed by the next qualifying entry at age 27 is not treated as a one-year trend. When a target player lacks an adjacent prior season, his own profile uses the available single season, but that abbreviated record is not added to the two-season comparable bank.</w:t>
      </w:r>
    </w:p>
    <w:p>
      <w:pPr>
        <w:spacing w:after="200"/>
        <w:jc w:val="left"/>
      </w:pPr>
      <w:r>
        <w:t>Closer matches receive more weight. The model uses a weighted pool rather than choosing a fixed number of nearest players. When the comparable evidence is thin, it pulls the estimate toward the broader position-and-age pattern. It also pulls the starting level inside the aging model toward the norm for comparable players at that age: 55% comes from the player's smoothed production and 45% from that norm. This is separate from the raw 60/40 baseline used to price the contract.</w:t>
      </w:r>
    </w:p>
    <w:p>
      <w:pPr>
        <w:spacing w:after="200"/>
        <w:jc w:val="left"/>
      </w:pPr>
      <w:r>
        <w:t>The distance scale comes from the median distance between sampled same-position pairs. A nearby player therefore receives substantial weight relative to what counts as a typical difference in this data. To stabilize a thin pool, the code combines the weighted comparable estimate with ten units of weight on the broader position-and-age average. These are weighted units, not necessarily ten actual players. As comparable evidence grows, that common average matters less.</w:t>
      </w:r>
    </w:p>
    <w:p>
      <w:pPr>
        <w:spacing w:after="200"/>
        <w:jc w:val="left"/>
      </w:pPr>
      <w:r>
        <w:t>Matching at one age also avoids requiring a long completed career. A player can enter the age-22 pool even if he leaves the league at 25. Matching whole-career profiles instead would favor players who survived long enough to supply those profiles. This reduces one source of selection, although the later age changes still require observed later seasons.</w:t>
      </w:r>
    </w:p>
    <w:p>
      <w:pPr>
        <w:spacing w:after="200"/>
        <w:jc w:val="left"/>
      </w:pPr>
      <w:r>
        <w:t>Age changes are measured within players. Comparing the average 24-year-old with the average 32-year-old would mix aging with selection: the older group contains the players good enough to remain in the league. Following changes within a career reduces that problem, although it still describes players observed at both ages. Exit risk therefore needs its own estimate.</w:t>
      </w:r>
    </w:p>
    <w:p>
      <w:pPr>
        <w:spacing w:after="200"/>
        <w:jc w:val="left"/>
      </w:pPr>
      <w:r>
        <w:t>For a historical valuation, the comparable profile comes from the player's trailing age, first trying the previous season and then the one before it. The resulting path is scaled so the valuation season starts at the raw baseline. If the curve then falls by 15%, the production estimate falls by 15% too.</w:t>
      </w:r>
    </w:p>
    <w:p>
      <w:pPr>
        <w:spacing w:after="200"/>
        <w:jc w:val="left"/>
      </w:pPr>
      <w:r>
        <w:t>The comparable weights are set from that starting profile. The model then follows the weighted players' changes at later ages, with the broader age pattern filling in thin evidence. It does not search for a new set of comparables using the target player's subsequently observed performance.</w:t>
      </w:r>
    </w:p>
    <w:p>
      <w:pPr>
        <w:spacing w:after="200"/>
        <w:jc w:val="left"/>
      </w:pPr>
      <w:r>
        <w:t>Suppose the internal curve starts at 2.0 wins per 82 games and falls to 1.7. Its multiplier is 1.7 divided by 2.0, or 0.85. Applied to the 1.6-win raw baseline above, that gives 1.36 projected wins. The contract is not priced directly at the curve's 1.7-win level. Keeping the ratio preserves the production units on which the salary equation was estimated.</w:t>
      </w:r>
    </w:p>
    <w:p>
      <w:pPr>
        <w:spacing w:after="200"/>
        <w:jc w:val="left"/>
      </w:pPr>
      <w:r>
        <w:t>The player's own record receives zero weight in the direct comparable pool. However, the pooled age profiles used to stabilize that estimate are built from the full panel, including his record. His later seasons can therefore enter indirectly through those averages. Excluding him from the direct pool does not remove all use of his future information.</w:t>
      </w:r>
    </w:p>
    <w:p>
      <w:pPr>
        <w:pStyle w:val="Heading2"/>
        <w:keepNext/>
        <w:spacing w:after="140" w:before="280"/>
      </w:pPr>
      <w:r>
        <w:t>4. Where the Projection Uses a Rule Instead</w:t>
      </w:r>
    </w:p>
    <w:p>
      <w:pPr>
        <w:spacing w:after="200"/>
        <w:jc w:val="left"/>
      </w:pPr>
      <w:r>
        <w:t>Dividing by a curve level near zero can produce an extreme growth rate. If the curve's starting level is 0.25 wins or less, the model holds the baseline flat. It also uses a flat path when no usable curve is available. Otherwise, the curve multiplier is bounded between zero and three. Beyond the observed age range, it holds the last available multiplier.</w:t>
      </w:r>
    </w:p>
    <w:p>
      <w:pPr>
        <w:spacing w:after="200"/>
        <w:jc w:val="left"/>
      </w:pPr>
      <w:r>
        <w:t>A negative baseline gets separate treatment. The valuation season keeps that negative estimate; later seasons move to zero WAR, or replacement level. This prevents a declining ratio from making a negative player appear to improve through multiplication, or from projecting increasingly negative production far into the future.</w:t>
      </w:r>
    </w:p>
    <w:p>
      <w:pPr>
        <w:spacing w:after="200"/>
        <w:jc w:val="left"/>
      </w:pPr>
      <w:r>
        <w:t>The supporting rebound evidence concerns players who continued playing. It cannot show what happened to those who disappeared from the data, and it does not remove their exit risk. Zero WAR also does not mean zero dollar value: the pricing equation assigns a positive price to replacement-level production.</w:t>
      </w:r>
    </w:p>
    <w:p>
      <w:pPr>
        <w:spacing w:after="200"/>
        <w:jc w:val="left"/>
      </w:pPr>
      <w:r>
        <w:t>The recorded 2018-2022 backcast compared replacement reversion with holding negative baselines flat and with reversing the age multiplier. Among the low-baseline players observed again, 93% improved in the next season and 81% became positive. Replacement reversion had mean absolute errors of 0.364, 0.569, and 0.562 wins at one, two, and three years, against 0.551, 0.733, and 0.662 for holding flat. These results support the chosen rule for the observed group. They do not show that all low-value players recover or that future production has no downside uncertainty.</w:t>
      </w:r>
    </w:p>
    <w:p>
      <w:pPr>
        <w:pStyle w:val="Heading2"/>
        <w:keepNext/>
        <w:spacing w:after="140" w:before="280"/>
      </w:pPr>
      <w:r>
        <w:t>5. Leaving the NHL</w:t>
      </w:r>
    </w:p>
    <w:p>
      <w:pPr>
        <w:spacing w:after="200"/>
        <w:jc w:val="left"/>
      </w:pPr>
      <w: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pPr>
        <w:spacing w:after="200"/>
        <w:jc w:val="left"/>
      </w:pPr>
      <w:r>
        <w:t>The estimate uses transitions from 2018 through 2024. It groups players by age and by that season's production: negative WAR, zero to one win, one to three wins, and at least three wins. A statistical model combines the age and quality effects, smoothing probabilities that would otherwise depend on a few departures in small groups. The available test did not establish a need for separate age effects within every quality group; it did not prove those differences are absent.</w:t>
      </w:r>
    </w:p>
    <w:p>
      <w:pPr>
        <w:spacing w:after="200"/>
        <w:jc w:val="left"/>
      </w:pPr>
      <w:r>
        <w:t>The age groups are 22 and under, 23-26, 27-30, 31-34, and 35 or older. Together with the four quality groups, they form twenty cells. The recorded estimation sample contains 5,346 skater transitions. Some star cells had no observed departures, but assigning those cells zero risk would turn a small sample into certainty that a player continues. The fitted model shares information across the cells instead. It estimates age and quality effects without a separate coefficient for every combination.</w:t>
      </w:r>
    </w:p>
    <w:p>
      <w:pPr>
        <w:spacing w:after="200"/>
        <w:jc w:val="left"/>
      </w:pPr>
      <w:r>
        <w:t>The boundaries are chosen for interpretability, not recovered from an optimization. A player just below one win can receive a different exit probability from one just above it despite similar underlying ability. In the recorded fitted table, regular players aged 27-30 have an annual exit probability of about 0.94%, compared with 9.37% for fringe players of the same age. That gap makes classification near a boundary consequential. The pandemic transition also needs care because opt-outs, loans, and other temporary absences can be counted as departures.</w:t>
      </w:r>
    </w:p>
    <w:p>
      <w:pPr>
        <w:spacing w:after="200"/>
        <w:jc w:val="left"/>
      </w:pPr>
      <w:r>
        <w:t>For a projected contract year, the lookup uses the preceding year's projected age and quality. Annual continuation probabilities are multiplied to get the chance of reaching that year. The valuation season starts with survival equal to one.</w:t>
      </w:r>
    </w:p>
    <w:p>
      <w:pPr>
        <w:spacing w:after="200"/>
        <w:jc w:val="left"/>
      </w:pPr>
      <w:r>
        <w:t>If annual exit risk were a constant 10%, the chance of reaching the following season would be 90%, and the chance of reaching the season after that would be 81%. In the actual calculation the probabilities change with projected age and quality. This is why a modest annual risk can meaningfully reduce the distant years of a contract.</w:t>
      </w:r>
    </w:p>
    <w:p>
      <w:pPr>
        <w:spacing w:after="200"/>
        <w:jc w:val="left"/>
      </w:pPr>
      <w:r>
        <w:t>This is an approximation to continued NHL participation, not a model of injury, retirement, and temporary absence separately. It treats departure as permanent when accumulating survival probabilities even though some players return. Aging, the replacement-level rule, and exit risk each handle a different part of future production, but their combined behavior still needs checking for players near replacement level.</w:t>
      </w:r>
    </w:p>
    <w:p>
      <w:pPr>
        <w:spacing w:after="200"/>
        <w:jc w:val="left"/>
      </w:pPr>
      <w:r>
        <w:t>The projection also responds slowly to breakouts. A strong season in progress cannot enter a baseline restricted to completed seasons. That protects the historical information rule while leaving the model behind a club that has already seen convincing improvement.</w:t>
      </w:r>
    </w:p>
    <w:p>
      <w:pPr>
        <w:pStyle w:val="Heading2"/>
        <w:keepNext/>
        <w:spacing w:after="140" w:before="280"/>
      </w:pPr>
      <w:r>
        <w:t>6. Validation and Remaining Choices</w:t>
      </w:r>
    </w:p>
    <w:p>
      <w:pPr>
        <w:spacing w:after="200"/>
        <w:jc w:val="left"/>
      </w:pPr>
      <w:r>
        <w:t>The recorded aging-model validation split players across five folds, keeping a held-out player's career together rather than scattering his seasons between training and evaluation. The hybrid curve's mean absolute error was 0.898 wins per 82 games at one year and 1.034 at six years. The previous position-only curve produced 1.048 and 1.264; holding current production flat produced 1.055 and 1.364. Mean absolute error is the average size of a forecast miss, ignoring its sign. These comparisons measure future production among observable outcomes, not the accuracy of the final contract dollar values.</w:t>
      </w:r>
    </w:p>
    <w:p>
      <w:pPr>
        <w:spacing w:after="200"/>
        <w:jc w:val="left"/>
      </w:pPr>
      <w:r>
        <w:t>The 55% weight on the player's own smoothed level was selected in the aging-model validation and checked again after the career data were rebuilt. In that later comparison, average error was 1.0068 at a weight of 0.55, compared with 1.0110 at 0.45 and 1.0095 at 0.65. The nearby settings are close, so the result supports the chosen blend without establishing that 0.55 is uniquely precise. No separate blend has been selected for different player-quality groups.</w:t>
      </w:r>
    </w:p>
    <w:p>
      <w:pPr>
        <w:spacing w:after="200"/>
        <w:jc w:val="left"/>
      </w:pPr>
      <w:r>
        <w:t>That evidence does not validate every weight in the pipeline. The raw 60/40 valuation baseline is a separate choice. A recorded comparison favored a three-season 50/30/20 baseline, but it has not been adopted. Changing it would require a consistent rule for short histories, a new check of the aging blend, and refitting the price equation and downstream values. The comparison gives a reason to revisit the choice; it is not a change already operating in this model.</w:t>
      </w:r>
    </w:p>
    <w:p>
      <w:pPr>
        <w:spacing w:after="200"/>
        <w:jc w:val="left"/>
      </w:pPr>
      <w:r>
        <w:t>These are recorded validation exercises, distinct from the full-panel model used to generate the current historical valuations. The direct exclusion and pooled-profile limitations described above still apply to that production model. A complete historical forecasting test would rebuild the relevant estimates using only data available at each date.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2026-09-09T20:55:04.775Z</dcterms:created>
  <dcterms:modified xsi:type="dcterms:W3CDTF">2026-09-09T20:55:04.791Z</dcterms:modified>
</cp:coreProperties>
</file>

<file path=docProps/custom.xml><?xml version="1.0" encoding="utf-8"?>
<Properties xmlns="http://schemas.openxmlformats.org/officeDocument/2006/custom-properties" xmlns:vt="http://schemas.openxmlformats.org/officeDocument/2006/docPropsVTypes"/>
</file>