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Player Pillar II: Pricing, Control Years, and Contract Value</w:t>
      </w:r>
    </w:p>
    <w:p>
      <w:pPr>
        <w:spacing w:after="200"/>
        <w:jc w:val="left"/>
      </w:pPr>
      <w:r>
        <w:t>The player model converts projected wins into a market price, subtracts the contract's cap cost, and adds the expected surplus from any remaining restricted-free-agent control. Future production is reduced for exit risk, and future dollars are discounted. The result is a contract's estimated surplus value at the valuation date.</w:t>
      </w:r>
    </w:p>
    <w:p>
      <w:pPr>
        <w:spacing w:after="200"/>
        <w:jc w:val="left"/>
      </w:pPr>
      <w:r>
        <w:t>This is a market-based price for production. It does not measure a player's total economic contribution to his club or establish that league-wide salaries equal the true value of winning.</w:t>
      </w:r>
    </w:p>
    <w:p>
      <w:pPr>
        <w:pStyle w:val="Heading2"/>
        <w:keepNext/>
        <w:spacing w:after="140" w:before="280"/>
      </w:pPr>
      <w:r>
        <w:t>1. Turning Wins into Dollars</w:t>
      </w:r>
    </w:p>
    <w:p>
      <w:pPr>
        <w:spacing w:after="200"/>
        <w:jc w:val="left"/>
      </w:pPr>
      <w:r>
        <w:t>The skater price equation is estimated on 2,349 contracts starting from 2018 through 2025. Both salary and the league minimum are measured as shares of that season's salary cap. Using cap shares makes contracts from different salary environments more comparable.</w:t>
      </w:r>
    </w:p>
    <w:p>
      <w:pPr>
        <w:spacing w:after="200"/>
        <w:jc w:val="left"/>
      </w:pPr>
      <w:r>
        <w:t>The fit accounts for the salary floor. In 529 observations, pay is at the minimum, so an ordinary straight-line regression would treat a constrained outcome as though pay could have fallen further. The censored regression, also called a Tobit model, allows the underlying fitted price to fall below that boundary while observed pay stops at the minimum.</w:t>
      </w:r>
    </w:p>
    <w:p>
      <w:pPr>
        <w:spacing w:after="200"/>
        <w:jc w:val="left"/>
      </w:pPr>
      <w:r>
        <w:t>An above-minimum contract tells the fit its observed price. A minimum contract contributes the probability that the underlying price would lie at or below that minimum. This does not mean minimum deals were unnegotiated. It means their observed salary alone cannot distinguish a player who would command that exact price from one whose unconstrained price would be lower. The method assumes a linear underlying price and normally distributed residuals around it; accounting for the floor does not remove those assumptions.</w:t>
      </w:r>
    </w:p>
    <w:p>
      <w:pPr>
        <w:spacing w:after="200"/>
        <w:jc w:val="left"/>
      </w:pPr>
      <w:r>
        <w:t>The sample begins in 2018 because earlier contract coverage is thin and selected. The recorded export has 63, 223, and 452 contracts for starts in 2015, 2016, and 2017, compared with roughly 700 a year afterward. Including those earlier years would let whichever contracts survived in the export influence the estimated market rate. The coverage decision reduces that problem at the cost of a shorter estimation window.</w:t>
      </w:r>
    </w:p>
    <w:p>
      <w:pPr>
        <w:spacing w:after="200"/>
        <w:jc w:val="left"/>
      </w:pPr>
      <w:r>
        <w:t>The current equation has an intercept of about 1.325% of the cap. Each projected win adds about 2.123% for a forward or 2.410% for a defenceman. At a $95.5 million cap, these are roughly $1.27 million at zero WAR, plus $2.03 million per forward win or $2.30 million per defence win. The difference is an estimated market price difference between positions, not evidence that a defensive win contributes more to the standings.</w:t>
      </w:r>
    </w:p>
    <w:p>
      <w:pPr>
        <w:spacing w:after="200"/>
        <w:jc w:val="left"/>
      </w:pPr>
      <w:r>
        <w:t>For example, a two-win forward prices at about $5.32 million before any forecast-uncertainty adjustment: the $1.27 million intercept plus two wins at about $2.03 million each. A two-win defenceman prices at about $5.87 million. Subtracting a $4 million cap hit leaves about $1.32 million or $1.87 million in that season, before future survival and discounting. These examples illustrate the equation; they are not estimates for named contracts.</w:t>
      </w:r>
    </w:p>
    <w:p>
      <w:pPr>
        <w:spacing w:after="200"/>
        <w:jc w:val="left"/>
      </w:pPr>
      <w:r>
        <w:t>The shared intercept assigns the same fitted price at zero measured wins. The defence term changes the slope. Its size alone says nothing about how precisely it is estimated; uncertainty depends on the data and the fit. Likewise, the residual scale reported by the censored model is not an ordinary R-squared and should not be read as the percentage of salary variation explained.</w:t>
      </w:r>
    </w:p>
    <w:p>
      <w:pPr>
        <w:spacing w:after="200"/>
        <w:jc w:val="left"/>
      </w:pPr>
      <w:r>
        <w:t>The model uses one skater price equation for restricted and unrestricted free agents. An earlier apparent separation did not survive correction of the sample. It also has no contract-length term. The completed length-term test found no value-side contribution in its tested specification; optional robustness runs using raw Game Value remain unrun. That result does not establish that clubs place no value on cost certainty or flexibility.</w:t>
      </w:r>
    </w:p>
    <w:p>
      <w:pPr>
        <w:spacing w:after="200"/>
        <w:jc w:val="left"/>
      </w:pPr>
      <w:r>
        <w:t>The earlier corrected RFA/UFA comparison gave F = 0.12 and p = 0.887 after goaltenders were removed from the skater sample. That result motivated pooling the skater market; it is not proof that every RFA and UFA faces identical bargaining conditions. The star-RFA interaction examined later is a separate exploratory question and is not included in the current price equation.</w:t>
      </w:r>
    </w:p>
    <w:p>
      <w:pPr>
        <w:spacing w:after="200"/>
        <w:jc w:val="left"/>
      </w:pPr>
      <w:r>
        <w:t>The current equation also pools cap regimes. A common rate makes the historical valuations comparable under one market benchmark, but assumes that pricing relationships are stable enough to apply across the window. Separate era fits can test that assumption. A common cap-share scale does not guarantee stable coefficients, and surplus ratios do not remove any resulting error.</w:t>
      </w:r>
    </w:p>
    <w:p>
      <w:pPr>
        <w:pStyle w:val="Heading2"/>
        <w:keepNext/>
        <w:spacing w:after="140" w:before="280"/>
      </w:pPr>
      <w:r>
        <w:t>2. The Minimum and Forecast Uncertainty</w:t>
      </w:r>
    </w:p>
    <w:p>
      <w:pPr>
        <w:spacing w:after="200"/>
        <w:jc w:val="left"/>
      </w:pPr>
      <w:r>
        <w:t>Skater value cannot fall below the league-minimum salary. For the valuation season, the model applies that floor directly to the price implied by the baseline. Future contract years also allow for uncertainty around projected production.</w:t>
      </w:r>
    </w:p>
    <w:p>
      <w:pPr>
        <w:spacing w:after="200"/>
        <w:jc w:val="left"/>
      </w:pPr>
      <w:r>
        <w:t>The distinction matters near the floor. A forecast error on the downside cannot lower priced value below the minimum, while an error on the upside can raise it. The code averages the floored price over an assumed normal distribution of production rather than flooring only the central forecast. This generally raises expected value near the minimum and makes little difference far above it.</w:t>
      </w:r>
    </w:p>
    <w:p>
      <w:pPr>
        <w:spacing w:after="200"/>
        <w:jc w:val="left"/>
      </w:pPr>
      <w:r>
        <w:t>The spread comes from recorded forecast errors at one-, two-, and three-year horizons. Beyond year three, the model holds the three-year spread fixed. That is a practical assumption, not evidence that longer forecasts stop becoming less certain. The symmetric distribution is also imperfect for players whose central projection has already been moved up to replacement level.</w:t>
      </w:r>
    </w:p>
    <w:p>
      <w:pPr>
        <w:spacing w:after="200"/>
        <w:jc w:val="left"/>
      </w:pPr>
      <w:r>
        <w:t>The input mean absolute errors are 0.522, 0.735, and 0.803 wins. Under the assumed normal distribution, the code multiplies these by about 1.253 to obtain standard deviations of roughly 0.65, 0.92, and 1.01 wins. It converts that production spread into a price spread using the position's slope. The correction concerns the average price after applying the floor; it is not a separate premium for a club's aversion to risk.</w:t>
      </w:r>
    </w:p>
    <w:p>
      <w:pPr>
        <w:pStyle w:val="Heading2"/>
        <w:keepNext/>
        <w:spacing w:after="140" w:before="280"/>
      </w:pPr>
      <w:r>
        <w:t>3. Value after an RFA Contract Expires</w:t>
      </w:r>
    </w:p>
    <w:p>
      <w:pPr>
        <w:spacing w:after="200"/>
        <w:jc w:val="left"/>
      </w:pPr>
      <w:r>
        <w:t>An unrestricted-free-agent expiry has zero terminal value: the current contract gives the club no further control to price. For an RFA expiry, the model projects production through the remaining control years and compares its price with a sequence of qualifying offers.</w:t>
      </w:r>
    </w:p>
    <w:p>
      <w:pPr>
        <w:spacing w:after="200"/>
        <w:jc w:val="left"/>
      </w:pPr>
      <w:r>
        <w:t>Qualifying offers are a cost convention here. They are not predictions of negotiated salaries. Arbitration, longer agreements, and other outcomes can produce different costs, so the terminal value estimates control under a simplified renewal path.</w:t>
      </w:r>
    </w:p>
    <w:p>
      <w:pPr>
        <w:spacing w:after="200"/>
        <w:jc w:val="left"/>
      </w:pPr>
      <w:r>
        <w:t>This distinction is central to the interpretation. A club may retain negotiating rights without obtaining the player for the qualifying-offer amount. If the eventual negotiated cost exceeds the modeled offer, terminal surplus will be lower than this calculation suggests. The current model does not estimate that negotiation separately, nor does it count the value of a generic open roster spot after the player leaves.</w:t>
      </w:r>
    </w:p>
    <w:p>
      <w:pPr>
        <w:spacing w:after="200"/>
        <w:jc w:val="left"/>
      </w:pPr>
      <w:r>
        <w:t>The offer calculation uses salary bands, the league minimum, and the applicable cap on the offer. The code switches to its newer band schedule for offseasons numbered 2026 onward. It also uses the contract's starting season as a proxy when applying the older agreement-date rule. Those are the implemented timing rules; they need to be distinguished from a full reconstruction of a player's legal entitlement.</w:t>
      </w:r>
    </w:p>
    <w:p>
      <w:pPr>
        <w:spacing w:after="200"/>
        <w:jc w:val="left"/>
      </w:pPr>
      <w:r>
        <w:t>The starting salary is the contract's final-year base salary when available. Otherwise, the code tries another recorded salary from the contract and then its average annual value. These substitutes can miss the salary shape that matters for a qualifying offer. Later control years roll forward from the preceding modeled offer.</w:t>
      </w:r>
    </w:p>
    <w:p>
      <w:pPr>
        <w:spacing w:after="200"/>
        <w:jc w:val="left"/>
      </w:pPr>
      <w:r>
        <w:t>Before its 2026 switch, the code uses 110% of salary up to $660,000; above $660,000 and below $1 million, it uses 105%, capped at $1 million; at $1 million or more, it starts from 100%. For contracts treated as signed from 2020 onward, the last branch is capped at 120% of the prior cap hit. Thus, a $900,000 base salary gives a $945,000 modeled offer before any minimum-salary adjustment.</w:t>
      </w:r>
    </w:p>
    <w:p>
      <w:pPr>
        <w:spacing w:after="200"/>
        <w:jc w:val="left"/>
      </w:pPr>
      <w:r>
        <w:t>In its newer branch, the first threshold becomes $1.25 million and the second $1.75 million. The percentages remain 110%, 105%, and 100%, with the middle branch capped at $1.75 million and the upper branch at 120% of the prior cap hit. Every offer is then raised to the modeled league minimum if necessary. The next control year repeats the calculation using the preceding modeled offer as salary and cap hit.</w:t>
      </w:r>
    </w:p>
    <w:p>
      <w:pPr>
        <w:spacing w:after="200"/>
        <w:jc w:val="left"/>
      </w:pPr>
      <w:r>
        <w:t>The switch date needs review. The 2025 NHL/NHLPA Memorandum of Understanding sets September 16, 2026 as its effective date (item 1), and its qualifying-offer amendment does not state an earlier start (item 32). The code applies the newer bands to the summer of 2026. That precedes the stated effective date and needs correction or a documented transitional basis. The contract-start-year proxy also cannot distinguish agreements signed before and after a change within the same year. These timing issues are not resolved by the formula's arithmetic self-tests.</w:t>
      </w:r>
    </w:p>
    <w:p>
      <w:pPr>
        <w:spacing w:after="200"/>
        <w:jc w:val="left"/>
      </w:pPr>
      <w:r>
        <w:t>The model stops adding control-year surplus at the first year in which projected value falls below the offer. It does not assume that the club keeps paying through a loss to reach a later rebound. It also weights the remaining years by observed qualification rates for players in the relevant quality groups. This reduces the value of control that clubs often choose not to exercise.</w:t>
      </w:r>
    </w:p>
    <w:p>
      <w:pPr>
        <w:spacing w:after="200"/>
        <w:jc w:val="left"/>
      </w:pPr>
      <w:r>
        <w:t>The stopping rule and the probability weight answer different questions. The first asks whether renewal would be worthwhile at the model's predicted value and offer. The second allows for clubs declining to renew even when that calculation is positive. Without the second step, the positive intercept in the price equation makes many low-production control years look worth keeping when clubs often let comparable players go.</w:t>
      </w:r>
    </w:p>
    <w:p>
      <w:pPr>
        <w:spacing w:after="200"/>
        <w:jc w:val="left"/>
      </w:pPr>
      <w:r>
        <w:t>In the recorded corrected calibration, qualification rates are 100.0% for stars (22 decisions), 93.2% for regulars (190), 79.3% for fringe players (595), and 67.3% for below-replacement players (1,463). The small star sample deserves particular care: the implemented 100% rate reflects no observed non-qualifications in that group, not certainty that every future star is qualified. These rates are re-estimated from the expiry records when the terminal-value script runs.</w:t>
      </w:r>
    </w:p>
    <w:p>
      <w:pPr>
        <w:spacing w:after="200"/>
        <w:jc w:val="left"/>
      </w:pPr>
      <w:r>
        <w:t>The calibration includes players with no usable recent production, assigning them to the bottom quality group instead of dropping them. Removing them would select out many likely walk-aways. Including those decisions raises the recorded overall walk-away rate from 21.3% in 1,231 decisions to 27.0% in 2,270. That correction matters because the qualification gate is being asked to cover departure as well as a club's renewal choice.</w:t>
      </w:r>
    </w:p>
    <w:p>
      <w:pPr>
        <w:spacing w:after="200"/>
        <w:jc w:val="left"/>
      </w:pPr>
      <w:r>
        <w:t>For a simple example, suppose a player has two control years, each with $1 million of projected surplus and an 80% qualification probability. Before discounting, the model counts $800,000 in the first year and $640,000 in the second: reaching year two requires passing both gates. If the first year's projected surplus were negative, truncation would instead stop the sequence immediately. A later positive year would not restore the lost control.</w:t>
      </w:r>
    </w:p>
    <w:p>
      <w:pPr>
        <w:spacing w:after="200"/>
        <w:jc w:val="left"/>
      </w:pPr>
      <w:r>
        <w:t>Those rates come from observed contract-expiry decisions, with unqualified players included. They are separate from the exit probabilities applied during an existing contract. The code does not apply both gates to the control years. Terminal-year prices use the direct salary floor; they do not receive the forecast-uncertainty correction used in projected skater contract years.</w:t>
      </w:r>
    </w:p>
    <w:p>
      <w:pPr>
        <w:pStyle w:val="Heading2"/>
        <w:keepNext/>
        <w:spacing w:after="140" w:before="280"/>
      </w:pPr>
      <w:r>
        <w:t>4. Adding the Contract Years</w:t>
      </w:r>
    </w:p>
    <w:p>
      <w:pPr>
        <w:spacing w:after="200"/>
        <w:jc w:val="left"/>
      </w:pPr>
      <w:r>
        <w:t>For each remaining season, the model calculates expected production value, subtracts the cap cost, and brings that surplus back to the valuation date. It then adds the discounted terminal value. Only the contract already active at the valuation date enters the contract-year calculation; a later extension cannot be imported from the historical record.</w:t>
      </w:r>
    </w:p>
    <w:p>
      <w:pPr>
        <w:spacing w:after="200"/>
        <w:jc w:val="left"/>
      </w:pPr>
      <w:r>
        <w:t>For contract year k, measured from the valuation season, the contribution is (S_k times V_k minus C_k) divided by 1.03 raised to k. V_k is the projected market value of production, C_k is the contract's cap cost, and S_k is the probability of still producing NHL value in that year. The contract NPV adds those annual contributions to the separately gated control-year surplus, discounted by its distance from the same valuation date. In the current season k is zero, so there is no time discount.</w:t>
      </w:r>
    </w:p>
    <w:p>
      <w:pPr>
        <w:spacing w:after="200"/>
        <w:jc w:val="left"/>
      </w:pPr>
      <w:r>
        <w:t>For example, $5 million of future production value with a 90% survival probability contributes $4.5 million of expected value. Against a $4 million cap charge, the surplus is $500,000, or about $485,000 if that season is one year away. Multiplying the net $1 million by 90% would instead give $900,000 before discounting. That would incorrectly reduce the contract cost alongside production.</w:t>
      </w:r>
    </w:p>
    <w:p>
      <w:pPr>
        <w:spacing w:after="200"/>
        <w:jc w:val="left"/>
      </w:pPr>
      <w:r>
        <w:t>Survival multiplies production value but not the signed contract cost. A possible NHL departure therefore lowers expected output while the modeled cap charge continues. The calculation does not reconstruct the contract-specific relief that could follow retirement or another departure. Where relief would apply, keeping the cost overstates the burden.</w:t>
      </w:r>
    </w:p>
    <w:p>
      <w:pPr>
        <w:spacing w:after="200"/>
        <w:jc w:val="left"/>
      </w:pPr>
      <w:r>
        <w:t>The cap path grows at 3% a year from the ceiling known at the valuation date. Future amounts are discounted at the same rate to express them in current cap purchasing power. The calculation does not use the cap path that was later realized, and it adds no separate discount for a general manager's impatience.</w:t>
      </w:r>
    </w:p>
    <w:p>
      <w:pPr>
        <w:spacing w:after="200"/>
        <w:jc w:val="left"/>
      </w:pPr>
      <w:r>
        <w:t>With unchanged production and price coefficients, gross value stays constant as a share of the projected cap. A fixed nominal cap hit becomes a smaller share over time. Growing value and discounting it at the same rate therefore cancel for that constant-share value stream, while the fixed cost gets cheaper in current-cap terms. The cancellation is specific to those assumptions; changing age, survival, salary costs, or the future-pick timing treatment changes the result.</w:t>
      </w:r>
    </w:p>
    <w:p>
      <w:pPr>
        <w:spacing w:after="200"/>
        <w:jc w:val="left"/>
      </w:pPr>
      <w:r>
        <w:t>The 3% path is a planning assumption. Leaving managerial impatience out keeps the benchmark separate from the behavior the trade study might seek to detect. It does not prove that any observed preference for current assets is excessive: competitive position, uncertainty, and information can also justify paying more for near-term output.</w:t>
      </w:r>
    </w:p>
    <w:p>
      <w:pPr>
        <w:spacing w:after="200"/>
        <w:jc w:val="left"/>
      </w:pPr>
      <w:r>
        <w:t>A contract with negative surplus costs more than this model's expected market price for its production. That need not mean the signing was a mistake. The estimate omits team fit, private information, and the value of avoiding a future negotiation. It also does not price the flexibility lost by committing cap space for many years; charging for that lost flexibility would reduce long-contract value further.</w:t>
      </w:r>
    </w:p>
    <w:p>
      <w:pPr>
        <w:spacing w:after="200"/>
        <w:jc w:val="left"/>
      </w:pPr>
      <w:r>
        <w:t>Errors in the market price do not generally disappear when two trade packages are compared. Surplus subtracts fixed contract costs. Raising the production price on both sides can therefore change their surplus ratio, especially when one side starts close to zero.</w:t>
      </w:r>
    </w:p>
    <w:p>
      <w:pPr>
        <w:pStyle w:val="Heading2"/>
        <w:keepNext/>
        <w:spacing w:after="140" w:before="280"/>
      </w:pPr>
      <w:r>
        <w:t>5. Goaltenders</w:t>
      </w:r>
    </w:p>
    <w:p>
      <w:pPr>
        <w:spacing w:after="200"/>
        <w:jc w:val="left"/>
      </w:pPr>
      <w:r>
        <w:t>Goalies use a separate production and pricing model. Their baseline gives 50%, 30%, and 20% weight to three preceding seasons when all are available, falling back to 60/40 with two or the previous season alone. This cascade requires the immediately preceding season; a separate carry-back rule can recover an older baseline when recent history is missing. The code does not apply the skater ten-game threshold to this goalie calculation.</w:t>
      </w:r>
    </w:p>
    <w:p>
      <w:pPr>
        <w:spacing w:after="200"/>
        <w:jc w:val="left"/>
      </w:pPr>
      <w:r>
        <w:t>Only 35% of the goalie baseline is retained. The other 65% comes from the league mean, about 2.19 goalie WAR. The resulting production estimate stays flat through the contract rather than following a comparable-player aging curve. A goalie with no usable historical baseline is left unpriced.</w:t>
      </w:r>
    </w:p>
    <w:p>
      <w:pPr>
        <w:spacing w:after="200"/>
        <w:jc w:val="left"/>
      </w:pPr>
      <w:r>
        <w:t>For a goalie whose trailing baseline is 4.0 wins, the blend is approximately 0.35 times 4.0 plus 0.65 times 2.19, or 2.82 wins. The larger pull toward the mean reflects the weaker year-to-year signal in goalie results. The recorded player-split validation retained the 65% weight on the mean after shortened-season adjustment. It does not imply that goalies never age; the flat path is the model's chosen extension in the absence of a fitted goalie aging curve.</w:t>
      </w:r>
    </w:p>
    <w:p>
      <w:pPr>
        <w:spacing w:after="200"/>
        <w:jc w:val="left"/>
      </w:pPr>
      <w:r>
        <w:t>Goalie exit probabilities are estimated separately, on the goalie production scale. Carrying a goalie's own historical baseline into future contract years preserves his estimated level; replacing that baseline with the league mean merely because a future performance row is absent would erase the distinction between a strong and weak goalie. Neither carry-forward nor shrinkage supplies evidence for a goalie with no history at all.</w:t>
      </w:r>
    </w:p>
    <w:p>
      <w:pPr>
        <w:spacing w:after="200"/>
        <w:jc w:val="left"/>
      </w:pPr>
      <w:r>
        <w:t>The goalie rate remains an older ordinary least-squares estimate, recovered from the locked goalie output to avoid rounding drift. It is approximately 1.391% of the cap plus 1.059% per goalie win. It does not use the skater censored regression or the same floor treatment. Goalie control years also lack the skater qualification-rate adjustment. These differences limit how closely the two sets of contract values can be compared, even though both end in surplus dollars.</w:t>
      </w:r>
    </w:p>
    <w:p>
      <w:pPr>
        <w:spacing w:after="200"/>
        <w:jc w:val="left"/>
      </w:pPr>
      <w:r>
        <w:t>The September 9 rebuild produced 2,981 contract estimates: 2,591 skaters and 390 goalies. The historical panel contains 6,939 valuation rows. Those counts describe the priced sample, not complete coverage of all NHL contracts.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2026-09-09T20:55:04.951Z</dcterms:created>
  <dcterms:modified xsi:type="dcterms:W3CDTF">2026-09-09T20:55:04.951Z</dcterms:modified>
</cp:coreProperties>
</file>

<file path=docProps/custom.xml><?xml version="1.0" encoding="utf-8"?>
<Properties xmlns="http://schemas.openxmlformats.org/officeDocument/2006/custom-properties" xmlns:vt="http://schemas.openxmlformats.org/officeDocument/2006/docPropsVTypes"/>
</file>