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240"/>
      </w:pPr>
      <w:r>
        <w:t>Draft Picks, Prospects, and the Remaining Trade Model</w:t>
      </w:r>
    </w:p>
    <w:p>
      <w:pPr>
        <w:spacing w:after="200"/>
        <w:jc w:val="left"/>
      </w:pPr>
      <w:r>
        <w:t>The project is intended to put players, draft picks, and non-roster prospects on one scale: expected surplus dollars. The player model produces contract values. The draft linkage and historical yield curve are built, but pricing picks at historical trade dates is not complete. The prospect model and the combined trade back-test also remain unfinished.</w:t>
      </w:r>
    </w:p>
    <w:p>
      <w:pPr>
        <w:pStyle w:val="Heading2"/>
        <w:keepNext/>
        <w:spacing w:after="140" w:before="280"/>
      </w:pPr>
      <w:r>
        <w:t>1. What the Draft Curve Measures</w:t>
      </w:r>
    </w:p>
    <w:p>
      <w:pPr>
        <w:spacing w:after="200"/>
        <w:jc w:val="left"/>
      </w:pPr>
      <w:r>
        <w:t>The draft curve links selected players to their subsequent NHL production and groups the outcomes by draft position. The fitted sample uses the 2007-2017 draft classes, giving each class nine seasons of follow-up. For a player drafted in 2017, that window runs from 2017-18 through 2025-26. It does not follow every player to the end of his career.</w:t>
      </w:r>
    </w:p>
    <w:p>
      <w:pPr>
        <w:spacing w:after="200"/>
        <w:jc w:val="left"/>
      </w:pPr>
      <w:r>
        <w:t>Picks that produce no NHL value must remain in the average. Omitting them would price only successful selections. The linkage therefore distinguishes matched careers, unmatched records, and known contaminated names. Some connections rely on standardized names rather than a common identifier. A missing match must be checked carefully because the yield calculation gives a record with no linked performance history no NHL production.</w:t>
      </w:r>
    </w:p>
    <w:p>
      <w:pPr>
        <w:spacing w:after="200"/>
        <w:jc w:val="left"/>
      </w:pPr>
      <w:r>
        <w:t>The linkage first uses an NHL identifier with name agreement, then guarded exact names and a hand-checked alias list. It rejects a supposed match whose NHL career began before the relevant draft, and prevents ambiguous repeated names from being resolved by name alone. This matters for older players whose performance records lack an NHL identifier: an ID-only approach would turn a real career into a false zero. Unrestricted fuzzy matching is not used because similar names can belong to brothers or unrelated players.</w:t>
      </w:r>
    </w:p>
    <w:p>
      <w:pPr>
        <w:spacing w:after="200"/>
        <w:jc w:val="left"/>
      </w:pPr>
      <w:r>
        <w:t>The nine-season window limits how much history is required while allowing more time for college and European arrivals than a seven-season window. It still misses production arriving after year nine. It also avoids pretending that the older contract record is complete enough to reconstruct every prospect's exact control history. Thus, the curve observes real production but models the cost and control period.</w:t>
      </w:r>
    </w:p>
    <w:p>
      <w:pPr>
        <w:spacing w:after="200"/>
        <w:jc w:val="left"/>
      </w:pPr>
      <w:r>
        <w:t>For matched players, the code adds their production across team records and uses the appropriate skater or goalie price. Defencemen receive the current defence slope. It expresses each season's value and cost in cap shares, adds them across the window, and then averages within draft-position bands. The dollar presentation converts those shares at the 2025-26 cap. It is a historical yield curve, not yet a discounted price for a particular pick on its trade date.</w:t>
      </w:r>
    </w:p>
    <w:p>
      <w:pPr>
        <w:spacing w:after="200"/>
        <w:jc w:val="left"/>
      </w:pPr>
      <w:r>
        <w:t>The draft calculation adjusts the 2012-13, 2019-20, and 2020-21 shortened schedules to an 82-game production basis. Unlike the player pricing sample, its longer historical window reaches the lockout season. It uses the season's actual historical cap to express each observed year's value and cost as shares. The sum of those shares is the quantity carried forward to the curve, rather than a sum of unadjusted dollars from different salary environments.</w:t>
      </w:r>
    </w:p>
    <w:p>
      <w:pPr>
        <w:spacing w:after="200"/>
        <w:jc w:val="left"/>
      </w:pPr>
      <w:r>
        <w:t>Under the broader model's assumption that future caps grow and future flows are discounted at the same rate, an unchanged cap-share flow retains its value in current-cap terms. That provides the interpretation for adding shares. It does not mean the yield script has reconstructed the information available for each past draft, or estimated a market premium for waiting an additional year to acquire a future pick.</w:t>
      </w:r>
    </w:p>
    <w:p>
      <w:pPr>
        <w:pStyle w:val="Heading2"/>
        <w:keepNext/>
        <w:spacing w:after="140" w:before="280"/>
      </w:pPr>
      <w:r>
        <w:t>2. Entry-Level Costs and Later Surplus</w:t>
      </w:r>
    </w:p>
    <w:p>
      <w:pPr>
        <w:spacing w:after="200"/>
        <w:jc w:val="left"/>
      </w:pPr>
      <w:r>
        <w:t>The primary curve, Rule A, counts surplus during modeled entry-level years and assigns zero surplus afterward. Once those years are exhausted, cost is set equal to the market price of realized production. Successful picks can create real value on later contracts, but that value is excluded by construction.</w:t>
      </w:r>
    </w:p>
    <w:p>
      <w:pPr>
        <w:spacing w:after="200"/>
        <w:jc w:val="left"/>
      </w:pPr>
      <w:r>
        <w:t>If later contracts generate positive surplus, this convention understates the pick's value. It need not lower all draft positions equally: early selections and late selections can differ in the timing and amount of the surplus omitted. The shape of the curve is therefore partly a product of the cost rule.</w:t>
      </w:r>
    </w:p>
    <w:p>
      <w:pPr>
        <w:spacing w:after="200"/>
        <w:jc w:val="left"/>
      </w:pPr>
      <w:r>
        <w:t>Entry-level cost uses the maximum for the player's draft cohort, rather than his actual signed contract. The number of entry-level years is approximated using age at the first season with at least ten NHL games. That proxy cannot reproduce every signing date or contract slide.</w:t>
      </w:r>
    </w:p>
    <w:p>
      <w:pPr>
        <w:spacing w:after="200"/>
        <w:jc w:val="left"/>
      </w:pPr>
      <w:r>
        <w:t>The implemented age schedule assigns three years through age 21, two at ages 22-23, and one at 24 or older, using age on September 15 in the first counted season. The economic reason for varying the length is that a player arriving from college or Europe in his mid-twenties should not automatically receive three years of modeled low cost. The approximation is useful where actual contracts are unavailable, but its agreement with real signing and slide histories needs checking rather than assuming.</w:t>
      </w:r>
    </w:p>
    <w:p>
      <w:pPr>
        <w:spacing w:after="200"/>
        <w:jc w:val="left"/>
      </w:pPr>
      <w:r>
        <w:t>Seasons with fewer than ten games do not consume a modeled entry-level year. Their cost and minimum-value floor are scaled by games played divided by 82. The underlying price equation, including its intercept, is not scaled in the same way. This can give a short NHL appearance relatively generous value compared with its assigned cost and needs a sensitivity check. A season with no NHL appearance has neither value nor cost.</w:t>
      </w:r>
    </w:p>
    <w:p>
      <w:pPr>
        <w:spacing w:after="200"/>
        <w:jc w:val="left"/>
      </w:pPr>
      <w:r>
        <w:t>Maximum entry-level costs can understate surplus for players who signed below that maximum. Omitted bonus costs can work in the other direction. These are separate cost assumptions; calling the curve conservative overall would hide their different effects.</w:t>
      </w:r>
    </w:p>
    <w:p>
      <w:pPr>
        <w:spacing w:after="200"/>
        <w:jc w:val="left"/>
      </w:pPr>
      <w:r>
        <w:t>Rule B is intended to test a different post-entry-level cost: price the contract from trailing production and compare that cost with realized production value. As written, it uses the defence-specific slope for a defenceman's value but the forward slope for his trailing cost. Part of the resulting surplus can therefore come from inconsistent prices. Rule A does not use that calculation, but the Rule B comparison needs correction and a rerun before its size can be interpreted.</w:t>
      </w:r>
    </w:p>
    <w:p>
      <w:pPr>
        <w:spacing w:after="200"/>
        <w:jc w:val="left"/>
      </w:pPr>
      <w:r>
        <w:t>For a forward away from the floor, the intended comparison is straightforward: if trailing production was one win and realized production is two, Rule B adds surplus equal to the price of the extra win. If realized and trailing production match, their common intercept and slope cancel. That cancellation fails for a defenceman priced with different slopes on the two sides. Even unchanged two-win production can then generate apparent surplus. This is why the sensitivity result cannot establish that post-entry-level assumptions are unimportant as currently implemented.</w:t>
      </w:r>
    </w:p>
    <w:p>
      <w:pPr>
        <w:pStyle w:val="Heading2"/>
        <w:keepNext/>
        <w:spacing w:after="140" w:before="280"/>
      </w:pPr>
      <w:r>
        <w:t>3. Uncertainty and Future Picks</w:t>
      </w:r>
    </w:p>
    <w:p>
      <w:pPr>
        <w:spacing w:after="200"/>
        <w:jc w:val="left"/>
      </w:pPr>
      <w:r>
        <w:t>Late picks are lotteries. Their average can be positive even when most selections return nothing, because a few successful players account for much of the value. The mean is useful for repeated decisions, but it is not the most likely outcome of a single selection. The code reports means, medians, and the share with any NHL appearance, and resamples picks within each band to estimate uncertainty around the mean.</w:t>
      </w:r>
    </w:p>
    <w:p>
      <w:pPr>
        <w:spacing w:after="200"/>
        <w:jc w:val="left"/>
      </w:pPr>
      <w:r>
        <w:t>This uncertainty is especially important at the top, where each draft class supplies only one first overall pick. Pooling nearby positions gives more observations but assumes those positions can reasonably share a value. Neither a smooth-looking curve nor a precise dollar conversion removes the limited sample.</w:t>
      </w:r>
    </w:p>
    <w:p>
      <w:pPr>
        <w:spacing w:after="200"/>
        <w:jc w:val="left"/>
      </w:pPr>
      <w:r>
        <w:t>The current Rule A output averages about $13.65 million at first overall, $8.33 million at second, $6.83 million for picks 3-5, and $3.20 million for picks 21-32, expressed at the $95.5 million cap. The corresponding values are about $1.54 million for picks 51-100, $1.09 million for 101-150, and $0.61 million for 151-224. These are expected modeled surpluses per selection, not annual salaries or guaranteed returns.</w:t>
      </w:r>
    </w:p>
    <w:p>
      <w:pPr>
        <w:spacing w:after="200"/>
        <w:jc w:val="left"/>
      </w:pPr>
      <w:r>
        <w:t>In the last band, only about 26.5% of picks have any NHL appearance within the window, and median surplus is zero. The positive mean comes from successful outcomes in the same average as the zeros. A club making many such selections can reasonably care about that mean even though a single pick's most common result is no NHL contribution.</w:t>
      </w:r>
    </w:p>
    <w:p>
      <w:pPr>
        <w:spacing w:after="200"/>
        <w:jc w:val="left"/>
      </w:pPr>
      <w:r>
        <w:t>The script draws 2,000 replacement samples of picks within each band and calculates the standard deviation of their mean surpluses. It reports that bootstrap standard error, not a ready-made percentile interval. For first overall, the stored standard error is 0.02412 of the cap, about $2.30 million at the presentation cap. That is substantial relative to the $13.65 million mean and comes from only eleven first-overall selections. Resampling cannot recover a rare outcome missing from those eleven drafts.</w:t>
      </w:r>
    </w:p>
    <w:p>
      <w:pPr>
        <w:spacing w:after="200"/>
        <w:jc w:val="left"/>
      </w:pPr>
      <w:r>
        <w:t>Fixed bands create another limitation for trade comparisons. Picks 51 and 100 receive the same fitted value, so a trade down within that band can appear to surrender no value. Crossing a band boundary can create a discrete change where the underlying talent opportunity probably changes gradually. A smoother curve constrained to decline with draft position is a proposed follow-up, not the curve currently used.</w:t>
      </w:r>
    </w:p>
    <w:p>
      <w:pPr>
        <w:spacing w:after="200"/>
        <w:jc w:val="left"/>
      </w:pPr>
      <w:r>
        <w:t>A pick traded before its draft needs two further estimates: where it might land and how to value the wait. The eventual overall selection is known in the historical data, but it was not necessarily known to either club when the trade occurred. Using it directly would give the valuation future information.</w:t>
      </w:r>
    </w:p>
    <w:p>
      <w:pPr>
        <w:spacing w:after="200"/>
        <w:jc w:val="left"/>
      </w:pPr>
      <w:r>
        <w:t>Pure-pick trades and picks traded more than once provide evidence about market exchange rates. They do not isolate a discount for waiting by themselves. Expected draft position, protection terms, and beliefs about the draft class can change between trades. A late pick may also be used as a small addition to complete a deal, which complicates reading every exchange as an exact statement of fundamental value.</w:t>
      </w:r>
    </w:p>
    <w:p>
      <w:pPr>
        <w:spacing w:after="200"/>
        <w:jc w:val="left"/>
      </w:pPr>
      <w:r>
        <w:t>The recorded inventory illustrates the data constraint. Of 119 pure pick-for-pick trades, 56 cross draft years. Thirty-nine of those are one-for-one swaps, including 35 same-round exchanges, leaving seventeen cross-year bundles. If unknown selections are assigned a round-average value, many same-round swaps look equal by construction and reveal little about a discount. Conditioning on the originating team's position could supply more information, but introduces another model to estimate and check.</w:t>
      </w:r>
    </w:p>
    <w:p>
      <w:pPr>
        <w:spacing w:after="200"/>
        <w:jc w:val="left"/>
      </w:pPr>
      <w:r>
        <w:t>Repeat trades offer a larger potential sample: the inventory records 241 picks traded more than once, including 163 at more than one horizon before their slot was known. Only four have their relevant trade histories entirely within pure-pick transactions. Pricing the other exchanges requires the player and prospect values in their packages. Holding the pick's identity fixed removes one source of variation, but changed beliefs about its eventual position still prevent the observed price change from being read as time preference alone.</w:t>
      </w:r>
    </w:p>
    <w:p>
      <w:pPr>
        <w:spacing w:after="200"/>
        <w:jc w:val="left"/>
      </w:pPr>
      <w:r>
        <w:t>The historical yield curve already includes failure to reach the NHL. Any additional future-pick discount needs a distinct purpose, such as waiting for production or an explicitly modeled preference for risk. Charging again for the same bust probability would double-count it.</w:t>
      </w:r>
    </w:p>
    <w:p>
      <w:pPr>
        <w:pStyle w:val="Heading2"/>
        <w:keepNext/>
        <w:spacing w:after="140" w:before="280"/>
      </w:pPr>
      <w:r>
        <w:t>4. Non-Roster Prospects</w:t>
      </w:r>
    </w:p>
    <w:p>
      <w:pPr>
        <w:spacing w:after="200"/>
        <w:jc w:val="left"/>
      </w:pPr>
      <w:r>
        <w:t>A prospect needs both a chance of reaching the NHL and an estimate of production if he gets there. Draft position supplies a starting expectation. Age and subsequent performance should update it, with evidence from different leagues translated onto a comparable scale.</w:t>
      </w:r>
    </w:p>
    <w:p>
      <w:pPr>
        <w:spacing w:after="200"/>
        <w:jc w:val="left"/>
      </w:pPr>
      <w:r>
        <w:t>The project has gathered inputs for this work, including draft baselines, ages, and league-performance information. It does not yet have a completed path from those inputs to expected NHL wins and surplus dollars. A scoring translation alone cannot supply that path: scoring at an NHL-equivalent rate is not the same as producing a given number of wins or securing an NHL role.</w:t>
      </w:r>
    </w:p>
    <w:p>
      <w:pPr>
        <w:spacing w:after="200"/>
        <w:jc w:val="left"/>
      </w:pPr>
      <w:r>
        <w:t>The planned update blends the draft-slot starting expectation with the player's subsequent record. As more informative games accumulate, his own performance should carry more weight. The amount of evidence needed, the rate at which draft position loses weight, and whether it ever loses all weight remain to be estimated. A season in one league need not provide the same information as an equal number of games elsewhere.</w:t>
      </w:r>
    </w:p>
    <w:p>
      <w:pPr>
        <w:spacing w:after="200"/>
        <w:jc w:val="left"/>
      </w:pPr>
      <w:r>
        <w:t>For illustration, a 20% chance of producing two annual NHL wins is 0.4 expected wins before accounting for arrival time and other possible outcomes. It is not a two-win player with an arbitrary dollar discount. Separating the chance of arrival from conditional production allows both to be checked against outcomes before the market price is applied. Applying the salary equation's positive intercept to every prospect without conditioning on NHL participation would incorrectly assign value to years in which he never reaches the league.</w:t>
      </w:r>
    </w:p>
    <w:p>
      <w:pPr>
        <w:spacing w:after="200"/>
        <w:jc w:val="left"/>
      </w:pPr>
      <w:r>
        <w:t>The translation and prior-update steps should be tested on held-out outcomes in production or probability units. The dollar rate enters after that prediction. Otherwise, a model trained to reproduce the same salary-based values used to evaluate it would introduce another circular comparison. Draft-slot baselines used inside the prospect model also cease to be an independent benchmark for that model. The generated league-translation crosswalk still needs its own verification.</w:t>
      </w:r>
    </w:p>
    <w:p>
      <w:pPr>
        <w:spacing w:after="200"/>
        <w:jc w:val="left"/>
      </w:pPr>
      <w:r>
        <w:t>Selection also matters. Prospects with usable professional records differ from those without them, and players who reach a stronger league are already a selected group. A model trained only on successful transitions would overstate the prospects of the full pool. Updates must use information available by the valuation date and account for which players enter the observed sample.</w:t>
      </w:r>
    </w:p>
    <w:p>
      <w:pPr>
        <w:pStyle w:val="Heading2"/>
        <w:keepNext/>
        <w:spacing w:after="140" w:before="280"/>
      </w:pPr>
      <w:r>
        <w:t>5. Retention, Clauses, and the Back-Test</w:t>
      </w:r>
    </w:p>
    <w:p>
      <w:pPr>
        <w:spacing w:after="200"/>
        <w:jc w:val="left"/>
      </w:pPr>
      <w:r>
        <w:t>Salary retention changes the cost of acquiring a player. It can also be a service supplied by a third club. The trade model needs to distinguish payment for the player from payment for carrying salary; otherwise, it can assign the same consideration to both. Existing retention diagnostics have not yet produced a completed estimate of that service's market price.</w:t>
      </w:r>
    </w:p>
    <w:p>
      <w:pPr>
        <w:spacing w:after="200"/>
        <w:jc w:val="left"/>
      </w:pPr>
      <w:r>
        <w:t>Facilitated trades are the proposed source of evidence. When a middle club supplies retention and receives a pick, the pick can help measure the price of that service if the club has no other material role in the exchange. The recorded candidate inventory is roughly fifty deals. Each still needs verification of the retained amount, duration, consideration, and transaction structure. The price may depend on how much scarce cap capacity a club gives up and for how long, rather than a single constant percentage of retained salary. Changes in the rules also require a consistent estimation window.</w:t>
      </w:r>
    </w:p>
    <w:p>
      <w:pPr>
        <w:spacing w:after="200"/>
        <w:jc w:val="left"/>
      </w:pPr>
      <w:r>
        <w:t>Trade protection can restrict the seller's possible destinations and alter bargaining power. It also tends to appear on contracts for particular kinds of players. A pay difference associated with a clause therefore cannot automatically be read as the price of restricted movement. The clause data are assembled, but a separate causal estimate remains to be built.</w:t>
      </w:r>
    </w:p>
    <w:p>
      <w:pPr>
        <w:spacing w:after="200"/>
        <w:jc w:val="left"/>
      </w:pPr>
      <w:r>
        <w:t>The clause design starts by comparing contract pay with projected player value while accounting for the presence and type of protection. That can describe an association. To interpret it as the price of the clause, the comparison must separate protection from player quality, age, term, and other bargaining conditions. A clause-holder being traded does not show that the clause constrained this particular deal; he may have accepted the destination or the destination may already have been permitted. The project does not yet identify binding restrictions or blocked offers.</w:t>
      </w:r>
    </w:p>
    <w:p>
      <w:pPr>
        <w:spacing w:after="200"/>
        <w:jc w:val="left"/>
      </w:pPr>
      <w:r>
        <w:t>The combined back-test will value the assets exchanged using the information available at the trade date, then compare those estimates with subsequent outcomes. That requires the unfinished pick and prospect components, a treatment of retained costs, and a workable statistic for comparing packages.</w:t>
      </w:r>
    </w:p>
    <w:p>
      <w:pPr>
        <w:spacing w:after="200"/>
        <w:jc w:val="left"/>
      </w:pPr>
      <w:r>
        <w:t>The recorded trade inventory contains 205 player-only events, with 153 requiring a mid-season allocation. This makes player-only trades a useful initial group, not an already completed back-test. About 69% of all recorded events include a pick, so leaving picks out would discard most of the market and could change the kinds of trades being studied.</w:t>
      </w:r>
    </w:p>
    <w:p>
      <w:pPr>
        <w:spacing w:after="200"/>
        <w:jc w:val="left"/>
      </w:pPr>
      <w:r>
        <w:t>The proposed categories include asset class, contract length, age, and a team's competitive position. The no-mispricing hypothesis is that the completed comparison shows no systematic imbalance across those categories after accounting for sampling variation and the number of tests. The earlier power analysis predates much of the build and needs updating for the usable sample. An absence of statistically detectable differences in a small group would not establish efficient pricing.</w:t>
      </w:r>
    </w:p>
    <w:p>
      <w:pPr>
        <w:spacing w:after="200"/>
        <w:jc w:val="left"/>
      </w:pPr>
      <w:r>
        <w:t>Mid-season player allocation is also pending. The intended method divides season value using Game Value shares at trade dates; it has not yet been applied to the back-test. Because Game Value can be negative, the division needs a rule for a near-zero season total and for team stints with opposite signs. Those cases cannot safely be treated as ordinary percentage shares.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2026-09-09T19:02:20.698Z</dcterms:created>
  <dcterms:modified xsi:type="dcterms:W3CDTF">2026-09-09T19:02:20.698Z</dcterms:modified>
</cp:coreProperties>
</file>

<file path=docProps/custom.xml><?xml version="1.0" encoding="utf-8"?>
<Properties xmlns="http://schemas.openxmlformats.org/officeDocument/2006/custom-properties" xmlns:vt="http://schemas.openxmlformats.org/officeDocument/2006/docPropsVTypes"/>
</file>