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240"/>
      </w:pPr>
      <w:r>
        <w:t>Cross-Cutting: What the Model Can Establish</w:t>
      </w:r>
    </w:p>
    <w:p>
      <w:pPr>
        <w:spacing w:after="200"/>
        <w:jc w:val="left"/>
      </w:pPr>
      <w:r>
        <w:t>The project estimates player-contract surplus and historical draft yield. Trade-date pick pricing, the prospect pillar, and parts of the combined back-test remain unfinished. This document explains what the completed estimates measure, where later information still enters, and which assumptions could produce an apparent pricing error.</w:t>
      </w:r>
    </w:p>
    <w:p>
      <w:pPr>
        <w:pStyle w:val="Heading2"/>
        <w:keepNext/>
        <w:spacing w:after="140" w:before="280"/>
      </w:pPr>
      <w:r>
        <w:t>1. Historical Information</w:t>
      </w:r>
    </w:p>
    <w:p>
      <w:pPr>
        <w:spacing w:after="200"/>
        <w:jc w:val="left"/>
      </w:pPr>
      <w:r>
        <w:t>Player baselines use completed seasons before the valuation season. The aging lookup starts from a trailing player profile, and survival for a future year is based on the preceding year's projected age and quality. The cap path grows from the ceiling known at the valuation date instead of importing the future path that eventually occurred. These rules prevent several direct uses of future information.</w:t>
      </w:r>
    </w:p>
    <w:p>
      <w:pPr>
        <w:spacing w:after="200"/>
        <w:jc w:val="left"/>
      </w:pPr>
      <w:r>
        <w:t>The fitted estimates use a broader information set than the player's baseline. Aging patterns, market prices, and exit probabilities are fitted on shared historical data and applied to earlier decisions. A 2019 valuation can therefore use parameters estimated partly from seasons after 2019. It describes value under the common fitted model rather than a forecast a club could have produced using only its information in 2019.</w:t>
      </w:r>
    </w:p>
    <w:p>
      <w:pPr>
        <w:spacing w:after="200"/>
        <w:jc w:val="left"/>
      </w:pPr>
      <w:r>
        <w:t>The target player's own later seasons can also enter indirectly. His career has zero weight among the direct comparables, but remains in the position-and-age averages used to stabilize the projection. The effect of that self-inclusion on historical valuations has not been isolated.</w:t>
      </w:r>
    </w:p>
    <w:p>
      <w:pPr>
        <w:spacing w:after="200"/>
        <w:jc w:val="left"/>
      </w:pPr>
      <w:r>
        <w:t>Two comparisons would help separate these effects. First, value the same contracts with and without the target's career in the training data, holding the remaining data fixed. Second, compare full-panel estimates with estimates built only from seasons available at each valuation date. The first measures self-inclusion; the second measures the effect of later observations more broadly.</w:t>
      </w:r>
    </w:p>
    <w:p>
      <w:pPr>
        <w:spacing w:after="200"/>
        <w:jc w:val="left"/>
      </w:pPr>
      <w:r>
        <w:t>The target-specific yardstick experiment used both whole-career exclusions and historical training windows. It compared two weighting approaches within those designs and found slightly larger errors with the target-specific yardstick. It did not measure how much the production model's full-panel estimates change historical contract values.</w:t>
      </w:r>
    </w:p>
    <w:p>
      <w:pPr>
        <w:spacing w:after="200"/>
        <w:jc w:val="left"/>
      </w:pPr>
      <w:r>
        <w:t>Salary estimation has the same timing issue. A player's production baseline may use only earlier seasons, while the price per win is estimated partly from contracts signed later. Using that price across the historical sample assumes a sufficiently stable market relationship. The resulting value is conditional on that common benchmark.</w:t>
      </w:r>
    </w:p>
    <w:p>
      <w:pPr>
        <w:spacing w:after="200"/>
        <w:jc w:val="left"/>
      </w:pPr>
      <w:r>
        <w:t>The completed aging-era check asks a narrower question: did the observed pattern of aging differ between early and late periods? It compares the same player's change in WAR per 82 games from one age to the next, then groups those changes by age and position. The periods are 2007-2015 and 2016-2025. The exit model still lacks an equivalent split-period check.</w:t>
      </w:r>
    </w:p>
    <w:p>
      <w:pPr>
        <w:spacing w:after="200"/>
        <w:jc w:val="left"/>
      </w:pPr>
      <w:r>
        <w:t>Differences were detected at none of sixteen forward ages and one of sixteen defence ages. This provides little evidence of an era difference in the measured aging pattern, although small samples can hide real changes. The proposed second comparison of fitted pooled age profiles was never implemented. The reported counts concern observed changes only, and do not quantify the effect of full-panel estimation on historical valuations.</w:t>
      </w:r>
    </w:p>
    <w:p>
      <w:pPr>
        <w:spacing w:after="200"/>
        <w:jc w:val="left"/>
      </w:pPr>
      <w:r>
        <w:t>The Game Value shot model was evaluated on held-out seasons, then refitted on all regular-season data to generate the expected goals used in the metric. Its reported 58.3% team-season agreement is therefore measured within the historical sample, not on wholly unseen games. Fitting adjusted Game Value separately for each season still uses that shared shot model.</w:t>
      </w:r>
    </w:p>
    <w:p>
      <w:pPr>
        <w:spacing w:after="200"/>
        <w:jc w:val="left"/>
      </w:pPr>
      <w:r>
        <w:t>Future picks and prospects need the same discipline. A pick's eventual overall position cannot price it before that position was known. Prospect histories must stop at the valuation date, and any translation rates or draft priors estimated on later data need to be identified as such.</w:t>
      </w:r>
    </w:p>
    <w:p>
      <w:pPr>
        <w:pStyle w:val="Heading2"/>
        <w:keepNext/>
        <w:spacing w:after="140" w:before="280"/>
      </w:pPr>
      <w:r>
        <w:t>2. What the Circularity Check Tests</w:t>
      </w:r>
    </w:p>
    <w:p>
      <w:pPr>
        <w:spacing w:after="200"/>
        <w:jc w:val="left"/>
      </w:pPr>
      <w:r>
        <w:t>Game Value supplies a check using a different production measure from the one behind the salary equation. It credits expected goals from scoring chances rather than simply dividing actual scoreboard goals among players. Agreement with actual team results is informative because the metric's accounting does not force it. The shared shot-model sample remains a limitation on interpreting that agreement as unseen-game performance.</w:t>
      </w:r>
    </w:p>
    <w:p>
      <w:pPr>
        <w:spacing w:after="200"/>
        <w:jc w:val="left"/>
      </w:pPr>
      <w:r>
        <w:t>The player-level check compares the trailing WAR baseline for season t with adjusted Game Value produced during season t, with a separate comparison to Game Value in t+1. Both sides are in wins, so the test asks whether the baseline tracks later hockey contribution. It does not test the dollar price per win or the full multi-year aging projection.</w:t>
      </w:r>
    </w:p>
    <w:p>
      <w:pPr>
        <w:spacing w:after="200"/>
        <w:jc w:val="left"/>
      </w:pPr>
      <w:r>
        <w:t>Production forecasting and salary estimation answer different questions. The first asks what a player will contribute; the second asks what the market pays for that contribution. Agreement with Game Value supports the production comparison. A contract valuation can still be wrong because its price per win, projected costs, or treatment of control rights is wrong.</w:t>
      </w:r>
    </w:p>
    <w:p>
      <w:pPr>
        <w:spacing w:after="200"/>
        <w:jc w:val="left"/>
      </w:pPr>
      <w:r>
        <w:t>Agreement is stronger for forwards than for defencemen. The comparison alone cannot tell whether that gap comes from Bacon's defensive measure, Game Value, or both. The raw and adjusted Game Value variants also share inputs, so their agreement provides less independent evidence than two measures built from separate data.</w:t>
      </w:r>
    </w:p>
    <w:p>
      <w:pPr>
        <w:spacing w:after="200"/>
        <w:jc w:val="left"/>
      </w:pPr>
      <w:r>
        <w:t>The circularity robustness work is complete. The optional unrun raw-Game-Value checks belong to the separate contract-length test described below.</w:t>
      </w:r>
    </w:p>
    <w:p>
      <w:pPr>
        <w:pStyle w:val="Heading2"/>
        <w:keepNext/>
        <w:spacing w:after="140" w:before="280"/>
      </w:pPr>
      <w:r>
        <w:t>3. Pricing Patterns That Need Further Testing</w:t>
      </w:r>
    </w:p>
    <w:p>
      <w:pPr>
        <w:spacing w:after="200"/>
        <w:jc w:val="left"/>
      </w:pPr>
      <w:r>
        <w:t>Young players on long contracts often have negative modeled surplus. A trailing baseline can contribute to this pattern by responding slowly to a breakout that the club already expects to continue. The July diagnostics estimated how much of the gap could be attributed to under-forecasting. Remaining differences could reflect team fit, private information, costs, or further prediction error.</w:t>
      </w:r>
    </w:p>
    <w:p>
      <w:pPr>
        <w:spacing w:after="200"/>
        <w:jc w:val="left"/>
      </w:pPr>
      <w:r>
        <w:t>The diagnostic covered 41 contracts with terms of at least six years and players aged 23.5 or younger at valuation. Median modeled NPV was about -$20.6 million, with roughly $6 million to $8 million per deal attributed to under-forecasting. These figures describe that diagnostic's specification and vintage. Subtracting the estimated forecast gap leaves a residual, but does not identify its cause as a cost-certainty premium.</w:t>
      </w:r>
    </w:p>
    <w:p>
      <w:pPr>
        <w:spacing w:after="200"/>
        <w:jc w:val="left"/>
      </w:pPr>
      <w:r>
        <w:t>Tests of proposed projection changes, including recent trajectory and short-history treatment, did not improve the evaluated forecasts overall. The relevant next question is whether forecast errors remain systematically different for young players signing long contracts. Average accuracy across all players cannot answer that subgroup question.</w:t>
      </w:r>
    </w:p>
    <w:p>
      <w:pPr>
        <w:spacing w:after="200"/>
        <w:jc w:val="left"/>
      </w:pPr>
      <w:r>
        <w:t>The separate contract-length test compared subsequent annual adjusted Game Value across contracts of different lengths while controlling for the trailing production baseline. For 1,781 contracts over a three-season horizon, the pooled coefficient was -0.0135 wins per season per additional year of term, with a 95% interval from -0.0360 to +0.0089. The model therefore applied no positive pooled value-side adjustment. The forward subgroup had a small positive estimate, +0.0273 with an interval from +0.0028 to +0.0518. This result has not been adopted as a separate forward adjustment. The test measures a production association, not the market price of contractual flexibility or certainty.</w:t>
      </w:r>
    </w:p>
    <w:p>
      <w:pPr>
        <w:spacing w:after="200"/>
        <w:jc w:val="left"/>
      </w:pPr>
      <w:r>
        <w:t>Exploratory salary regressions found a discount associated with star RFAs and a level premium for signing with the player's existing club. They used an older sample and baseline treatment, so they need to be refitted on the current specification before adoption. The star definition also needs testing across reasonable thresholds, and very few star contracts in the sample reached the open market.</w:t>
      </w:r>
    </w:p>
    <w:p>
      <w:pPr>
        <w:spacing w:after="200"/>
        <w:jc w:val="left"/>
      </w:pPr>
      <w:r>
        <w:t>The exploratory salary fit used 2,468 contracts with unprorated baselines and 34 stars, defined using a threshold of 3.5 trailing wins. The current pricing sample has 2,349 contracts and adjusts the shortened schedules. The star-RFA term measured whether the combination of star quality and RFA status was associated with pay beyond their separate effects. It asks a different question from whether all RFAs and UFAs need separate price equations.</w:t>
      </w:r>
    </w:p>
    <w:p>
      <w:pPr>
        <w:spacing w:after="200"/>
        <w:jc w:val="left"/>
      </w:pPr>
      <w:r>
        <w:t>The own-club result was an estimated addition to the price level, rather than an extra price per win. Such an addition is proportionally larger for a middle-priced contract than for a star contract. Players who re-sign are also selected: both sides have chosen to continue the relationship. Repeating the test on the current sample would establish whether the association persists, while a causal interpretation would still require separating that selection from the effect of staying with the club.</w:t>
      </w:r>
    </w:p>
    <w:p>
      <w:pPr>
        <w:spacing w:after="200"/>
        <w:jc w:val="left"/>
      </w:pPr>
      <w:r>
        <w:t>A salary-based benchmark can identify differences within the observed market while missing a league-wide distortion. If all stars were paid less than their broader economic contribution, that lower pay could also enter the estimated price equation. Comparing salaries with a benchmark fitted from those same salaries cannot recover the missing league-wide value.</w:t>
      </w:r>
    </w:p>
    <w:p>
      <w:pPr>
        <w:spacing w:after="200"/>
        <w:jc w:val="left"/>
      </w:pPr>
      <w:r>
        <w:t>The trade sample includes accepted exchanges. It excludes offers that were rejected and assets that clubs chose to keep. Those groups may differ in ways the data do not capture, so the analysis will describe pricing patterns among completed trades rather than all possible transactions.</w:t>
      </w:r>
    </w:p>
    <w:p>
      <w:pPr>
        <w:pStyle w:val="Heading2"/>
        <w:keepNext/>
        <w:spacing w:after="140" w:before="280"/>
      </w:pPr>
      <w:r>
        <w:t>4. Comparing Trade Packages</w:t>
      </w:r>
    </w:p>
    <w:p>
      <w:pPr>
        <w:spacing w:after="200"/>
        <w:jc w:val="left"/>
      </w:pPr>
      <w:r>
        <w:t>The intended comparison uses surplus dollars, meaning production value less cost. That subtraction matters. A common error in the gross price of wins does not generally cancel from a ratio of two packages' surpluses, because their fixed costs differ.</w:t>
      </w:r>
    </w:p>
    <w:p>
      <w:pPr>
        <w:spacing w:after="200"/>
        <w:jc w:val="left"/>
      </w:pPr>
      <w:r>
        <w:t>Suppose package A has $10 million of gross value and $8 million of cost, while package B has $8 million of gross value and $7 million of cost. Their surpluses are $2 million and $1 million, a ratio of two. Raising both gross values by 20%, with costs unchanged, gives $4 million and $2.6 million of surplus, a ratio of about 1.54. A shared price change has altered the comparison without changing either contract. Packages with different mixes of picks, low-cost players, and expensive contracts need not respond equally.</w:t>
      </w:r>
    </w:p>
    <w:p>
      <w:pPr>
        <w:spacing w:after="200"/>
        <w:jc w:val="left"/>
      </w:pPr>
      <w:r>
        <w:t>Ratios are also unstable when the denominator is near zero and difficult to interpret when either side is negative. Even with positive values, symmetry between clubs does not imply an average ratio of one. A trade recorded as two-to-one in one direction becomes one-to-two in the other; averaging those two ratios gives 1.25.</w:t>
      </w:r>
    </w:p>
    <w:p>
      <w:pPr>
        <w:spacing w:after="200"/>
        <w:jc w:val="left"/>
      </w:pPr>
      <w:r>
        <w:t>Before using a surplus ratio, the study needs to specify which package goes in the denominator, how to handle zero or negative surplus, and what distribution represents no systematic imbalance. An average ratio of one is not justified by treating both clubs symmetrically. These choices remain unresolved.</w:t>
      </w:r>
    </w:p>
    <w:p>
      <w:pPr>
        <w:spacing w:after="200"/>
        <w:jc w:val="left"/>
      </w:pPr>
      <w:r>
        <w:t>A dollar difference avoids dividing by a near-zero surplus. It still needs a scale for comparing small and large deals: a $1 million gap may matter differently in each. A normalized difference or a model of both package values would make other assumptions about that scale. No replacement statistic has been selected. Uncertainty must also account for shared inputs, such as the price per win and draft-band values used on both sides.</w:t>
      </w:r>
    </w:p>
    <w:p>
      <w:pPr>
        <w:spacing w:after="200"/>
        <w:jc w:val="left"/>
      </w:pPr>
      <w:r>
        <w:t>The Game Value allocation of season production across team stints has not been applied to the back-test. It also needs rules for near-zero season totals and stints with opposite signs. Dividing by a small signed total can produce extreme or negative shares, which cannot be interpreted as ordinary percentages of a season.</w:t>
      </w:r>
    </w:p>
    <w:p>
      <w:pPr>
        <w:pStyle w:val="Heading2"/>
        <w:keepNext/>
        <w:spacing w:after="140" w:before="280"/>
      </w:pPr>
      <w:r>
        <w:t>5. Assumptions That Can Move the Result</w:t>
      </w:r>
    </w:p>
    <w:p>
      <w:pPr>
        <w:spacing w:after="200"/>
        <w:jc w:val="left"/>
      </w:pPr>
      <w:r>
        <w:t>The draft estimate depends on several cost assumptions. Setting post-entry-level surplus to zero omits later positive surplus. Maximum entry-level costs lower the estimate for players who signed below the maximum, while omitted bonuses can raise it. During short appearances before the modeled entry-level period is exhausted, the cost is prorated but the price intercept is not. There is no single direction for these effects together.</w:t>
      </w:r>
    </w:p>
    <w:p>
      <w:pPr>
        <w:spacing w:after="200"/>
        <w:jc w:val="left"/>
      </w:pPr>
      <w:r>
        <w:t>Rule B, the alternative post-entry-level cost calculation, prices defence production with the defence slope but trailing cost with the forward slope. Even unchanged production can then show a surplus. The primary Rule A curve is unaffected, but Rule B needs correction before its difference can be read as the effect of the cost assumption.</w:t>
      </w:r>
    </w:p>
    <w:p>
      <w:pPr>
        <w:spacing w:after="200"/>
        <w:jc w:val="left"/>
      </w:pPr>
      <w:r>
        <w:t>During signed contract years, survival reduces production value while the cap cost continues. This understates surplus where a departure would actually bring cap relief. Temporary absences treated as permanent exits can also reduce continuation too far. Evidence that low-value players rebound among those who keep playing does not determine the exit rate of the full group; the exit model separately counts next-season absences.</w:t>
      </w:r>
    </w:p>
    <w:p>
      <w:pPr>
        <w:spacing w:after="200"/>
        <w:jc w:val="left"/>
      </w:pPr>
      <w:r>
        <w:t>Control-year values use qualifying offers as cost estimates and a separate chain of qualification probabilities. That chain starts at one before the first control year, without carrying forward survival accumulated during the signed contract. Its treatment of departures before expiry needs checking. Other differences also affect comparisons: terminal and goalie values lack the forecast-uncertainty floor correction used in skater contract years, and goalies use an older price estimator and no skater qualification adjustment.</w:t>
      </w:r>
    </w:p>
    <w:p>
      <w:pPr>
        <w:pStyle w:val="Heading2"/>
        <w:keepNext/>
        <w:spacing w:after="140" w:before="280"/>
      </w:pPr>
      <w:r>
        <w:t>6. What Has Been Verified</w:t>
      </w:r>
    </w:p>
    <w:p>
      <w:pPr>
        <w:spacing w:after="200"/>
        <w:jc w:val="left"/>
      </w:pPr>
      <w:r>
        <w:t>The September 9 rerun reproduced the player outputs and draft curve after migration, and the contract-length test was completed. These checks establish that the code reproduced the stated calculations and results. They address implementation consistency; the forecasting tests and sensitivity comparisons address whether particular model choices work well.</w:t>
      </w:r>
    </w:p>
    <w:p>
      <w:pPr>
        <w:spacing w:after="200"/>
        <w:jc w:val="left"/>
      </w:pPr>
      <w:r>
        <w:t>The implementation checks include reproducing earlier locked price equations, reconciling Game Value credits and debits, and requiring the skater projection to match the starting valuation layer. These catch inconsistent coefficients, input drift, and broken links between calculation steps. They cannot establish that a source record is correct or that a modeling assumption fits the economic question.</w:t>
      </w:r>
    </w:p>
    <w:p>
      <w:pPr>
        <w:spacing w:after="200"/>
        <w:jc w:val="left"/>
      </w:pPr>
      <w:r>
        <w:t>The next tests need to address specific uncertainties: compare historical valuations with estimates fitted only on earlier data; vary important thresholds and cost assumptions; finish pricing the missing assets; and assess outcomes separately for groups with different measurement quality. The sample must also be large enough to detect differences that matter economically. A pooled result can conceal weaker evidence for defencemen, goalies, or uncommon trade types.</w:t>
      </w:r>
    </w:p>
    <w:p>
      <w:pPr>
        <w:spacing w:after="200"/>
        <w:jc w:val="left"/>
      </w:pPr>
      <w:r>
        <w:t>The contribution is a framework that expresses all three asset classes in surplus dollars. Evidence of systematic mispricing will depend on the completed trade comparison and whether its patterns survive the measurement, information, and selection limits described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2026-09-09T20:55:15.472Z</dcterms:created>
  <dcterms:modified xsi:type="dcterms:W3CDTF">2026-09-09T20:55:15.472Z</dcterms:modified>
</cp:coreProperties>
</file>

<file path=docProps/custom.xml><?xml version="1.0" encoding="utf-8"?>
<Properties xmlns="http://schemas.openxmlformats.org/officeDocument/2006/custom-properties" xmlns:vt="http://schemas.openxmlformats.org/officeDocument/2006/docPropsVTypes"/>
</file>