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rPr>
          <w:rFonts w:asciiTheme="minorHAnsi" w:hAnsiTheme="minorHAnsi" w:cstheme="minorHAnsi"/>
        </w:rPr>
      </w:pPr>
      <w:r>
        <w:rPr>
          <w:rFonts w:asciiTheme="minorHAnsi" w:hAnsiTheme="minorHAnsi" w:cstheme="minorHAnsi"/>
        </w:rPr>
        <w:t xml:space="preserve">Data, Production, and Aging</w:t>
      </w:r>
    </w:p>
    <w:p>
      <w:pPr>
        <w:rPr>
          <w:rFonts w:asciiTheme="minorHAnsi" w:hAnsiTheme="minorHAnsi" w:cstheme="minorHAnsi"/>
        </w:rPr>
      </w:pPr>
      <w:r>
        <w:rPr>
          <w:rFonts w:asciiTheme="minorHAnsi" w:hAnsiTheme="minorHAnsi" w:cstheme="minorHAnsi"/>
        </w:rPr>
        <w:t xml:space="preserve">A contract’s value depends on what the player will produce in each season it has left, and none of those seasons has been played when the contract is valued. The model therefore forecasts each remaining season from what was known on the valuation date. Production is measured with Patrick Bacon’s wins above replacement (WAR). The pricing document turns these forecasts into dollars, deducts the cap hit, and discounts each season to the valuation date.</w:t>
      </w:r>
    </w:p>
    <w:p>
      <w:pPr>
        <w:rPr>
          <w:rFonts w:asciiTheme="minorHAnsi" w:hAnsiTheme="minorHAnsi" w:cstheme="minorHAnsi"/>
        </w:rPr>
      </w:pPr>
      <w:r>
        <w:rPr>
          <w:rFonts w:asciiTheme="minorHAnsi" w:hAnsiTheme="minorHAnsi" w:cstheme="minorHAnsi"/>
        </w:rPr>
        <w:t xml:space="preserve">The forecast answers three separate questions for each future season. How productive will the player be per game if he plays? What share of his team’s games will he play? Will he play in the NHL at all? Expected production is the product of the three answers. Keeping them apart matters because they fail in different ways: a declining veteran loses rate, an injured player loses games, and a retiring player loses the season entirely.</w:t>
      </w:r>
    </w:p>
    <w:p>
      <w:pPr>
        <w:pStyle w:val="Heading1"/>
        <w:rPr>
          <w:rFonts w:asciiTheme="minorHAnsi" w:hAnsiTheme="minorHAnsi" w:cstheme="minorHAnsi"/>
        </w:rPr>
      </w:pPr>
      <w:r>
        <w:rPr>
          <w:rFonts w:asciiTheme="minorHAnsi" w:hAnsiTheme="minorHAnsi" w:cstheme="minorHAnsi"/>
        </w:rPr>
        <w:t xml:space="preserve">1. Joining the Data</w:t>
      </w:r>
    </w:p>
    <w:p>
      <w:pPr>
        <w:rPr>
          <w:rFonts w:asciiTheme="minorHAnsi" w:hAnsiTheme="minorHAnsi" w:cstheme="minorHAnsi"/>
        </w:rPr>
      </w:pPr>
      <w:r>
        <w:rPr>
          <w:rFonts w:asciiTheme="minorHAnsi" w:hAnsiTheme="minorHAnsi" w:cstheme="minorHAnsi"/>
        </w:rPr>
        <w:t xml:space="preserve">The player model combines performance records, ages, and contract terms from different sources. Their identifiers do not line up consistently, so names and positions connect the records. Accents and spelling variants are standardized, and known same-name players are kept apart by hand; for example, the two Elias Petterssons, a forward and a defenceman, carry separate career keys. Two names under which the source merged different players are dropped, because their records cannot safely be priced.</w:t>
      </w:r>
    </w:p>
    <w:p>
      <w:pPr>
        <w:rPr>
          <w:rFonts w:asciiTheme="minorHAnsi" w:hAnsiTheme="minorHAnsi" w:cstheme="minorHAnsi"/>
        </w:rPr>
      </w:pPr>
      <w:r>
        <w:rPr>
          <w:rFonts w:asciiTheme="minorHAnsi" w:hAnsiTheme="minorHAnsi" w:cstheme="minorHAnsi"/>
        </w:rPr>
        <w:t xml:space="preserve">PuckPedia supplies contract terms and the trade ledger. Patrick Bacon supplies player production throughout the valuation model. Trade-protection clauses come from a separate scrape, checked against a second clause source, while the NHL game and shift records support Game Value. Keeping one provider for player production avoids combining wins measured on different scales. Game Value has a separate role as an allocation measure, as explained in the Circularity document.</w:t>
      </w:r>
    </w:p>
    <w:p>
      <w:pPr>
        <w:rPr>
          <w:rFonts w:asciiTheme="minorHAnsi" w:hAnsiTheme="minorHAnsi" w:cstheme="minorHAnsi"/>
        </w:rPr>
      </w:pPr>
      <w:r>
        <w:rPr>
          <w:rFonts w:asciiTheme="minorHAnsi" w:hAnsiTheme="minorHAnsi" w:cstheme="minorHAnsi"/>
        </w:rPr>
        <w:t xml:space="preserve">A traded player’s team records belong to one season and are added together before anything else is computed. The code stops if the combined games exceed a full season, which would indicate that two players had been merged.</w:t>
      </w:r>
    </w:p>
    <w:p>
      <w:pPr>
        <w:rPr>
          <w:rFonts w:asciiTheme="minorHAnsi" w:hAnsiTheme="minorHAnsi" w:cstheme="minorHAnsi"/>
        </w:rPr>
      </w:pPr>
      <w:r>
        <w:rPr>
          <w:rFonts w:asciiTheme="minorHAnsi" w:hAnsiTheme="minorHAnsi" w:cstheme="minorHAnsi"/>
        </w:rPr>
        <w:t xml:space="preserve">The model builds one table with a row for each player and season. Each row carries the season’s WAR, games played, the player’s rate of WAR per 82 games, and his games share, which is the share of his team’s scheduled games he played. In the shortened 2019-20 and 2020-21 seasons, the season total is scaled to an 82-game basis, and the games share is measured against the 70-game and 56-game schedules. The two adjustments are built to cancel, so that the season total always equals the rate per 82 games times the games share. The code checks this identity on each row, because the forecast later rebuilds season totals from exactly these two parts.</w:t>
      </w:r>
    </w:p>
    <w:p>
      <w:pPr>
        <w:rPr>
          <w:rFonts w:asciiTheme="minorHAnsi" w:hAnsiTheme="minorHAnsi" w:cstheme="minorHAnsi"/>
        </w:rPr>
      </w:pPr>
      <w:r>
        <w:rPr>
          <w:rFonts w:asciiTheme="minorHAnsi" w:hAnsiTheme="minorHAnsi" w:cstheme="minorHAnsi"/>
        </w:rPr>
        <w:t xml:space="preserve">Age is measured in whole years on February 1 of the season’s ending year. The age table carries a birthdate for 99.9% of season rows, and the forecast refuses to run on a table below 99%.</w:t>
      </w:r>
    </w:p>
    <w:p>
      <w:pPr>
        <w:rPr>
          <w:rFonts w:asciiTheme="minorHAnsi" w:hAnsiTheme="minorHAnsi" w:cstheme="minorHAnsi"/>
        </w:rPr>
      </w:pPr>
      <w:r>
        <w:rPr>
          <w:rFonts w:asciiTheme="minorHAnsi" w:hAnsiTheme="minorHAnsi" w:cstheme="minorHAnsi"/>
        </w:rPr>
        <w:t xml:space="preserve">The trade inventory contains 980 export rows grouped into 946 events, including linked legs of facilitated transactions. There is only one trade from the intended 2017-18 season, dated June 23, 2018, so coverage effectively begins in 2018-19. Completeness has not been checked against an independent trade source.</w:t>
      </w:r>
    </w:p>
    <w:p>
      <w:pPr>
        <w:pStyle w:val="Heading1"/>
        <w:rPr>
          <w:rFonts w:asciiTheme="minorHAnsi" w:hAnsiTheme="minorHAnsi" w:cstheme="minorHAnsi"/>
        </w:rPr>
      </w:pPr>
      <w:r>
        <w:rPr>
          <w:rFonts w:asciiTheme="minorHAnsi" w:hAnsiTheme="minorHAnsi" w:cstheme="minorHAnsi"/>
        </w:rPr>
        <w:t xml:space="preserve">2. What the Model Forecasts, and When</w:t>
      </w:r>
    </w:p>
    <w:p>
      <w:pPr>
        <w:pStyle w:val="Heading2"/>
        <w:rPr>
          <w:rFonts w:asciiTheme="minorHAnsi" w:hAnsiTheme="minorHAnsi" w:cstheme="minorHAnsi"/>
        </w:rPr>
      </w:pPr>
      <w:r>
        <w:rPr>
          <w:rFonts w:asciiTheme="minorHAnsi" w:hAnsiTheme="minorHAnsi" w:cstheme="minorHAnsi"/>
        </w:rPr>
        <w:t xml:space="preserve">The three parts of a season</w:t>
      </w:r>
    </w:p>
    <w:p>
      <w:pPr>
        <w:rPr>
          <w:rFonts w:asciiTheme="minorHAnsi" w:hAnsiTheme="minorHAnsi" w:cstheme="minorHAnsi"/>
        </w:rPr>
      </w:pPr>
      <w:r>
        <w:rPr>
          <w:rFonts w:asciiTheme="minorHAnsi" w:hAnsiTheme="minorHAnsi" w:cstheme="minorHAnsi"/>
        </w:rPr>
        <w:t xml:space="preserve">For a player valued at the start of season t, and each season k years later (k = 0 is the valuation season itself), the model forecasts:</w:t>
      </w:r>
    </w:p>
    <w:p>
      <w:pPr>
        <w:numPr>
          <w:ilvl w:val="0"/>
          <w:numId w:val="1"/>
        </w:numPr>
        <w:spacing w:after="80"/>
        <w:ind w:left="720" w:hanging="360"/>
        <w:rPr>
          <w:rFonts w:asciiTheme="minorHAnsi" w:hAnsiTheme="minorHAnsi" w:cstheme="minorHAnsi"/>
        </w:rPr>
      </w:pPr>
      <w:r>
        <w:rPr>
          <w:rFonts w:asciiTheme="minorHAnsi" w:hAnsiTheme="minorHAnsi" w:cstheme="minorHAnsi"/>
        </w:rPr>
        <w:t xml:space="preserve">the rate, his WAR per 82 games if he plays;</w:t>
      </w:r>
    </w:p>
    <w:p>
      <w:pPr>
        <w:numPr>
          <w:ilvl w:val="0"/>
          <w:numId w:val="1"/>
        </w:numPr>
        <w:spacing w:after="80"/>
        <w:ind w:left="720" w:hanging="360"/>
        <w:rPr>
          <w:rFonts w:asciiTheme="minorHAnsi" w:hAnsiTheme="minorHAnsi" w:cstheme="minorHAnsi"/>
        </w:rPr>
      </w:pPr>
      <w:r>
        <w:rPr>
          <w:rFonts w:asciiTheme="minorHAnsi" w:hAnsiTheme="minorHAnsi" w:cstheme="minorHAnsi"/>
        </w:rPr>
        <w:t xml:space="preserve">the games share, the share of his team’s games he plays if he plays;</w:t>
      </w:r>
    </w:p>
    <w:p>
      <w:pPr>
        <w:numPr>
          <w:ilvl w:val="0"/>
          <w:numId w:val="1"/>
        </w:numPr>
        <w:spacing w:after="80"/>
        <w:ind w:left="720" w:hanging="360"/>
        <w:rPr>
          <w:rFonts w:asciiTheme="minorHAnsi" w:hAnsiTheme="minorHAnsi" w:cstheme="minorHAnsi"/>
        </w:rPr>
      </w:pPr>
      <w:r>
        <w:rPr>
          <w:rFonts w:asciiTheme="minorHAnsi" w:hAnsiTheme="minorHAnsi" w:cstheme="minorHAnsi"/>
        </w:rPr>
        <w:t xml:space="preserve">the chance of playing, the probability that he appears in at least one NHL game that season.</w:t>
      </w:r>
    </w:p>
    <w:p>
      <w:pPr>
        <w:rPr>
          <w:rFonts w:asciiTheme="minorHAnsi" w:hAnsiTheme="minorHAnsi" w:cstheme="minorHAnsi"/>
        </w:rPr>
      </w:pPr>
      <w:r>
        <w:rPr>
          <w:rFonts w:asciiTheme="minorHAnsi" w:hAnsiTheme="minorHAnsi" w:cstheme="minorHAnsi"/>
        </w:rPr>
        <w:t xml:space="preserve">His WAR if he plays is the rate times the games share. His expected WAR is the chance of playing times that:</w:t>
      </w:r>
    </w:p>
    <w:p>
      <w:pPr>
        <w:spacing w:after="200"/>
        <w:ind w:left="720"/>
        <w:rPr>
          <w:rFonts w:asciiTheme="minorHAnsi" w:hAnsiTheme="minorHAnsi" w:cstheme="minorHAnsi"/>
        </w:rPr>
      </w:pPr>
      <w:r>
        <w:rPr>
          <w:rFonts w:asciiTheme="minorHAnsi" w:hAnsiTheme="minorHAnsi" w:cstheme="minorHAnsi"/>
          <w:i/>
        </w:rPr>
        <w:t xml:space="preserve">expected WAR in season k = chance of playing(k) × rate(k) × games share(k)</w:t>
      </w:r>
    </w:p>
    <w:p>
      <w:pPr>
        <w:rPr>
          <w:rFonts w:asciiTheme="minorHAnsi" w:hAnsiTheme="minorHAnsi" w:cstheme="minorHAnsi"/>
        </w:rPr>
      </w:pPr>
      <w:r>
        <w:rPr>
          <w:rFonts w:asciiTheme="minorHAnsi" w:hAnsiTheme="minorHAnsi" w:cstheme="minorHAnsi"/>
        </w:rPr>
        <w:t xml:space="preserve">The valuation season is forecast in the same way as later seasons. On July 1 it has not been played, and in the development sample 21% of the players being valued did not play in it.</w:t>
      </w:r>
    </w:p>
    <w:p>
      <w:pPr>
        <w:pStyle w:val="Heading2"/>
        <w:rPr>
          <w:rFonts w:asciiTheme="minorHAnsi" w:hAnsiTheme="minorHAnsi" w:cstheme="minorHAnsi"/>
        </w:rPr>
      </w:pPr>
      <w:r>
        <w:rPr>
          <w:rFonts w:asciiTheme="minorHAnsi" w:hAnsiTheme="minorHAnsi" w:cstheme="minorHAnsi"/>
        </w:rPr>
        <w:t xml:space="preserve">Each fit sees only earlier seasons</w:t>
      </w:r>
    </w:p>
    <w:p>
      <w:pPr>
        <w:rPr>
          <w:rFonts w:asciiTheme="minorHAnsi" w:hAnsiTheme="minorHAnsi" w:cstheme="minorHAnsi"/>
        </w:rPr>
      </w:pPr>
      <w:r>
        <w:rPr>
          <w:rFonts w:asciiTheme="minorHAnsi" w:hAnsiTheme="minorHAnsi" w:cstheme="minorHAnsi"/>
        </w:rPr>
        <w:t xml:space="preserve">A valuation is dated July 1 of the valuation season. On that date the model may use a season only if it finished at least 30 days earlier, which allows time for the season’s WAR to be published. The valuation season is never available, and the code asserts this on each valuation date.</w:t>
      </w:r>
    </w:p>
    <w:p>
      <w:pPr>
        <w:rPr>
          <w:rFonts w:asciiTheme="minorHAnsi" w:hAnsiTheme="minorHAnsi" w:cstheme="minorHAnsi"/>
        </w:rPr>
      </w:pPr>
      <w:r>
        <w:rPr>
          <w:rFonts w:asciiTheme="minorHAnsi" w:hAnsiTheme="minorHAnsi" w:cstheme="minorHAnsi"/>
        </w:rPr>
        <w:t xml:space="preserve">The rule applies to the fitted parts of the model as well as to the player’s own record. The model is refitted for each valuation date, using only player-seasons whose outcome had finished by then. This covers the starting-rate regression, the aging curve, the games-share regressions, and the chance-of-playing regressions. For example, the 2024 valuation fits each of them on seasons up to 2023-24, and the 2018 valuation on seasons up to 2017-18. No fitted relationship carries information from after the valuation date.</w:t>
      </w:r>
    </w:p>
    <w:p>
      <w:pPr>
        <w:pStyle w:val="Heading1"/>
        <w:rPr>
          <w:rFonts w:asciiTheme="minorHAnsi" w:hAnsiTheme="minorHAnsi" w:cstheme="minorHAnsi"/>
        </w:rPr>
      </w:pPr>
      <w:r>
        <w:rPr>
          <w:rFonts w:asciiTheme="minorHAnsi" w:hAnsiTheme="minorHAnsi" w:cstheme="minorHAnsi"/>
        </w:rPr>
        <w:t xml:space="preserve">3. The Starting Rate</w:t>
      </w:r>
    </w:p>
    <w:p>
      <w:pPr>
        <w:rPr>
          <w:rFonts w:asciiTheme="minorHAnsi" w:hAnsiTheme="minorHAnsi" w:cstheme="minorHAnsi"/>
        </w:rPr>
      </w:pPr>
      <w:r>
        <w:rPr>
          <w:rFonts w:asciiTheme="minorHAnsi" w:hAnsiTheme="minorHAnsi" w:cstheme="minorHAnsi"/>
        </w:rPr>
        <w:t xml:space="preserve">The starting rate is the model’s estimate of the player’s rate in the valuation season. Each later season is built from it, so an error here carries through the whole contract. The model builds it in two steps: it summarizes recent seasons, then pulls that summary toward what players like him typically produce next.</w:t>
      </w:r>
    </w:p>
    <w:p>
      <w:pPr>
        <w:pStyle w:val="Heading2"/>
        <w:rPr>
          <w:rFonts w:asciiTheme="minorHAnsi" w:hAnsiTheme="minorHAnsi" w:cstheme="minorHAnsi"/>
        </w:rPr>
      </w:pPr>
      <w:r>
        <w:rPr>
          <w:rFonts w:asciiTheme="minorHAnsi" w:hAnsiTheme="minorHAnsi" w:cstheme="minorHAnsi"/>
        </w:rPr>
        <w:t xml:space="preserve">Step 1: a trailing total from three seasons</w:t>
      </w:r>
    </w:p>
    <w:p>
      <w:pPr>
        <w:rPr>
          <w:rFonts w:asciiTheme="minorHAnsi" w:hAnsiTheme="minorHAnsi" w:cstheme="minorHAnsi"/>
        </w:rPr>
      </w:pPr>
      <w:r>
        <w:rPr>
          <w:rFonts w:asciiTheme="minorHAnsi" w:hAnsiTheme="minorHAnsi" w:cstheme="minorHAnsi"/>
        </w:rPr>
        <w:t xml:space="preserve">Any single season is a noisy reading of a player’s ability. The model therefore takes a weighted average of his WAR over the three seasons before the valuation season. A season counts if he played at least ten games in it. A player with no ten-game season among those three has no forecast and is not priced.</w:t>
      </w:r>
    </w:p>
    <w:p>
      <w:pPr>
        <w:rPr>
          <w:rFonts w:asciiTheme="minorHAnsi" w:hAnsiTheme="minorHAnsi" w:cstheme="minorHAnsi"/>
        </w:rPr>
      </w:pPr>
      <w:r>
        <w:rPr>
          <w:rFonts w:asciiTheme="minorHAnsi" w:hAnsiTheme="minorHAnsi" w:cstheme="minorHAnsi"/>
        </w:rPr>
        <w:t xml:space="preserve">The weights decline geometrically: the most recent season receives weight 1, the one before it d, and the one before that d², and the result is divided by the sum of the weights used. The decay d is chosen anew on each valuation date. The model tries seven values from 0.40 to 1.00 and keeps the one whose weighted per-82 rate best predicts the following season’s rate, using only seasons before the valuation date and weighting each by the games behind it. The chosen value is 0.75 on the 2015 valuation and 0.667 on each valuation from 2016 through 2025. At 0.667 the weights are 47%, 32%, and 21%.</w:t>
      </w:r>
    </w:p>
    <w:p>
      <w:pPr>
        <w:rPr>
          <w:rFonts w:asciiTheme="minorHAnsi" w:hAnsiTheme="minorHAnsi" w:cstheme="minorHAnsi"/>
        </w:rPr>
      </w:pPr>
      <w:r>
        <w:rPr>
          <w:rFonts w:asciiTheme="minorHAnsi" w:hAnsiTheme="minorHAnsi" w:cstheme="minorHAnsi"/>
        </w:rPr>
        <w:t xml:space="preserve">If a season is missing or under ten games, the remaining weights are rescaled to sum to one. A missing season is not counted as zero production.</w:t>
      </w:r>
    </w:p>
    <w:p>
      <w:pPr>
        <w:rPr>
          <w:rFonts w:asciiTheme="minorHAnsi" w:hAnsiTheme="minorHAnsi" w:cstheme="minorHAnsi"/>
        </w:rPr>
      </w:pPr>
      <w:r>
        <w:rPr>
          <w:rFonts w:asciiTheme="minorHAnsi" w:hAnsiTheme="minorHAnsi" w:cstheme="minorHAnsi"/>
        </w:rPr>
        <w:t xml:space="preserve">For example, Jonathan Marchessault’s three seasons before 2024-25 produced 2.90, 2.96, and 2.37 WAR. His trailing total is</w:t>
      </w:r>
    </w:p>
    <w:p>
      <w:pPr>
        <w:spacing w:after="200"/>
        <w:ind w:left="720"/>
        <w:rPr>
          <w:rFonts w:asciiTheme="minorHAnsi" w:hAnsiTheme="minorHAnsi" w:cstheme="minorHAnsi"/>
        </w:rPr>
      </w:pPr>
      <w:r>
        <w:rPr>
          <w:rFonts w:asciiTheme="minorHAnsi" w:hAnsiTheme="minorHAnsi" w:cstheme="minorHAnsi"/>
          <w:i/>
        </w:rPr>
        <w:t xml:space="preserve">(1 × 2.90 + 0.667 × 2.96 + 0.444 × 2.37) / (1 + 0.667 + 0.444) = 2.81 WAR</w:t>
      </w:r>
    </w:p>
    <w:p>
      <w:pPr>
        <w:rPr>
          <w:rFonts w:asciiTheme="minorHAnsi" w:hAnsiTheme="minorHAnsi" w:cstheme="minorHAnsi"/>
        </w:rPr>
      </w:pPr>
      <w:r>
        <w:rPr>
          <w:rFonts w:asciiTheme="minorHAnsi" w:hAnsiTheme="minorHAnsi" w:cstheme="minorHAnsi"/>
        </w:rPr>
        <w:t xml:space="preserve">The third season was tested before it was adopted. In an early development test (valuation dates 2015-2021, before aging and the chance of playing were added), reading three seasons instead of two lowered forecast error at five of six horizons, by 0.8% to 3.4%, and left the sixth level. A fourth season added nothing, and letting the decay differ by forecast horizon changed the error by 0.0005 wins.</w:t>
      </w:r>
    </w:p>
    <w:p>
      <w:pPr>
        <w:pStyle w:val="Heading2"/>
        <w:rPr>
          <w:rFonts w:asciiTheme="minorHAnsi" w:hAnsiTheme="minorHAnsi" w:cstheme="minorHAnsi"/>
        </w:rPr>
      </w:pPr>
      <w:r>
        <w:rPr>
          <w:rFonts w:asciiTheme="minorHAnsi" w:hAnsiTheme="minorHAnsi" w:cstheme="minorHAnsi"/>
        </w:rPr>
        <w:t xml:space="preserve">Step 2: pulling the trailing total toward typical</w:t>
      </w:r>
    </w:p>
    <w:p>
      <w:pPr>
        <w:rPr>
          <w:rFonts w:asciiTheme="minorHAnsi" w:hAnsiTheme="minorHAnsi" w:cstheme="minorHAnsi"/>
        </w:rPr>
      </w:pPr>
      <w:r>
        <w:rPr>
          <w:rFonts w:asciiTheme="minorHAnsi" w:hAnsiTheme="minorHAnsi" w:cstheme="minorHAnsi"/>
        </w:rPr>
        <w:t xml:space="preserve">A player whose recent seasons were well above average tends to produce less the next season, and a player well below average tends to produce more. Part of a strong two- or three-season run is luck, and the luck does not repeat. A forecast that takes the trailing total at face value therefore overstates good players and understates poor ones. In the earlier version of this model, which started from a 60/40 two-season total, players with three or more trailing wins were over-forecast by 0.92 WAR in the valuation season, and players below zero were under-forecast by 0.35.</w:t>
      </w:r>
    </w:p>
    <w:p>
      <w:pPr>
        <w:rPr>
          <w:rFonts w:asciiTheme="minorHAnsi" w:hAnsiTheme="minorHAnsi" w:cstheme="minorHAnsi"/>
        </w:rPr>
      </w:pPr>
      <w:r>
        <w:rPr>
          <w:rFonts w:asciiTheme="minorHAnsi" w:hAnsiTheme="minorHAnsi" w:cstheme="minorHAnsi"/>
        </w:rPr>
        <w:t xml:space="preserve">The model corrects this with a regression, refitted on each valuation date. For each player-season before that date, it relates the player’s rate in that season to what was known at its start:</w:t>
      </w:r>
    </w:p>
    <w:p>
      <w:pPr>
        <w:spacing w:after="200"/>
        <w:ind w:left="720"/>
        <w:rPr>
          <w:rFonts w:asciiTheme="minorHAnsi" w:hAnsiTheme="minorHAnsi" w:cstheme="minorHAnsi"/>
        </w:rPr>
      </w:pPr>
      <w:r>
        <w:rPr>
          <w:rFonts w:asciiTheme="minorHAnsi" w:hAnsiTheme="minorHAnsi" w:cstheme="minorHAnsi"/>
          <w:i/>
        </w:rPr>
        <w:t xml:space="preserve">rate = a + b1 × trailing total + b2 × max(trailing total − 1, 0) + b3 × trailing total × evidence + b4 × one season only + b5 × defence + b6 × experience + b7 × (age − 27) + b8 × (age − 27)²</w:t>
      </w:r>
    </w:p>
    <w:p>
      <w:pPr>
        <w:rPr>
          <w:rFonts w:asciiTheme="minorHAnsi" w:hAnsiTheme="minorHAnsi" w:cstheme="minorHAnsi"/>
        </w:rPr>
      </w:pPr>
      <w:r>
        <w:rPr>
          <w:rFonts w:asciiTheme="minorHAnsi" w:hAnsiTheme="minorHAnsi" w:cstheme="minorHAnsi"/>
        </w:rPr>
        <w:t xml:space="preserve">Each term has a job. The trailing total carries the player’s level. The second term lets the slope change above one win, because good players keep more of their level than average ones. Evidence is the weighted number of games behind the trailing total, divided by 82, so the third term lets a total built on more games count for more. One season only flags a trailing total built on a single season. Defence, NHL seasons of experience, and age complete the list. Each season in the fit is weighted by the games played in it, because a rate computed from a handful of games is a much noisier reading than a full season’s.</w:t>
      </w:r>
    </w:p>
    <w:p>
      <w:pPr>
        <w:rPr>
          <w:rFonts w:asciiTheme="minorHAnsi" w:hAnsiTheme="minorHAnsi" w:cstheme="minorHAnsi"/>
        </w:rPr>
      </w:pPr>
      <w:r>
        <w:rPr>
          <w:rFonts w:asciiTheme="minorHAnsi" w:hAnsiTheme="minorHAnsi" w:cstheme="minorHAnsi"/>
        </w:rPr>
        <w:t xml:space="preserve">The regression fitted for the 2024 valuation is below. Standard errors are clustered by player, because the same player appears in many seasons.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80" w:type="dxa"/>
          <w:right w:w="80" w:type="dxa"/>
        </w:tblCellMar>
      </w:tblPr>
      <w:tblGrid>
        <w:gridCol w:w="4305"/>
        <w:gridCol w:w="2527"/>
        <w:gridCol w:w="2528"/>
      </w:tblGrid>
      <w:tr>
        <w:trPr>
          <w:tblHeader/>
          <w:cantSplit/>
        </w:trPr>
        <w:tc>
          <w:tcPr>
            <w:tcW w:w="4305" w:type="dxa"/>
            <w:shd w:val="clear" w:color="auto" w:fill="E7E6E6"/>
          </w:tcPr>
          <w:p>
            <w:pPr>
              <w:spacing w:before="20" w:after="20" w:line="240" w:lineRule="auto"/>
              <w:jc w:val="left"/>
              <w:rPr>
                <w:rFonts w:asciiTheme="minorHAnsi" w:hAnsiTheme="minorHAnsi" w:cstheme="minorHAnsi"/>
              </w:rPr>
            </w:pPr>
            <w:r>
              <w:rPr>
                <w:rFonts w:asciiTheme="minorHAnsi" w:hAnsiTheme="minorHAnsi" w:cstheme="minorHAnsi"/>
                <w:b/>
                <w:sz w:val="19"/>
                <w:szCs w:val="19"/>
              </w:rPr>
              <w:t xml:space="preserve">Term</w:t>
            </w:r>
          </w:p>
        </w:tc>
        <w:tc>
          <w:tcPr>
            <w:tcW w:w="2527"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Coefficient</w:t>
            </w:r>
          </w:p>
        </w:tc>
        <w:tc>
          <w:tcPr>
            <w:tcW w:w="2528"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Std. error</w:t>
            </w:r>
          </w:p>
        </w:tc>
      </w:tr>
      <w:tr>
        <w:trPr>
          <w:cantSplit/>
        </w:trPr>
        <w:tc>
          <w:tcPr>
            <w:tcW w:w="4305"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Constant</w:t>
            </w:r>
          </w:p>
        </w:tc>
        <w:tc>
          <w:tcPr>
            <w:tcW w:w="2527"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0.332</w:t>
            </w:r>
          </w:p>
        </w:tc>
        <w:tc>
          <w:tcPr>
            <w:tcW w:w="2528"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0.028</w:t>
            </w:r>
          </w:p>
        </w:tc>
      </w:tr>
      <w:tr>
        <w:trPr>
          <w:cantSplit/>
        </w:trPr>
        <w:tc>
          <w:tcPr>
            <w:tcW w:w="4305"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Trailing total</w:t>
            </w:r>
          </w:p>
        </w:tc>
        <w:tc>
          <w:tcPr>
            <w:tcW w:w="2527"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0.710</w:t>
            </w:r>
          </w:p>
        </w:tc>
        <w:tc>
          <w:tcPr>
            <w:tcW w:w="2528"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0.050</w:t>
            </w:r>
          </w:p>
        </w:tc>
      </w:tr>
      <w:tr>
        <w:trPr>
          <w:cantSplit/>
        </w:trPr>
        <w:tc>
          <w:tcPr>
            <w:tcW w:w="4305"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Trailing total above one win</w:t>
            </w:r>
          </w:p>
        </w:tc>
        <w:tc>
          <w:tcPr>
            <w:tcW w:w="2527"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0.140</w:t>
            </w:r>
          </w:p>
        </w:tc>
        <w:tc>
          <w:tcPr>
            <w:tcW w:w="2528"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0.053</w:t>
            </w:r>
          </w:p>
        </w:tc>
      </w:tr>
      <w:tr>
        <w:trPr>
          <w:cantSplit/>
        </w:trPr>
        <w:tc>
          <w:tcPr>
            <w:tcW w:w="4305"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Trailing total × evidence</w:t>
            </w:r>
          </w:p>
        </w:tc>
        <w:tc>
          <w:tcPr>
            <w:tcW w:w="2527"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0.024</w:t>
            </w:r>
          </w:p>
        </w:tc>
        <w:tc>
          <w:tcPr>
            <w:tcW w:w="2528"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0.065</w:t>
            </w:r>
          </w:p>
        </w:tc>
      </w:tr>
      <w:tr>
        <w:trPr>
          <w:cantSplit/>
        </w:trPr>
        <w:tc>
          <w:tcPr>
            <w:tcW w:w="4305"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One season only</w:t>
            </w:r>
          </w:p>
        </w:tc>
        <w:tc>
          <w:tcPr>
            <w:tcW w:w="2527"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-0.089</w:t>
            </w:r>
          </w:p>
        </w:tc>
        <w:tc>
          <w:tcPr>
            <w:tcW w:w="2528"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0.035</w:t>
            </w:r>
          </w:p>
        </w:tc>
      </w:tr>
      <w:tr>
        <w:trPr>
          <w:cantSplit/>
        </w:trPr>
        <w:tc>
          <w:tcPr>
            <w:tcW w:w="4305"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Defence</w:t>
            </w:r>
          </w:p>
        </w:tc>
        <w:tc>
          <w:tcPr>
            <w:tcW w:w="2527"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-0.146</w:t>
            </w:r>
          </w:p>
        </w:tc>
        <w:tc>
          <w:tcPr>
            <w:tcW w:w="2528"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0.024</w:t>
            </w:r>
          </w:p>
        </w:tc>
      </w:tr>
      <w:tr>
        <w:trPr>
          <w:cantSplit/>
        </w:trPr>
        <w:tc>
          <w:tcPr>
            <w:tcW w:w="4305"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Experience (seasons)</w:t>
            </w:r>
          </w:p>
        </w:tc>
        <w:tc>
          <w:tcPr>
            <w:tcW w:w="2527"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0.002</w:t>
            </w:r>
          </w:p>
        </w:tc>
        <w:tc>
          <w:tcPr>
            <w:tcW w:w="2528"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0.005</w:t>
            </w:r>
          </w:p>
        </w:tc>
      </w:tr>
      <w:tr>
        <w:trPr>
          <w:cantSplit/>
        </w:trPr>
        <w:tc>
          <w:tcPr>
            <w:tcW w:w="4305"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Age − 27</w:t>
            </w:r>
          </w:p>
        </w:tc>
        <w:tc>
          <w:tcPr>
            <w:tcW w:w="2527"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-0.055</w:t>
            </w:r>
          </w:p>
        </w:tc>
        <w:tc>
          <w:tcPr>
            <w:tcW w:w="2528"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0.005</w:t>
            </w:r>
          </w:p>
        </w:tc>
      </w:tr>
      <w:tr>
        <w:trPr>
          <w:cantSplit/>
        </w:trPr>
        <w:tc>
          <w:tcPr>
            <w:tcW w:w="4305"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(Age − 27)²</w:t>
            </w:r>
          </w:p>
        </w:tc>
        <w:tc>
          <w:tcPr>
            <w:tcW w:w="2527"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0.0020</w:t>
            </w:r>
          </w:p>
        </w:tc>
        <w:tc>
          <w:tcPr>
            <w:tcW w:w="2528"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0.0005</w:t>
            </w:r>
          </w:p>
        </w:tc>
      </w:tr>
    </w:tbl>
    <w:p>
      <w:pPr>
        <w:spacing w:after="80"/>
      </w:pPr>
    </w:p>
    <w:p>
      <w:pPr>
        <w:rPr>
          <w:rFonts w:asciiTheme="minorHAnsi" w:hAnsiTheme="minorHAnsi" w:cstheme="minorHAnsi"/>
        </w:rPr>
      </w:pPr>
      <w:r>
        <w:rPr>
          <w:rFonts w:asciiTheme="minorHAnsi" w:hAnsiTheme="minorHAnsi" w:cstheme="minorHAnsi"/>
        </w:rPr>
        <w:t xml:space="preserve">The fit uses 11,112 player-seasons from 2,094 players, seasons 2008-09 through 2023-24, and explains 40% of the games-weighted variation in the rate.</w:t>
      </w:r>
    </w:p>
    <w:p>
      <w:pPr>
        <w:rPr>
          <w:rFonts w:asciiTheme="minorHAnsi" w:hAnsiTheme="minorHAnsi" w:cstheme="minorHAnsi"/>
        </w:rPr>
      </w:pPr>
      <w:r>
        <w:rPr>
          <w:rFonts w:asciiTheme="minorHAnsi" w:hAnsiTheme="minorHAnsi" w:cstheme="minorHAnsi"/>
        </w:rPr>
        <w:t xml:space="preserve">The coefficient on the trailing total is the pull toward typical. Take a forward of 27 with five seasons of experience and three full seasons behind his trailing total. At two trailing wins he starts at about 1.95 WAR per 82 games, at four wins about 3.69, and at minus 0.5 about 0.0. The slope is steeper above one win, so good players keep more of their level than average ones, while players below replacement are pulled most of the way back to zero. Age lowers the start by about 0.055 WAR per year past 27, which is a level effect at the valuation date; the change in ability over the following seasons comes from the aging curve in Section 4.</w:t>
      </w:r>
    </w:p>
    <w:p>
      <w:pPr>
        <w:rPr>
          <w:rFonts w:asciiTheme="minorHAnsi" w:hAnsiTheme="minorHAnsi" w:cstheme="minorHAnsi"/>
        </w:rPr>
      </w:pPr>
      <w:r>
        <w:rPr>
          <w:rFonts w:asciiTheme="minorHAnsi" w:hAnsiTheme="minorHAnsi" w:cstheme="minorHAnsi"/>
        </w:rPr>
        <w:t xml:space="preserve">For Marchessault, aged 34 in 2024-25 with 11 seasons of experience and a trailing total of 2.81 built on about 79 games of evidence, the fitted start is 2.37 WAR per 82 games. The age terms take 0.29 off what a 27-year-old with the same record would receive.</w:t>
      </w:r>
    </w:p>
    <w:p>
      <w:pPr>
        <w:rPr>
          <w:rFonts w:asciiTheme="minorHAnsi" w:hAnsiTheme="minorHAnsi" w:cstheme="minorHAnsi"/>
        </w:rPr>
      </w:pPr>
      <w:r>
        <w:rPr>
          <w:rFonts w:asciiTheme="minorHAnsi" w:hAnsiTheme="minorHAnsi" w:cstheme="minorHAnsi"/>
        </w:rPr>
        <w:t xml:space="preserve">The pull is one of the largest single gains in the model. In the development tests, with the other parts of the forecast held fixed, replacing a plain three-season average with the fitted start lowered season-WAR error (root mean squared error, RMSE) from 0.882 to 0.862, a 2.3% reduction. It also removed most of the tilt by quality in the valuation season. The bias for three-win players went from +0.43 to -0.19, and for players below zero from -0.18 to +0.01.</w:t>
      </w:r>
    </w:p>
    <w:p>
      <w:pPr>
        <w:rPr>
          <w:rFonts w:asciiTheme="minorHAnsi" w:hAnsiTheme="minorHAnsi" w:cstheme="minorHAnsi"/>
        </w:rPr>
      </w:pPr>
      <w:r>
        <w:rPr>
          <w:rFonts w:asciiTheme="minorHAnsi" w:hAnsiTheme="minorHAnsi" w:cstheme="minorHAnsi"/>
        </w:rPr>
        <w:t xml:space="preserve">The best players are still under-forecast. Over the first five forecast seasons, players with three or more trailing wins are under-forecast by 0.26 WAR a season (95% interval -0.56 to +0.08; recorded before the age table’s older birthdates were restored). Five players carry most of this: Connor McDavid, Leon Draisaitl, Nathan MacKinnon, Auston Matthews, and Sidney Crosby. Without them the group is unbiased. Which step causes the miss has not been established.</w:t>
      </w:r>
    </w:p>
    <w:p>
      <w:pPr>
        <w:pStyle w:val="Heading1"/>
        <w:rPr>
          <w:rFonts w:asciiTheme="minorHAnsi" w:hAnsiTheme="minorHAnsi" w:cstheme="minorHAnsi"/>
        </w:rPr>
      </w:pPr>
      <w:r>
        <w:rPr>
          <w:rFonts w:asciiTheme="minorHAnsi" w:hAnsiTheme="minorHAnsi" w:cstheme="minorHAnsi"/>
        </w:rPr>
        <w:t xml:space="preserve">4. How the Rate Changes with Age</w:t>
      </w:r>
    </w:p>
    <w:p>
      <w:pPr>
        <w:rPr>
          <w:rFonts w:asciiTheme="minorHAnsi" w:hAnsiTheme="minorHAnsi" w:cstheme="minorHAnsi"/>
        </w:rPr>
      </w:pPr>
      <w:r>
        <w:rPr>
          <w:rFonts w:asciiTheme="minorHAnsi" w:hAnsiTheme="minorHAnsi" w:cstheme="minorHAnsi"/>
        </w:rPr>
        <w:t xml:space="preserve">The starting rate describes the valuation season. A contract also runs through later seasons in which the player will be older, and production changes with age at different speeds for different kinds of players. The model estimates those changes from the later careers of players who resembled him at the same age. It then adds the changes to his starting rate.</w:t>
      </w:r>
    </w:p>
    <w:p>
      <w:pPr>
        <w:pStyle w:val="Heading2"/>
        <w:rPr>
          <w:rFonts w:asciiTheme="minorHAnsi" w:hAnsiTheme="minorHAnsi" w:cstheme="minorHAnsi"/>
        </w:rPr>
      </w:pPr>
      <w:r>
        <w:rPr>
          <w:rFonts w:asciiTheme="minorHAnsi" w:hAnsiTheme="minorHAnsi" w:cstheme="minorHAnsi"/>
        </w:rPr>
        <w:t xml:space="preserve">Describing the player at his last observed age</w:t>
      </w:r>
    </w:p>
    <w:p>
      <w:pPr>
        <w:rPr>
          <w:rFonts w:asciiTheme="minorHAnsi" w:hAnsiTheme="minorHAnsi" w:cstheme="minorHAnsi"/>
        </w:rPr>
      </w:pPr>
      <w:r>
        <w:rPr>
          <w:rFonts w:asciiTheme="minorHAnsi" w:hAnsiTheme="minorHAnsi" w:cstheme="minorHAnsi"/>
        </w:rPr>
        <w:t xml:space="preserve">The model describes the player at his last season before the valuation date. For a valuation in 2024-25, that is his age in 2023-24. If that season is unusable for the aging data, it tries the season before. The aging data require at least 20 games in a season, against ten for the trailing total. Twenty games is the curve’s eligibility threshold, with no claim that it is the best possible cutoff.</w:t>
      </w:r>
    </w:p>
    <w:p>
      <w:pPr>
        <w:rPr>
          <w:rFonts w:asciiTheme="minorHAnsi" w:hAnsiTheme="minorHAnsi" w:cstheme="minorHAnsi"/>
        </w:rPr>
      </w:pPr>
      <w:r>
        <w:rPr>
          <w:rFonts w:asciiTheme="minorHAnsi" w:hAnsiTheme="minorHAnsi" w:cstheme="minorHAnsi"/>
        </w:rPr>
        <w:t xml:space="preserve">The description, called a profile, contains eight measures. Five describe playing style: the shares of his WAR that came from even-strength offence, even-strength defence, the power play, the penalty kill, and shooting. The other three are ice time per game, his recent rate (the average of his rates over his last two qualifying seasons, or the last season alone if the one before it is not the previous year), and his trend (the change between those two seasons, or zero with one season). Each measure is put on a common scale within position, so that minutes do not dominate wins because their numbers are larger.</w:t>
      </w:r>
    </w:p>
    <w:p>
      <w:pPr>
        <w:pStyle w:val="Heading2"/>
        <w:rPr>
          <w:rFonts w:asciiTheme="minorHAnsi" w:hAnsiTheme="minorHAnsi" w:cstheme="minorHAnsi"/>
        </w:rPr>
      </w:pPr>
      <w:r>
        <w:rPr>
          <w:rFonts w:asciiTheme="minorHAnsi" w:hAnsiTheme="minorHAnsi" w:cstheme="minorHAnsi"/>
        </w:rPr>
        <w:t xml:space="preserve">Weighting the comparables</w:t>
      </w:r>
    </w:p>
    <w:p>
      <w:pPr>
        <w:rPr>
          <w:rFonts w:asciiTheme="minorHAnsi" w:hAnsiTheme="minorHAnsi" w:cstheme="minorHAnsi"/>
        </w:rPr>
      </w:pPr>
      <w:r>
        <w:rPr>
          <w:rFonts w:asciiTheme="minorHAnsi" w:hAnsiTheme="minorHAnsi" w:cstheme="minorHAnsi"/>
        </w:rPr>
        <w:t xml:space="preserve">The comparables are the historical profiles of players at the same age and position. Each player contributes one profile for each pair of consecutive 20-game seasons in his career, and the player being valued is excluded from his own comparables.</w:t>
      </w:r>
    </w:p>
    <w:p>
      <w:pPr>
        <w:rPr>
          <w:rFonts w:asciiTheme="minorHAnsi" w:hAnsiTheme="minorHAnsi" w:cstheme="minorHAnsi"/>
        </w:rPr>
      </w:pPr>
      <w:r>
        <w:rPr>
          <w:rFonts w:asciiTheme="minorHAnsi" w:hAnsiTheme="minorHAnsi" w:cstheme="minorHAnsi"/>
        </w:rPr>
        <w:t xml:space="preserve">The model measures the distance between the player’s profile and each comparable’s, then turns the distance into a weight:</w:t>
      </w:r>
    </w:p>
    <w:p>
      <w:pPr>
        <w:spacing w:after="200"/>
        <w:ind w:left="720"/>
        <w:rPr>
          <w:rFonts w:asciiTheme="minorHAnsi" w:hAnsiTheme="minorHAnsi" w:cstheme="minorHAnsi"/>
        </w:rPr>
      </w:pPr>
      <w:r>
        <w:rPr>
          <w:rFonts w:asciiTheme="minorHAnsi" w:hAnsiTheme="minorHAnsi" w:cstheme="minorHAnsi"/>
          <w:i/>
        </w:rPr>
        <w:t xml:space="preserve">weight = exp(−distance² / (2 × yardstick²))</w:t>
      </w:r>
    </w:p>
    <w:p>
      <w:pPr>
        <w:rPr>
          <w:rFonts w:asciiTheme="minorHAnsi" w:hAnsiTheme="minorHAnsi" w:cstheme="minorHAnsi"/>
        </w:rPr>
      </w:pPr>
      <w:r>
        <w:rPr>
          <w:rFonts w:asciiTheme="minorHAnsi" w:hAnsiTheme="minorHAnsi" w:cstheme="minorHAnsi"/>
        </w:rPr>
        <w:t xml:space="preserve">The four groups of measures (style, ice time, recent rate, and trend) receive equal weight in the distance. The five style measures share one group’s weight. The yardstick sets how quickly weight falls with distance. It is the median distance between sampled pairs of profiles within each position, pooled across the two positions. An exact match receives a weight of 1, a comparable one yardstick away about 0.61, and one twice as far about 0.14. There is no fixed number of comparables; each eligible profile counts in proportion to its weight. This form, a Gaussian kernel, is standard in nonparametric regression [ref needed: a kernel-weighted nearest-neighbour reference].</w:t>
      </w:r>
    </w:p>
    <w:p>
      <w:pPr>
        <w:pStyle w:val="Heading2"/>
        <w:rPr>
          <w:rFonts w:asciiTheme="minorHAnsi" w:hAnsiTheme="minorHAnsi" w:cstheme="minorHAnsi"/>
        </w:rPr>
      </w:pPr>
      <w:r>
        <w:rPr>
          <w:rFonts w:asciiTheme="minorHAnsi" w:hAnsiTheme="minorHAnsi" w:cstheme="minorHAnsi"/>
        </w:rPr>
        <w:t xml:space="preserve">Stabilizing the estimate with the league average</w:t>
      </w:r>
    </w:p>
    <w:p>
      <w:pPr>
        <w:rPr>
          <w:rFonts w:asciiTheme="minorHAnsi" w:hAnsiTheme="minorHAnsi" w:cstheme="minorHAnsi"/>
        </w:rPr>
      </w:pPr>
      <w:r>
        <w:rPr>
          <w:rFonts w:asciiTheme="minorHAnsi" w:hAnsiTheme="minorHAnsi" w:cstheme="minorHAnsi"/>
        </w:rPr>
        <w:t xml:space="preserve">A small or poorly matched group of comparables could produce an extreme estimate on its own. To guard against that, the model mixes the comparables’ average with the league average for the same position and age. The league average counts as ten units of weight, and the comparables count as the sum of the weights of those who have a value at that age. When the comparables are many and close, their weights sum well above ten and they dominate; when they are few or distant, the league average takes over. For example, if the comparables’ weights sum to 20, they carry two-thirds of the estimate.</w:t>
      </w:r>
    </w:p>
    <w:p>
      <w:pPr>
        <w:pStyle w:val="Heading2"/>
        <w:rPr>
          <w:rFonts w:asciiTheme="minorHAnsi" w:hAnsiTheme="minorHAnsi" w:cstheme="minorHAnsi"/>
        </w:rPr>
      </w:pPr>
      <w:r>
        <w:rPr>
          <w:rFonts w:asciiTheme="minorHAnsi" w:hAnsiTheme="minorHAnsi" w:cstheme="minorHAnsi"/>
        </w:rPr>
        <w:t xml:space="preserve">Measuring change within players, departures included</w:t>
      </w:r>
    </w:p>
    <w:p>
      <w:pPr>
        <w:rPr>
          <w:rFonts w:asciiTheme="minorHAnsi" w:hAnsiTheme="minorHAnsi" w:cstheme="minorHAnsi"/>
        </w:rPr>
      </w:pPr>
      <w:r>
        <w:rPr>
          <w:rFonts w:asciiTheme="minorHAnsi" w:hAnsiTheme="minorHAnsi" w:cstheme="minorHAnsi"/>
        </w:rPr>
        <w:t xml:space="preserve">For each comparable, the model measures the change in his recent rate from one age to the next. If a comparable’s rate fell from 2.2 at age 33 to 2.0 at age 34, his change is minus 0.2. The weighted average of these changes, mixed with the league-average change, is the player’s expected change at that age. The comparables chosen at the last observed age stay fixed as the projection moves to later ages; each later step asks how those same players changed next.</w:t>
      </w:r>
    </w:p>
    <w:p>
      <w:pPr>
        <w:rPr>
          <w:rFonts w:asciiTheme="minorHAnsi" w:hAnsiTheme="minorHAnsi" w:cstheme="minorHAnsi"/>
        </w:rPr>
      </w:pPr>
      <w:r>
        <w:rPr>
          <w:rFonts w:asciiTheme="minorHAnsi" w:hAnsiTheme="minorHAnsi" w:cstheme="minorHAnsi"/>
        </w:rPr>
        <w:t xml:space="preserve">Measuring change within players compares each player with himself a year later. Comparing separate groups of 33-year-olds and 34-year-olds would give a different and misleading answer, because weaker players leave between those ages.</w:t>
      </w:r>
    </w:p>
    <w:p>
      <w:pPr>
        <w:rPr>
          <w:rFonts w:asciiTheme="minorHAnsi" w:hAnsiTheme="minorHAnsi" w:cstheme="minorHAnsi"/>
        </w:rPr>
      </w:pPr>
      <w:r>
        <w:rPr>
          <w:rFonts w:asciiTheme="minorHAnsi" w:hAnsiTheme="minorHAnsi" w:cstheme="minorHAnsi"/>
        </w:rPr>
        <w:t xml:space="preserve">Measuring within players does not solve the problem completely, because a player who leaves the league never records the season in which he would have declined. The aging curve would then describe only the players who kept their jobs. To correct for this, a comparable who played a season and has no NHL record of any kind the next season is entered as if he had played that next season at replacement level, which is zero on the WAR scale. His imputed change is computed the way the curve smooths every other season, by averaging that zero with his last rate. The league-average changes are recomputed with these imputed departures included. Only departures whose next season had finished before the valuation date are imputed. On the 2024 valuation, 1,071 departures enter the curve this way.</w:t>
      </w:r>
    </w:p>
    <w:p>
      <w:pPr>
        <w:rPr>
          <w:rFonts w:asciiTheme="minorHAnsi" w:hAnsiTheme="minorHAnsi" w:cstheme="minorHAnsi"/>
        </w:rPr>
      </w:pPr>
      <w:r>
        <w:rPr>
          <w:rFonts w:asciiTheme="minorHAnsi" w:hAnsiTheme="minorHAnsi" w:cstheme="minorHAnsi"/>
        </w:rPr>
        <w:t xml:space="preserve">Replacement level is an identifying assumption, not a measurement. Some departing players were injured and would have been above replacement, so the imputation is better read as a bound on decline than as a point estimate. In the development tests it made little difference to accuracy: season-WAR RMSE moved from 0.8621 to 0.8619.</w:t>
      </w:r>
    </w:p>
    <w:p>
      <w:pPr>
        <w:pStyle w:val="Heading2"/>
        <w:rPr>
          <w:rFonts w:asciiTheme="minorHAnsi" w:hAnsiTheme="minorHAnsi" w:cstheme="minorHAnsi"/>
        </w:rPr>
      </w:pPr>
      <w:r>
        <w:rPr>
          <w:rFonts w:asciiTheme="minorHAnsi" w:hAnsiTheme="minorHAnsi" w:cstheme="minorHAnsi"/>
        </w:rPr>
        <w:t xml:space="preserve">Adding the changes to the starting rate</w:t>
      </w:r>
    </w:p>
    <w:p>
      <w:pPr>
        <w:rPr>
          <w:rFonts w:asciiTheme="minorHAnsi" w:hAnsiTheme="minorHAnsi" w:cstheme="minorHAnsi"/>
        </w:rPr>
      </w:pPr>
      <w:r>
        <w:rPr>
          <w:rFonts w:asciiTheme="minorHAnsi" w:hAnsiTheme="minorHAnsi" w:cstheme="minorHAnsi"/>
        </w:rPr>
        <w:t xml:space="preserve">The model adds the cumulative change from the valuation age to each later age to the starting rate:</w:t>
      </w:r>
    </w:p>
    <w:p>
      <w:pPr>
        <w:spacing w:after="200"/>
        <w:ind w:left="720"/>
        <w:rPr>
          <w:rFonts w:asciiTheme="minorHAnsi" w:hAnsiTheme="minorHAnsi" w:cstheme="minorHAnsi"/>
        </w:rPr>
      </w:pPr>
      <w:r>
        <w:rPr>
          <w:rFonts w:asciiTheme="minorHAnsi" w:hAnsiTheme="minorHAnsi" w:cstheme="minorHAnsi"/>
          <w:i/>
        </w:rPr>
        <w:t xml:space="preserve">rate(k) = starting rate + sum of expected changes from the valuation age to age + k</w:t>
      </w:r>
    </w:p>
    <w:p>
      <w:pPr>
        <w:rPr>
          <w:rFonts w:asciiTheme="minorHAnsi" w:hAnsiTheme="minorHAnsi" w:cstheme="minorHAnsi"/>
        </w:rPr>
      </w:pPr>
      <w:r>
        <w:rPr>
          <w:rFonts w:asciiTheme="minorHAnsi" w:hAnsiTheme="minorHAnsi" w:cstheme="minorHAnsi"/>
        </w:rPr>
        <w:t xml:space="preserve">For Marchessault the comparables give cumulative changes of -0.37, -0.60, -0.81, and -1.25 WAR per 82 games from age 34 to ages 35 through 38. His forecast rate is therefore 2.37 in 2024-25, then 2.00, 1.76, 1.56, and 1.12.</w:t>
      </w:r>
    </w:p>
    <w:p>
      <w:pPr>
        <w:rPr>
          <w:rFonts w:asciiTheme="minorHAnsi" w:hAnsiTheme="minorHAnsi" w:cstheme="minorHAnsi"/>
        </w:rPr>
      </w:pPr>
      <w:r>
        <w:rPr>
          <w:rFonts w:asciiTheme="minorHAnsi" w:hAnsiTheme="minorHAnsi" w:cstheme="minorHAnsi"/>
        </w:rPr>
        <w:t xml:space="preserve">The changes are added in rate units rather than applied as percentages. A percentage change misbehaves when the starting level is small or negative: a 10% decline applied to minus 0.5 WAR raises the forecast toward zero. Adding the change treats a below-replacement player the same way as any other, and no floor or special rule is needed for negative starting rates. The switch from multiplying to adding was scored only as part of the package that introduced the fitted start; its effect alone has not been measured.</w:t>
      </w:r>
    </w:p>
    <w:p>
      <w:pPr>
        <w:rPr>
          <w:rFonts w:asciiTheme="minorHAnsi" w:hAnsiTheme="minorHAnsi" w:cstheme="minorHAnsi"/>
        </w:rPr>
      </w:pPr>
      <w:r>
        <w:rPr>
          <w:rFonts w:asciiTheme="minorHAnsi" w:hAnsiTheme="minorHAnsi" w:cstheme="minorHAnsi"/>
        </w:rPr>
        <w:t xml:space="preserve">The aging curve module also computes a starting level of its own, which blends the player’s recent rate (55%) with the comparables’ level (45%). This model does not use that level. It reads only the curve’s changes, from which the 55/45 starting level cancels, so the 55/45 weight has no effect on any value the model produces.</w:t>
      </w:r>
    </w:p>
    <w:p>
      <w:pPr>
        <w:pStyle w:val="Heading2"/>
        <w:rPr>
          <w:rFonts w:asciiTheme="minorHAnsi" w:hAnsiTheme="minorHAnsi" w:cstheme="minorHAnsi"/>
        </w:rPr>
      </w:pPr>
      <w:r>
        <w:rPr>
          <w:rFonts w:asciiTheme="minorHAnsi" w:hAnsiTheme="minorHAnsi" w:cstheme="minorHAnsi"/>
        </w:rPr>
        <w:t xml:space="preserve">Where the curve has no answer</w:t>
      </w:r>
    </w:p>
    <w:p>
      <w:pPr>
        <w:rPr>
          <w:rFonts w:asciiTheme="minorHAnsi" w:hAnsiTheme="minorHAnsi" w:cstheme="minorHAnsi"/>
        </w:rPr>
      </w:pPr>
      <w:r>
        <w:rPr>
          <w:rFonts w:asciiTheme="minorHAnsi" w:hAnsiTheme="minorHAnsi" w:cstheme="minorHAnsi"/>
        </w:rPr>
        <w:t xml:space="preserve">Where the player has no usable profile, the model uses the league-average changes for his position and age. Past the oldest age the curve covers, the rate is held at its last value. A player without a birthdate is carried at his starting rate with no aging; at 99.9% coverage this is rare.</w:t>
      </w:r>
    </w:p>
    <w:p>
      <w:pPr>
        <w:pStyle w:val="Heading2"/>
        <w:rPr>
          <w:rFonts w:asciiTheme="minorHAnsi" w:hAnsiTheme="minorHAnsi" w:cstheme="minorHAnsi"/>
        </w:rPr>
      </w:pPr>
      <w:r>
        <w:rPr>
          <w:rFonts w:asciiTheme="minorHAnsi" w:hAnsiTheme="minorHAnsi" w:cstheme="minorHAnsi"/>
        </w:rPr>
        <w:t xml:space="preserve">How well the comparables age players</w:t>
      </w:r>
    </w:p>
    <w:p>
      <w:pPr>
        <w:rPr>
          <w:rFonts w:asciiTheme="minorHAnsi" w:hAnsiTheme="minorHAnsi" w:cstheme="minorHAnsi"/>
        </w:rPr>
      </w:pPr>
      <w:r>
        <w:rPr>
          <w:rFonts w:asciiTheme="minorHAnsi" w:hAnsiTheme="minorHAnsi" w:cstheme="minorHAnsi"/>
        </w:rPr>
        <w:t xml:space="preserve">The comparable-player curve was compared with two alternatives inside the same forecast, with every other part held fixed (development valuations 2015-2021, seasons one to five ahead). The rate error in seasons played was 1.0604 WAR per 82 with the comparables, 1.0499 with one fitted aging equation (a regression on age, position, and level), and 1.0840 with no aging at all. The fitted equation was more accurate for the typical player. The comparables were more accurate for the best players: five seasons out, players with three or more wins were under-forecast by 0.43 with the comparables and by 0.93 with the equation. In contract dollars the comparables were slightly better: their squared error was lower in 1,316 to 1,407 of 2,000 player resamples, across four pricing tables. These dollar figures were recorded before the age table’s older birthdates were restored. Stars carry the largest contracts, and the model keeps the comparables for that reason.</w:t>
      </w:r>
    </w:p>
    <w:p>
      <w:pPr>
        <w:rPr>
          <w:rFonts w:asciiTheme="minorHAnsi" w:hAnsiTheme="minorHAnsi" w:cstheme="minorHAnsi"/>
        </w:rPr>
      </w:pPr>
      <w:r>
        <w:rPr>
          <w:rFonts w:asciiTheme="minorHAnsi" w:hAnsiTheme="minorHAnsi" w:cstheme="minorHAnsi"/>
        </w:rPr>
        <w:t xml:space="preserve">The curve’s hand-set choices were tested on held-out careers, inside the earlier version of the model. None of nineteen single changes moved average error by more than 1%. Any league weight from near zero to 20 gave the same error to within 0.06%. Weighting all same-age players equally was worse in each of four comparisons (by 0.47% to 0.94%), and halving the yardstick was slightly better in each (by 0.19% to 0.60%). Across 65 proportions of the four group weights, equal weights ranked 28th to 32nd, and no proportion moved error by more than 0.4%. The settings were not changed.</w:t>
      </w:r>
    </w:p>
    <w:p>
      <w:pPr>
        <w:pStyle w:val="Heading1"/>
        <w:rPr>
          <w:rFonts w:asciiTheme="minorHAnsi" w:hAnsiTheme="minorHAnsi" w:cstheme="minorHAnsi"/>
        </w:rPr>
      </w:pPr>
      <w:r>
        <w:rPr>
          <w:rFonts w:asciiTheme="minorHAnsi" w:hAnsiTheme="minorHAnsi" w:cstheme="minorHAnsi"/>
        </w:rPr>
        <w:t xml:space="preserve">5. Games Share</w:t>
      </w:r>
    </w:p>
    <w:p>
      <w:pPr>
        <w:rPr>
          <w:rFonts w:asciiTheme="minorHAnsi" w:hAnsiTheme="minorHAnsi" w:cstheme="minorHAnsi"/>
        </w:rPr>
      </w:pPr>
      <w:r>
        <w:rPr>
          <w:rFonts w:asciiTheme="minorHAnsi" w:hAnsiTheme="minorHAnsi" w:cstheme="minorHAnsi"/>
        </w:rPr>
        <w:t xml:space="preserve">A player’s season total depends on how many games he plays as well as how well he plays in them. An earlier version of the model assumed a full season for each player. The model now forecasts the games share separately for each season ahead, with a regression refitted on each valuation date:</w:t>
      </w:r>
    </w:p>
    <w:p>
      <w:pPr>
        <w:spacing w:after="200"/>
        <w:ind w:left="720"/>
        <w:rPr>
          <w:rFonts w:asciiTheme="minorHAnsi" w:hAnsiTheme="minorHAnsi" w:cstheme="minorHAnsi"/>
        </w:rPr>
      </w:pPr>
      <w:r>
        <w:rPr>
          <w:rFonts w:asciiTheme="minorHAnsi" w:hAnsiTheme="minorHAnsi" w:cstheme="minorHAnsi"/>
          <w:i/>
        </w:rPr>
        <w:t xml:space="preserve">games share = c + d1 × trailing games share + d2 × defence + d3 × experience + d4 × (age − 27) + d5 × trailing total + d6 × max(trailing total − 1, 0)</w:t>
      </w:r>
    </w:p>
    <w:p>
      <w:pPr>
        <w:rPr>
          <w:rFonts w:asciiTheme="minorHAnsi" w:hAnsiTheme="minorHAnsi" w:cstheme="minorHAnsi"/>
        </w:rPr>
      </w:pPr>
      <w:r>
        <w:rPr>
          <w:rFonts w:asciiTheme="minorHAnsi" w:hAnsiTheme="minorHAnsi" w:cstheme="minorHAnsi"/>
        </w:rPr>
        <w:t xml:space="preserve">The trailing games share uses the same three-season weights as the trailing total. The level terms let a good player and a depth player with the same recent share receive different forecasts, because a club keeps playing its better players. The fit uses only seasons in which the player appeared, since the share is conditional on playing, and the forecast is held between 0.05 and 1.</w:t>
      </w:r>
    </w:p>
    <w:p>
      <w:pPr>
        <w:rPr>
          <w:rFonts w:asciiTheme="minorHAnsi" w:hAnsiTheme="minorHAnsi" w:cstheme="minorHAnsi"/>
        </w:rPr>
      </w:pPr>
      <w:r>
        <w:rPr>
          <w:rFonts w:asciiTheme="minorHAnsi" w:hAnsiTheme="minorHAnsi" w:cstheme="minorHAnsi"/>
        </w:rPr>
        <w:t xml:space="preserve">For the 2024 valuation, the valuation-season regression is below (11,112 player-seasons; standard errors clustered by player).</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80" w:type="dxa"/>
          <w:right w:w="80" w:type="dxa"/>
        </w:tblCellMar>
      </w:tblPr>
      <w:tblGrid>
        <w:gridCol w:w="4305"/>
        <w:gridCol w:w="2527"/>
        <w:gridCol w:w="2528"/>
      </w:tblGrid>
      <w:tr>
        <w:trPr>
          <w:tblHeader/>
          <w:cantSplit/>
        </w:trPr>
        <w:tc>
          <w:tcPr>
            <w:tcW w:w="4305" w:type="dxa"/>
            <w:shd w:val="clear" w:color="auto" w:fill="E7E6E6"/>
          </w:tcPr>
          <w:p>
            <w:pPr>
              <w:spacing w:before="20" w:after="20" w:line="240" w:lineRule="auto"/>
              <w:jc w:val="left"/>
              <w:rPr>
                <w:rFonts w:asciiTheme="minorHAnsi" w:hAnsiTheme="minorHAnsi" w:cstheme="minorHAnsi"/>
              </w:rPr>
            </w:pPr>
            <w:r>
              <w:rPr>
                <w:rFonts w:asciiTheme="minorHAnsi" w:hAnsiTheme="minorHAnsi" w:cstheme="minorHAnsi"/>
                <w:b/>
                <w:sz w:val="19"/>
                <w:szCs w:val="19"/>
              </w:rPr>
              <w:t xml:space="preserve">Term</w:t>
            </w:r>
          </w:p>
        </w:tc>
        <w:tc>
          <w:tcPr>
            <w:tcW w:w="2527"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Coefficient</w:t>
            </w:r>
          </w:p>
        </w:tc>
        <w:tc>
          <w:tcPr>
            <w:tcW w:w="2528"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Std. error</w:t>
            </w:r>
          </w:p>
        </w:tc>
      </w:tr>
      <w:tr>
        <w:trPr>
          <w:cantSplit/>
        </w:trPr>
        <w:tc>
          <w:tcPr>
            <w:tcW w:w="4305"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Constant</w:t>
            </w:r>
          </w:p>
        </w:tc>
        <w:tc>
          <w:tcPr>
            <w:tcW w:w="2527"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0.215</w:t>
            </w:r>
          </w:p>
        </w:tc>
        <w:tc>
          <w:tcPr>
            <w:tcW w:w="2528"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0.011</w:t>
            </w:r>
          </w:p>
        </w:tc>
      </w:tr>
      <w:tr>
        <w:trPr>
          <w:cantSplit/>
        </w:trPr>
        <w:tc>
          <w:tcPr>
            <w:tcW w:w="4305"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Trailing games share</w:t>
            </w:r>
          </w:p>
        </w:tc>
        <w:tc>
          <w:tcPr>
            <w:tcW w:w="2527"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0.599</w:t>
            </w:r>
          </w:p>
        </w:tc>
        <w:tc>
          <w:tcPr>
            <w:tcW w:w="2528"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0.014</w:t>
            </w:r>
          </w:p>
        </w:tc>
      </w:tr>
      <w:tr>
        <w:trPr>
          <w:cantSplit/>
        </w:trPr>
        <w:tc>
          <w:tcPr>
            <w:tcW w:w="4305"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Defence</w:t>
            </w:r>
          </w:p>
        </w:tc>
        <w:tc>
          <w:tcPr>
            <w:tcW w:w="2527"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0.007</w:t>
            </w:r>
          </w:p>
        </w:tc>
        <w:tc>
          <w:tcPr>
            <w:tcW w:w="2528"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0.006</w:t>
            </w:r>
          </w:p>
        </w:tc>
      </w:tr>
      <w:tr>
        <w:trPr>
          <w:cantSplit/>
        </w:trPr>
        <w:tc>
          <w:tcPr>
            <w:tcW w:w="4305"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Experience (seasons)</w:t>
            </w:r>
          </w:p>
        </w:tc>
        <w:tc>
          <w:tcPr>
            <w:tcW w:w="2527"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0.0036</w:t>
            </w:r>
          </w:p>
        </w:tc>
        <w:tc>
          <w:tcPr>
            <w:tcW w:w="2528"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0.0010</w:t>
            </w:r>
          </w:p>
        </w:tc>
      </w:tr>
      <w:tr>
        <w:trPr>
          <w:cantSplit/>
        </w:trPr>
        <w:tc>
          <w:tcPr>
            <w:tcW w:w="4305"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Age − 27</w:t>
            </w:r>
          </w:p>
        </w:tc>
        <w:tc>
          <w:tcPr>
            <w:tcW w:w="2527"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-0.0079</w:t>
            </w:r>
          </w:p>
        </w:tc>
        <w:tc>
          <w:tcPr>
            <w:tcW w:w="2528"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0.0007</w:t>
            </w:r>
          </w:p>
        </w:tc>
      </w:tr>
      <w:tr>
        <w:trPr>
          <w:cantSplit/>
        </w:trPr>
        <w:tc>
          <w:tcPr>
            <w:tcW w:w="4305"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Trailing total</w:t>
            </w:r>
          </w:p>
        </w:tc>
        <w:tc>
          <w:tcPr>
            <w:tcW w:w="2527"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0.091</w:t>
            </w:r>
          </w:p>
        </w:tc>
        <w:tc>
          <w:tcPr>
            <w:tcW w:w="2528"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0.006</w:t>
            </w:r>
          </w:p>
        </w:tc>
      </w:tr>
      <w:tr>
        <w:trPr>
          <w:cantSplit/>
        </w:trPr>
        <w:tc>
          <w:tcPr>
            <w:tcW w:w="4305"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Trailing total above one win</w:t>
            </w:r>
          </w:p>
        </w:tc>
        <w:tc>
          <w:tcPr>
            <w:tcW w:w="2527"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-0.084</w:t>
            </w:r>
          </w:p>
        </w:tc>
        <w:tc>
          <w:tcPr>
            <w:tcW w:w="2528"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0.008</w:t>
            </w:r>
          </w:p>
        </w:tc>
      </w:tr>
    </w:tbl>
    <w:p>
      <w:pPr>
        <w:spacing w:after="80"/>
      </w:pPr>
    </w:p>
    <w:p>
      <w:pPr>
        <w:rPr>
          <w:rFonts w:asciiTheme="minorHAnsi" w:hAnsiTheme="minorHAnsi" w:cstheme="minorHAnsi"/>
        </w:rPr>
      </w:pPr>
      <w:r>
        <w:rPr>
          <w:rFonts w:asciiTheme="minorHAnsi" w:hAnsiTheme="minorHAnsi" w:cstheme="minorHAnsi"/>
        </w:rPr>
        <w:t xml:space="preserve">Level matters up to about one win and very little above it: the two level coefficients nearly cancel past one win. The weight on the trailing share falls with the horizon, from 0.60 in the valuation season to 0.26 five seasons out, as recent availability says less about the more distant future. Marchessault’s forecast share is 0.88 in 2024-25, about 72 games.</w:t>
      </w:r>
    </w:p>
    <w:p>
      <w:pPr>
        <w:rPr>
          <w:rFonts w:asciiTheme="minorHAnsi" w:hAnsiTheme="minorHAnsi" w:cstheme="minorHAnsi"/>
        </w:rPr>
      </w:pPr>
      <w:r>
        <w:rPr>
          <w:rFonts w:asciiTheme="minorHAnsi" w:hAnsiTheme="minorHAnsi" w:cstheme="minorHAnsi"/>
        </w:rPr>
        <w:t xml:space="preserve">Adding the level terms to the games share lowered season-WAR RMSE in the development tests from 0.8640 to 0.8596 (in a version of the model with the fitted aging equation).</w:t>
      </w:r>
    </w:p>
    <w:p>
      <w:pPr>
        <w:pStyle w:val="Heading1"/>
        <w:rPr>
          <w:rFonts w:asciiTheme="minorHAnsi" w:hAnsiTheme="minorHAnsi" w:cstheme="minorHAnsi"/>
        </w:rPr>
      </w:pPr>
      <w:r>
        <w:rPr>
          <w:rFonts w:asciiTheme="minorHAnsi" w:hAnsiTheme="minorHAnsi" w:cstheme="minorHAnsi"/>
        </w:rPr>
        <w:t xml:space="preserve">6. The Chance of Playing</w:t>
      </w:r>
    </w:p>
    <w:p>
      <w:pPr>
        <w:rPr>
          <w:rFonts w:asciiTheme="minorHAnsi" w:hAnsiTheme="minorHAnsi" w:cstheme="minorHAnsi"/>
        </w:rPr>
      </w:pPr>
      <w:r>
        <w:rPr>
          <w:rFonts w:asciiTheme="minorHAnsi" w:hAnsiTheme="minorHAnsi" w:cstheme="minorHAnsi"/>
        </w:rPr>
        <w:t xml:space="preserve">There is always a risk that a player does not play a season his contract covers: he may retire, be injured for the full season, be loaned to another league, or be unable to keep an NHL job. The chance of playing is the probability that he appears in at least one NHL game in a given season. The rate and the games share are forecast for the same event, a season in which he plays. The product in Section 2 is therefore an expectation of one quantity.</w:t>
      </w:r>
    </w:p>
    <w:p>
      <w:pPr>
        <w:pStyle w:val="Heading2"/>
        <w:rPr>
          <w:rFonts w:asciiTheme="minorHAnsi" w:hAnsiTheme="minorHAnsi" w:cstheme="minorHAnsi"/>
        </w:rPr>
      </w:pPr>
      <w:r>
        <w:rPr>
          <w:rFonts w:asciiTheme="minorHAnsi" w:hAnsiTheme="minorHAnsi" w:cstheme="minorHAnsi"/>
        </w:rPr>
        <w:t xml:space="preserve">The model</w:t>
      </w:r>
    </w:p>
    <w:p>
      <w:pPr>
        <w:rPr>
          <w:rFonts w:asciiTheme="minorHAnsi" w:hAnsiTheme="minorHAnsi" w:cstheme="minorHAnsi"/>
        </w:rPr>
      </w:pPr>
      <w:r>
        <w:rPr>
          <w:rFonts w:asciiTheme="minorHAnsi" w:hAnsiTheme="minorHAnsi" w:cstheme="minorHAnsi"/>
        </w:rPr>
        <w:t xml:space="preserve">For each season ahead, the model fits a separate logistic regression, refitted on each valuation date. A logistic regression turns a weighted sum of inputs into a probability between zero and one. The inputs are the player’s age in the target season and its square, his trailing total, his trailing games share, his experience, his position, and whether he is under contract for the target season.</w:t>
      </w:r>
    </w:p>
    <w:p>
      <w:pPr>
        <w:rPr>
          <w:rFonts w:asciiTheme="minorHAnsi" w:hAnsiTheme="minorHAnsi" w:cstheme="minorHAnsi"/>
        </w:rPr>
      </w:pPr>
      <w:r>
        <w:rPr>
          <w:rFonts w:asciiTheme="minorHAnsi" w:hAnsiTheme="minorHAnsi" w:cstheme="minorHAnsi"/>
        </w:rPr>
        <w:t xml:space="preserve">Contract status counts only deals signed on or before the valuation date. The contract export cannot show complete contract status for seasons before 2018-19, so in those seasons each player is recorded as not under contract. A separate indicator for those seasons was considered and left out. Where a column has too little support at a horizon (fewer than 50 rows on either side of a yes-or-no input), it is dropped from that horizon’s fit. The fit carries a very small penalty that keeps coefficients finite where contract status nearly determines the outcome, and each probability is held between 0.005 and 0.995.</w:t>
      </w:r>
    </w:p>
    <w:p>
      <w:pPr>
        <w:rPr>
          <w:rFonts w:asciiTheme="minorHAnsi" w:hAnsiTheme="minorHAnsi" w:cstheme="minorHAnsi"/>
        </w:rPr>
      </w:pPr>
      <w:r>
        <w:rPr>
          <w:rFonts w:asciiTheme="minorHAnsi" w:hAnsiTheme="minorHAnsi" w:cstheme="minorHAnsi"/>
        </w:rPr>
        <w:t xml:space="preserve">Each season receives its own probability from the information at the valuation date. The probabilities are not chained. A player can therefore be forecast as likely to miss a season and likely to return in the next, which matches how careers behave.</w:t>
      </w:r>
    </w:p>
    <w:p>
      <w:pPr>
        <w:rPr>
          <w:rFonts w:asciiTheme="minorHAnsi" w:hAnsiTheme="minorHAnsi" w:cstheme="minorHAnsi"/>
        </w:rPr>
      </w:pPr>
      <w:r>
        <w:rPr>
          <w:rFonts w:asciiTheme="minorHAnsi" w:hAnsiTheme="minorHAnsi" w:cstheme="minorHAnsi"/>
        </w:rPr>
        <w:t xml:space="preserve">The fits for the 2024 valuation are below for the valuation season and three seasons out. Standard errors are clustered by player.</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80" w:type="dxa"/>
          <w:right w:w="80" w:type="dxa"/>
        </w:tblCellMar>
      </w:tblPr>
      <w:tblGrid>
        <w:gridCol w:w="3182"/>
        <w:gridCol w:w="1544"/>
        <w:gridCol w:w="1544"/>
        <w:gridCol w:w="1544"/>
        <w:gridCol w:w="1546"/>
      </w:tblGrid>
      <w:tr>
        <w:trPr>
          <w:tblHeader/>
          <w:cantSplit/>
        </w:trPr>
        <w:tc>
          <w:tcPr>
            <w:tcW w:w="3182" w:type="dxa"/>
            <w:shd w:val="clear" w:color="auto" w:fill="E7E6E6"/>
          </w:tcPr>
          <w:p>
            <w:pPr>
              <w:spacing w:before="20" w:after="20" w:line="240" w:lineRule="auto"/>
              <w:jc w:val="left"/>
              <w:rPr>
                <w:rFonts w:asciiTheme="minorHAnsi" w:hAnsiTheme="minorHAnsi" w:cstheme="minorHAnsi"/>
              </w:rPr>
            </w:pPr>
            <w:r>
              <w:rPr>
                <w:rFonts w:asciiTheme="minorHAnsi" w:hAnsiTheme="minorHAnsi" w:cstheme="minorHAnsi"/>
                <w:b/>
                <w:sz w:val="19"/>
                <w:szCs w:val="19"/>
              </w:rPr>
              <w:t xml:space="preserve">Input</w:t>
            </w:r>
          </w:p>
        </w:tc>
        <w:tc>
          <w:tcPr>
            <w:tcW w:w="1544"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Valuation season</w:t>
            </w:r>
          </w:p>
        </w:tc>
        <w:tc>
          <w:tcPr>
            <w:tcW w:w="1544"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Std. error</w:t>
            </w:r>
          </w:p>
        </w:tc>
        <w:tc>
          <w:tcPr>
            <w:tcW w:w="1544"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Three seasons out</w:t>
            </w:r>
          </w:p>
        </w:tc>
        <w:tc>
          <w:tcPr>
            <w:tcW w:w="1546"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Std. error</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Constant</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-1.655</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0.091</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-1.576</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0.104</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Age − 27 (target season)</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-0.281</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0.013</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-0.375</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0.023</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(Age − 27)²</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0.0016</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0.0013</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0.0015</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0.0018</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Trailing total</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0.881</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0.057</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0.902</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0.059</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Trailing games share</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4.522</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0.161</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3.872</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0.180</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Experience (seasons)</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-0.013</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0.011</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-0.019</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0.017</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Defence</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0.356</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0.066</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0.510</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0.087</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Under contract</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1.240</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0.086</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1.132</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0.183</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Player-seasons (players)</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15,408 (2,338)</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12,407 (2,036)</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Share who played</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0.721</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0.481</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r>
    </w:tbl>
    <w:p>
      <w:pPr>
        <w:spacing w:after="80"/>
      </w:pPr>
    </w:p>
    <w:p>
      <w:pPr>
        <w:rPr>
          <w:rFonts w:asciiTheme="minorHAnsi" w:hAnsiTheme="minorHAnsi" w:cstheme="minorHAnsi"/>
        </w:rPr>
      </w:pPr>
      <w:r>
        <w:rPr>
          <w:rFonts w:asciiTheme="minorHAnsi" w:hAnsiTheme="minorHAnsi" w:cstheme="minorHAnsi"/>
        </w:rPr>
        <w:t xml:space="preserve">Recent availability and level carry most of the signal. Near age 27, each year of age lowers the odds of playing by about a quarter in the valuation season. Being under contract raises the odds by a factor of about 3.5.</w:t>
      </w:r>
    </w:p>
    <w:p>
      <w:pPr>
        <w:rPr>
          <w:rFonts w:asciiTheme="minorHAnsi" w:hAnsiTheme="minorHAnsi" w:cstheme="minorHAnsi"/>
        </w:rPr>
      </w:pPr>
      <w:r>
        <w:rPr>
          <w:rFonts w:asciiTheme="minorHAnsi" w:hAnsiTheme="minorHAnsi" w:cstheme="minorHAnsi"/>
        </w:rPr>
        <w:t xml:space="preserve">For Marchessault, under contract through 2028-29, the chance of playing is 0.99 in 2024-25, then 0.98, 0.94, 0.88, and 0.78 as he ages through 38.</w:t>
      </w:r>
    </w:p>
    <w:p>
      <w:pPr>
        <w:pStyle w:val="Heading2"/>
        <w:rPr>
          <w:rFonts w:asciiTheme="minorHAnsi" w:hAnsiTheme="minorHAnsi" w:cstheme="minorHAnsi"/>
        </w:rPr>
      </w:pPr>
      <w:r>
        <w:rPr>
          <w:rFonts w:asciiTheme="minorHAnsi" w:hAnsiTheme="minorHAnsi" w:cstheme="minorHAnsi"/>
        </w:rPr>
        <w:t xml:space="preserve">Evidence and limits</w:t>
      </w:r>
    </w:p>
    <w:p>
      <w:pPr>
        <w:rPr>
          <w:rFonts w:asciiTheme="minorHAnsi" w:hAnsiTheme="minorHAnsi" w:cstheme="minorHAnsi"/>
        </w:rPr>
      </w:pPr>
      <w:r>
        <w:rPr>
          <w:rFonts w:asciiTheme="minorHAnsi" w:hAnsiTheme="minorHAnsi" w:cstheme="minorHAnsi"/>
        </w:rPr>
        <w:t xml:space="preserve">The chance of playing replaced a table of exit rates by quality and age that was chained into a survival probability and that treated the valuation season as certain. In the development tests, with a version of the model that did not yet read contract status, the Brier score (the mean squared error of a probability forecast) fell from 0.1918 to 0.1359. That version also matched observed participation closely at each horizon: 0.795 predicted against 0.788 observed in the valuation season, and 0.391 against 0.429 five seasons out.</w:t>
      </w:r>
    </w:p>
    <w:p>
      <w:pPr>
        <w:rPr>
          <w:rFonts w:asciiTheme="minorHAnsi" w:hAnsiTheme="minorHAnsi" w:cstheme="minorHAnsi"/>
        </w:rPr>
      </w:pPr>
      <w:r>
        <w:rPr>
          <w:rFonts w:asciiTheme="minorHAnsi" w:hAnsiTheme="minorHAnsi" w:cstheme="minorHAnsi"/>
        </w:rPr>
        <w:t xml:space="preserve">Contract status was tested by itself. With the other parts of the forecast unchanged, adding it lowered season-WAR squared error in 1,985 of 2,000 resamples of players, and the Brier score was never higher.</w:t>
      </w:r>
    </w:p>
    <w:p>
      <w:pPr>
        <w:rPr>
          <w:rFonts w:asciiTheme="minorHAnsi" w:hAnsiTheme="minorHAnsi" w:cstheme="minorHAnsi"/>
        </w:rPr>
      </w:pPr>
      <w:r>
        <w:rPr>
          <w:rFonts w:asciiTheme="minorHAnsi" w:hAnsiTheme="minorHAnsi" w:cstheme="minorHAnsi"/>
        </w:rPr>
        <w:t xml:space="preserve">One miss remains. Good players stay in the league longer than the training seasons suggest. Three to five seasons out, players with three or more wins aged 29 to 31 are given a 0.85 chance of playing, and 0.98 of them played. Contract status known at the valuation date covers seasons already signed, so it cannot say whether a star will re-sign three years later. Neither additional age terms nor a level hinge moved this miss.</w:t>
      </w:r>
    </w:p>
    <w:p>
      <w:pPr>
        <w:pStyle w:val="Heading1"/>
        <w:rPr>
          <w:rFonts w:asciiTheme="minorHAnsi" w:hAnsiTheme="minorHAnsi" w:cstheme="minorHAnsi"/>
        </w:rPr>
      </w:pPr>
      <w:r>
        <w:rPr>
          <w:rFonts w:asciiTheme="minorHAnsi" w:hAnsiTheme="minorHAnsi" w:cstheme="minorHAnsi"/>
        </w:rPr>
        <w:t xml:space="preserve">7. Seasons Past the Fitted Range</w:t>
      </w:r>
    </w:p>
    <w:p>
      <w:pPr>
        <w:rPr>
          <w:rFonts w:asciiTheme="minorHAnsi" w:hAnsiTheme="minorHAnsi" w:cstheme="minorHAnsi"/>
        </w:rPr>
      </w:pPr>
      <w:r>
        <w:rPr>
          <w:rFonts w:asciiTheme="minorHAnsi" w:hAnsiTheme="minorHAnsi" w:cstheme="minorHAnsi"/>
        </w:rPr>
        <w:t xml:space="preserve">Each forecast horizon needs enough history to be fitted: at least 200 player-seasons whose outcome had finished before the valuation date. The 2015 valuation can fit six seasons ahead, the 2018 valuation eight, and the 2024 and 2025 valuations twelve. A season beyond the fitted range continues the league-wide decline measured between the last two fitted horizons. The chance of playing continues its own measured decline, the rate absorbs the rest, and the games share is held. This extension overstates production by 3% to 20% one to three seasons beyond the fitted range. For contracts valued from 2018 onward it reaches only the end of the longest deals and their control years.</w:t>
      </w:r>
    </w:p>
    <w:p>
      <w:pPr>
        <w:pStyle w:val="Heading1"/>
        <w:rPr>
          <w:rFonts w:asciiTheme="minorHAnsi" w:hAnsiTheme="minorHAnsi" w:cstheme="minorHAnsi"/>
        </w:rPr>
      </w:pPr>
      <w:r>
        <w:rPr>
          <w:rFonts w:asciiTheme="minorHAnsi" w:hAnsiTheme="minorHAnsi" w:cstheme="minorHAnsi"/>
        </w:rPr>
        <w:t xml:space="preserve">8. A Worked Forecast</w:t>
      </w:r>
    </w:p>
    <w:p>
      <w:pPr>
        <w:rPr>
          <w:rFonts w:asciiTheme="minorHAnsi" w:hAnsiTheme="minorHAnsi" w:cstheme="minorHAnsi"/>
        </w:rPr>
      </w:pPr>
      <w:r>
        <w:rPr>
          <w:rFonts w:asciiTheme="minorHAnsi" w:hAnsiTheme="minorHAnsi" w:cstheme="minorHAnsi"/>
        </w:rPr>
        <w:t xml:space="preserve">Marchessault signed a five-year contract with Nashville on July 1, 2024, at age 33. The 2024 valuation reads his seasons through 2023-24 and fits each part of the model on seasons through 2023-24. The table walks each season through the three parts. Ages are on February 1 of the season’s ending year.</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80" w:type="dxa"/>
          <w:right w:w="80" w:type="dxa"/>
        </w:tblCellMar>
      </w:tblPr>
      <w:tblGrid>
        <w:gridCol w:w="1123"/>
        <w:gridCol w:w="1176"/>
        <w:gridCol w:w="1176"/>
        <w:gridCol w:w="1176"/>
        <w:gridCol w:w="1176"/>
        <w:gridCol w:w="1176"/>
        <w:gridCol w:w="1176"/>
        <w:gridCol w:w="1181"/>
      </w:tblGrid>
      <w:tr>
        <w:trPr>
          <w:tblHeader/>
          <w:cantSplit/>
        </w:trPr>
        <w:tc>
          <w:tcPr>
            <w:tcW w:w="1123" w:type="dxa"/>
            <w:shd w:val="clear" w:color="auto" w:fill="E7E6E6"/>
          </w:tcPr>
          <w:p>
            <w:pPr>
              <w:spacing w:before="20" w:after="20" w:line="240" w:lineRule="auto"/>
              <w:jc w:val="left"/>
              <w:rPr>
                <w:rFonts w:asciiTheme="minorHAnsi" w:hAnsiTheme="minorHAnsi" w:cstheme="minorHAnsi"/>
              </w:rPr>
            </w:pPr>
            <w:r>
              <w:rPr>
                <w:rFonts w:asciiTheme="minorHAnsi" w:hAnsiTheme="minorHAnsi" w:cstheme="minorHAnsi"/>
                <w:b/>
                <w:sz w:val="19"/>
                <w:szCs w:val="19"/>
              </w:rPr>
              <w:t xml:space="preserve">Season</w:t>
            </w:r>
          </w:p>
        </w:tc>
        <w:tc>
          <w:tcPr>
            <w:tcW w:w="1176"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Age</w:t>
            </w:r>
          </w:p>
        </w:tc>
        <w:tc>
          <w:tcPr>
            <w:tcW w:w="1176"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Change from age 34</w:t>
            </w:r>
          </w:p>
        </w:tc>
        <w:tc>
          <w:tcPr>
            <w:tcW w:w="1176"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Rate per 82</w:t>
            </w:r>
          </w:p>
        </w:tc>
        <w:tc>
          <w:tcPr>
            <w:tcW w:w="1176"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Games share</w:t>
            </w:r>
          </w:p>
        </w:tc>
        <w:tc>
          <w:tcPr>
            <w:tcW w:w="1176"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WAR if he plays</w:t>
            </w:r>
          </w:p>
        </w:tc>
        <w:tc>
          <w:tcPr>
            <w:tcW w:w="1176"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Chance of playing</w:t>
            </w:r>
          </w:p>
        </w:tc>
        <w:tc>
          <w:tcPr>
            <w:tcW w:w="1181"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Expected WAR</w:t>
            </w:r>
          </w:p>
        </w:tc>
      </w:tr>
      <w:tr>
        <w:trPr>
          <w:cantSplit/>
        </w:trPr>
        <w:tc>
          <w:tcPr>
            <w:tcW w:w="1123"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2024-25</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34</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0.00</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2.37</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0.88</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2.08</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0.99</w:t>
            </w:r>
          </w:p>
        </w:tc>
        <w:tc>
          <w:tcPr>
            <w:tcW w:w="1181"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2.05</w:t>
            </w:r>
          </w:p>
        </w:tc>
      </w:tr>
      <w:tr>
        <w:trPr>
          <w:cantSplit/>
        </w:trPr>
        <w:tc>
          <w:tcPr>
            <w:tcW w:w="1123"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2025-26</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35</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-0.37</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2.00</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0.85</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1.70</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0.98</w:t>
            </w:r>
          </w:p>
        </w:tc>
        <w:tc>
          <w:tcPr>
            <w:tcW w:w="1181"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1.66</w:t>
            </w:r>
          </w:p>
        </w:tc>
      </w:tr>
      <w:tr>
        <w:trPr>
          <w:cantSplit/>
        </w:trPr>
        <w:tc>
          <w:tcPr>
            <w:tcW w:w="1123"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2026-27</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36</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-0.60</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1.76</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0.84</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1.48</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0.94</w:t>
            </w:r>
          </w:p>
        </w:tc>
        <w:tc>
          <w:tcPr>
            <w:tcW w:w="1181"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1.40</w:t>
            </w:r>
          </w:p>
        </w:tc>
      </w:tr>
      <w:tr>
        <w:trPr>
          <w:cantSplit/>
        </w:trPr>
        <w:tc>
          <w:tcPr>
            <w:tcW w:w="1123"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2027-28</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37</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-0.81</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1.56</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0.84</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1.31</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0.88</w:t>
            </w:r>
          </w:p>
        </w:tc>
        <w:tc>
          <w:tcPr>
            <w:tcW w:w="1181"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1.15</w:t>
            </w:r>
          </w:p>
        </w:tc>
      </w:tr>
      <w:tr>
        <w:trPr>
          <w:cantSplit/>
        </w:trPr>
        <w:tc>
          <w:tcPr>
            <w:tcW w:w="1123"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2028-29</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38</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-1.25</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1.12</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0.85</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0.95</w:t>
            </w:r>
          </w:p>
        </w:tc>
        <w:tc>
          <w:tcPr>
            <w:tcW w:w="117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0.78</w:t>
            </w:r>
          </w:p>
        </w:tc>
        <w:tc>
          <w:tcPr>
            <w:tcW w:w="1181"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0.74</w:t>
            </w:r>
          </w:p>
        </w:tc>
      </w:tr>
    </w:tbl>
    <w:p>
      <w:pPr>
        <w:spacing w:after="80"/>
      </w:pPr>
    </w:p>
    <w:p>
      <w:pPr>
        <w:rPr>
          <w:rFonts w:asciiTheme="minorHAnsi" w:hAnsiTheme="minorHAnsi" w:cstheme="minorHAnsi"/>
        </w:rPr>
      </w:pPr>
      <w:r>
        <w:rPr>
          <w:rFonts w:asciiTheme="minorHAnsi" w:hAnsiTheme="minorHAnsi" w:cstheme="minorHAnsi"/>
        </w:rPr>
        <w:t xml:space="preserve">The forecast expects a steady decline. The first two seasons fell much further: 0.60 WAR in 78 games in 2024-25, and -0.31 in 62 games in 2025-26. One case cannot measure accuracy, but it shows the size of the misses a single forecast carries. The pricing document allows for them through the forecast spread behind the salary floor.</w:t>
      </w:r>
    </w:p>
    <w:p>
      <w:pPr>
        <w:pStyle w:val="Heading1"/>
        <w:rPr>
          <w:rFonts w:asciiTheme="minorHAnsi" w:hAnsiTheme="minorHAnsi" w:cstheme="minorHAnsi"/>
        </w:rPr>
      </w:pPr>
      <w:r>
        <w:rPr>
          <w:rFonts w:asciiTheme="minorHAnsi" w:hAnsiTheme="minorHAnsi" w:cstheme="minorHAnsi"/>
        </w:rPr>
        <w:t xml:space="preserve">9. Validation and Remaining Limits</w:t>
      </w:r>
    </w:p>
    <w:p>
      <w:pPr>
        <w:rPr>
          <w:rFonts w:asciiTheme="minorHAnsi" w:hAnsiTheme="minorHAnsi" w:cstheme="minorHAnsi"/>
        </w:rPr>
      </w:pPr>
      <w:r>
        <w:rPr>
          <w:rFonts w:asciiTheme="minorHAnsi" w:hAnsiTheme="minorHAnsi" w:cstheme="minorHAnsi"/>
        </w:rPr>
        <w:t xml:space="preserve">The forecast was chosen on valuation dates 2015-2021 and then scored on 2022-2025, under a rule declared before the run. The run was repeated once after the age table was rebuilt; the second run is the result of record. On 9,063 forecasts of 1,171 players, zero to three seasons ahead, its season-WAR RMSE was 0.9001. The earlier version of the model, a 60/40 trailing total walked along the aging curve’s percentage path with a chained exit table, scored 0.9724. It was more accurate in each of 2,000 resamples of players. Those valuation dates were not unseen: an earlier test of the scoring code had scored the earlier model and a version without contract status on them.</w:t>
      </w:r>
    </w:p>
    <w:p>
      <w:pPr>
        <w:rPr>
          <w:rFonts w:asciiTheme="minorHAnsi" w:hAnsiTheme="minorHAnsi" w:cstheme="minorHAnsi"/>
        </w:rPr>
      </w:pPr>
      <w:r>
        <w:rPr>
          <w:rFonts w:asciiTheme="minorHAnsi" w:hAnsiTheme="minorHAnsi" w:cstheme="minorHAnsi"/>
        </w:rPr>
        <w:t xml:space="preserve">The forecast has three recorded limits. The best players are under-forecast by about a quarter of a win a season, and five players carry most of it. Good players’ late chance of playing is too low. Six-to-eight-year contracts are under-valued (Pricing document, Section 4). Each is reported with the results; no tested change has removed it.</w:t>
      </w:r>
    </w:p>
    <w:sectPr w:rsidR="00FD10A4" w:rsidRPr="0009126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E0761"/>
    <w:multiLevelType w:val="hybridMultilevel"/>
    <w:tmpl w:val="4A842726"/>
    <w:lvl w:ilvl="0" w:tplc="56C09BFC">
      <w:start w:val="1"/>
      <w:numFmt w:val="bullet"/>
      <w:lvlText w:val="●"/>
      <w:lvlJc w:val="left"/>
      <w:pPr>
        <w:ind w:left="720" w:hanging="360"/>
      </w:pPr>
    </w:lvl>
    <w:lvl w:ilvl="1" w:tplc="A78AC8D8">
      <w:start w:val="1"/>
      <w:numFmt w:val="bullet"/>
      <w:lvlText w:val="○"/>
      <w:lvlJc w:val="left"/>
      <w:pPr>
        <w:ind w:left="1440" w:hanging="360"/>
      </w:pPr>
    </w:lvl>
    <w:lvl w:ilvl="2" w:tplc="AFDAB022">
      <w:start w:val="1"/>
      <w:numFmt w:val="bullet"/>
      <w:lvlText w:val="■"/>
      <w:lvlJc w:val="left"/>
      <w:pPr>
        <w:ind w:left="2160" w:hanging="360"/>
      </w:pPr>
    </w:lvl>
    <w:lvl w:ilvl="3" w:tplc="A664C3AC">
      <w:start w:val="1"/>
      <w:numFmt w:val="bullet"/>
      <w:lvlText w:val="●"/>
      <w:lvlJc w:val="left"/>
      <w:pPr>
        <w:ind w:left="2880" w:hanging="360"/>
      </w:pPr>
    </w:lvl>
    <w:lvl w:ilvl="4" w:tplc="26B43ECE">
      <w:start w:val="1"/>
      <w:numFmt w:val="bullet"/>
      <w:lvlText w:val="○"/>
      <w:lvlJc w:val="left"/>
      <w:pPr>
        <w:ind w:left="3600" w:hanging="360"/>
      </w:pPr>
    </w:lvl>
    <w:lvl w:ilvl="5" w:tplc="CD224704">
      <w:start w:val="1"/>
      <w:numFmt w:val="bullet"/>
      <w:lvlText w:val="■"/>
      <w:lvlJc w:val="left"/>
      <w:pPr>
        <w:ind w:left="4320" w:hanging="360"/>
      </w:pPr>
    </w:lvl>
    <w:lvl w:ilvl="6" w:tplc="B546D15E">
      <w:start w:val="1"/>
      <w:numFmt w:val="bullet"/>
      <w:lvlText w:val="●"/>
      <w:lvlJc w:val="left"/>
      <w:pPr>
        <w:ind w:left="5040" w:hanging="360"/>
      </w:pPr>
    </w:lvl>
    <w:lvl w:ilvl="7" w:tplc="ABF8CE32">
      <w:start w:val="1"/>
      <w:numFmt w:val="bullet"/>
      <w:lvlText w:val="●"/>
      <w:lvlJc w:val="left"/>
      <w:pPr>
        <w:ind w:left="5760" w:hanging="360"/>
      </w:pPr>
    </w:lvl>
    <w:lvl w:ilvl="8" w:tplc="D2CA3600">
      <w:start w:val="1"/>
      <w:numFmt w:val="bullet"/>
      <w:lvlText w:val="●"/>
      <w:lvlJc w:val="left"/>
      <w:pPr>
        <w:ind w:left="6480" w:hanging="360"/>
      </w:pPr>
    </w:lvl>
  </w:abstractNum>
  <w:num w:numId="1" w16cid:durableId="10163499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10A4"/>
    <w:rsid w:val="0009126F"/>
    <w:rsid w:val="00240904"/>
    <w:rsid w:val="002F0D96"/>
    <w:rsid w:val="004341A2"/>
    <w:rsid w:val="004F5377"/>
    <w:rsid w:val="00563F95"/>
    <w:rsid w:val="00590D4F"/>
    <w:rsid w:val="005C0F74"/>
    <w:rsid w:val="006034F5"/>
    <w:rsid w:val="00636594"/>
    <w:rsid w:val="006406F0"/>
    <w:rsid w:val="00660853"/>
    <w:rsid w:val="00775321"/>
    <w:rsid w:val="007E751A"/>
    <w:rsid w:val="00831EFC"/>
    <w:rsid w:val="0091049F"/>
    <w:rsid w:val="009105B3"/>
    <w:rsid w:val="00B229B1"/>
    <w:rsid w:val="00C444E1"/>
    <w:rsid w:val="00C97F34"/>
    <w:rsid w:val="00CD25AD"/>
    <w:rsid w:val="00E20E0A"/>
    <w:rsid w:val="00E23368"/>
    <w:rsid w:val="00FD10A4"/>
    <w:rsid w:val="00FE2E9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FC86B"/>
  <w15:docId w15:val="{173A5462-0475-469F-8A75-9FA89289B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000000"/>
      <w:sz w:val="22"/>
      <w:szCs w:val="22"/>
    </w:rPr>
  </w:style>
  <w:style w:type="paragraph" w:styleId="Heading1">
    <w:name w:val="heading 1"/>
    <w:uiPriority w:val="9"/>
    <w:qFormat/>
    <w:pPr>
      <w:keepNext/>
      <w:keepLines/>
      <w:spacing w:before="280" w:after="140" w:line="276" w:lineRule="auto"/>
      <w:outlineLvl w:val="0"/>
    </w:pPr>
    <w:rPr>
      <w:b/>
      <w:color w:val="2E74B5"/>
      <w:sz w:val="26"/>
      <w:szCs w:val="26"/>
    </w:rPr>
  </w:style>
  <w:style w:type="paragraph" w:styleId="Heading2">
    <w:name w:val="heading 2"/>
    <w:uiPriority w:val="9"/>
    <w:unhideWhenUsed/>
    <w:qFormat/>
    <w:pPr>
      <w:keepNext/>
      <w:keepLines/>
      <w:spacing w:before="200" w:after="140" w:line="276" w:lineRule="auto"/>
      <w:outlineLvl w:val="1"/>
    </w:pPr>
    <w:rPr>
      <w:b/>
      <w:color w:val="1F4D78"/>
      <w:sz w:val="24"/>
      <w:szCs w:val="24"/>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line="276" w:lineRule="auto"/>
    </w:pPr>
    <w:rPr>
      <w:b/>
      <w:color w:val="000000"/>
      <w:sz w:val="30"/>
      <w:szCs w:val="3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TotalTime>
  <Pages>8</Pages>
  <Words>3598</Words>
  <Characters>20515</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Thomas Mihaljevic</cp:lastModifiedBy>
  <cp:revision>17</cp:revision>
  <dcterms:created xsi:type="dcterms:W3CDTF">2026-09-09T20:55:00Z</dcterms:created>
  <dcterms:modified xsi:type="dcterms:W3CDTF">2026-09-11T13:04:00Z</dcterms:modified>
</cp:coreProperties>
</file>