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rPr>
          <w:rFonts w:asciiTheme="minorHAnsi" w:hAnsiTheme="minorHAnsi" w:cstheme="minorHAnsi"/>
        </w:rPr>
      </w:pPr>
      <w:r>
        <w:rPr>
          <w:rFonts w:asciiTheme="minorHAnsi" w:hAnsiTheme="minorHAnsi" w:cstheme="minorHAnsi"/>
        </w:rPr>
        <w:t xml:space="preserve">Pricing, Control Years, and Contract Value</w:t>
      </w:r>
    </w:p>
    <w:p>
      <w:pPr>
        <w:rPr>
          <w:rFonts w:asciiTheme="minorHAnsi" w:hAnsiTheme="minorHAnsi" w:cstheme="minorHAnsi"/>
        </w:rPr>
      </w:pPr>
      <w:r>
        <w:rPr>
          <w:rFonts w:asciiTheme="minorHAnsi" w:hAnsiTheme="minorHAnsi" w:cstheme="minorHAnsi"/>
        </w:rPr>
        <w:t xml:space="preserve">The production document forecasts, for each season a contract has left, the player’s WAR if he plays and his chance of playing. This document turns those forecasts into a contract value. For each season the model prices the forecast WAR at what clubs pay for it, weights that price by the chance he plays, subtracts the cap hit, and discounts the result to the valuation date. If the player remains under restricted-free-agent control after the contract expires, it adds the expected surplus from those years.</w:t>
      </w:r>
    </w:p>
    <w:p>
      <w:pPr>
        <w:pStyle w:val="Heading1"/>
        <w:rPr>
          <w:rFonts w:asciiTheme="minorHAnsi" w:hAnsiTheme="minorHAnsi" w:cstheme="minorHAnsi"/>
        </w:rPr>
      </w:pPr>
      <w:r>
        <w:rPr>
          <w:rFonts w:asciiTheme="minorHAnsi" w:hAnsiTheme="minorHAnsi" w:cstheme="minorHAnsi"/>
        </w:rPr>
        <w:t xml:space="preserve">1. Turning Wins into Dollars</w:t>
      </w:r>
    </w:p>
    <w:p>
      <w:pPr>
        <w:pStyle w:val="Heading2"/>
        <w:rPr>
          <w:rFonts w:asciiTheme="minorHAnsi" w:hAnsiTheme="minorHAnsi" w:cstheme="minorHAnsi"/>
        </w:rPr>
      </w:pPr>
      <w:r>
        <w:rPr>
          <w:rFonts w:asciiTheme="minorHAnsi" w:hAnsiTheme="minorHAnsi" w:cstheme="minorHAnsi"/>
        </w:rPr>
        <w:t xml:space="preserve">The price line</w:t>
      </w:r>
    </w:p>
    <w:p>
      <w:pPr>
        <w:rPr>
          <w:rFonts w:asciiTheme="minorHAnsi" w:hAnsiTheme="minorHAnsi" w:cstheme="minorHAnsi"/>
        </w:rPr>
      </w:pPr>
      <w:r>
        <w:rPr>
          <w:rFonts w:asciiTheme="minorHAnsi" w:hAnsiTheme="minorHAnsi" w:cstheme="minorHAnsi"/>
        </w:rPr>
        <w:t xml:space="preserve">The model needs a dollar value for a win, and it takes that value from what clubs pay. It fits a price line, which is the relationship between a skater’s forecast production and his cap hit, on standard-level UFA and RFA skater contracts that started from 2018-19 through 2025-26. Salary and the league minimum are both measured as shares of that season’s salary cap, which makes contracts from different salary environments comparable.</w:t>
      </w:r>
    </w:p>
    <w:p>
      <w:pPr>
        <w:rPr>
          <w:rFonts w:asciiTheme="minorHAnsi" w:hAnsiTheme="minorHAnsi" w:cstheme="minorHAnsi"/>
        </w:rPr>
      </w:pPr>
      <w:r>
        <w:rPr>
          <w:rFonts w:asciiTheme="minorHAnsi" w:hAnsiTheme="minorHAnsi" w:cstheme="minorHAnsi"/>
        </w:rPr>
        <w:t xml:space="preserve">The production measure is the forecast described in the production document: the player’s WAR if he plays in the contract’s first season, forecast from the valuation date at the start of that season. It uses only seasons completed before the contract started, and it reads no contract information, so it cannot see the contract it is pricing. Of the 2,349 contracts in the sample, two have no forecast; the line is fitted on the remaining 2,347, signed by 1,170 players.</w:t>
      </w:r>
    </w:p>
    <w:p>
      <w:pPr>
        <w:rPr>
          <w:rFonts w:asciiTheme="minorHAnsi" w:hAnsiTheme="minorHAnsi" w:cstheme="minorHAnsi"/>
        </w:rPr>
      </w:pPr>
      <w:r>
        <w:rPr>
          <w:rFonts w:asciiTheme="minorHAnsi" w:hAnsiTheme="minorHAnsi" w:cstheme="minorHAnsi"/>
        </w:rPr>
        <w:t xml:space="preserve">The line is fitted on the same quantity it later prices. A season’s value in Section 4 is the price of the forecast WAR, so the line must be in forecast wins. The forecast is pulled toward the league average: on these contracts it runs at about 0.16 + 0.66 × the player’s 60/40 trailing total, so a player with four trailing wins is forecast at about 2.8. A line fitted per trailing win and then applied to forecast wins would under-price each win above its intercept, and good players would look overpaid by construction. The back-test would read that built-in tilt as mispricing.</w:t>
      </w:r>
    </w:p>
    <w:p>
      <w:pPr>
        <w:pStyle w:val="Heading2"/>
        <w:rPr>
          <w:rFonts w:asciiTheme="minorHAnsi" w:hAnsiTheme="minorHAnsi" w:cstheme="minorHAnsi"/>
        </w:rPr>
      </w:pPr>
      <w:r>
        <w:rPr>
          <w:rFonts w:asciiTheme="minorHAnsi" w:hAnsiTheme="minorHAnsi" w:cstheme="minorHAnsi"/>
        </w:rPr>
        <w:t xml:space="preserve">Contracts at the league minimum</w:t>
      </w:r>
    </w:p>
    <w:p>
      <w:pPr>
        <w:rPr>
          <w:rFonts w:asciiTheme="minorHAnsi" w:hAnsiTheme="minorHAnsi" w:cstheme="minorHAnsi"/>
        </w:rPr>
      </w:pPr>
      <w:r>
        <w:rPr>
          <w:rFonts w:asciiTheme="minorHAnsi" w:hAnsiTheme="minorHAnsi" w:cstheme="minorHAnsi"/>
        </w:rPr>
        <w:t xml:space="preserve">Of the 2,347 contracts, 527 pay the league minimum. A player cannot be paid less than that amount, even if his production would otherwise command a lower salary, so a minimum-salary contract says only that the market valued him at the minimum or below. The model handles this constraint with a censored regression, also called a Tobit model. For salaries above the minimum, it measures how closely the line predicts observed pay. For minimum-salary contracts, it measures how likely the line is to place the player at or below the minimum. This retains those observations without treating the floor as a market price. The calculation assumes that the underlying price is a straight line in production, and that unexplained differences around the line follow a normal distribution.</w:t>
      </w:r>
    </w:p>
    <w:p>
      <w:pPr>
        <w:pStyle w:val="Heading2"/>
        <w:rPr>
          <w:rFonts w:asciiTheme="minorHAnsi" w:hAnsiTheme="minorHAnsi" w:cstheme="minorHAnsi"/>
        </w:rPr>
      </w:pPr>
      <w:r>
        <w:rPr>
          <w:rFonts w:asciiTheme="minorHAnsi" w:hAnsiTheme="minorHAnsi" w:cstheme="minorHAnsi"/>
        </w:rPr>
        <w:t xml:space="preserve">The fitted line</w:t>
      </w:r>
    </w:p>
    <w:p>
      <w:pPr>
        <w:rPr>
          <w:rFonts w:asciiTheme="minorHAnsi" w:hAnsiTheme="minorHAnsi" w:cstheme="minorHAnsi"/>
        </w:rPr>
      </w:pPr>
      <w:r>
        <w:rPr>
          <w:rFonts w:asciiTheme="minorHAnsi" w:hAnsiTheme="minorHAnsi" w:cstheme="minorHAnsi"/>
        </w:rPr>
        <w:t xml:space="preserve">The line has one intercept and a separate slope for defencemen:</w:t>
      </w:r>
    </w:p>
    <w:p>
      <w:pPr>
        <w:spacing w:after="200"/>
        <w:ind w:left="720"/>
        <w:rPr>
          <w:rFonts w:asciiTheme="minorHAnsi" w:hAnsiTheme="minorHAnsi" w:cstheme="minorHAnsi"/>
        </w:rPr>
      </w:pPr>
      <w:r>
        <w:rPr>
          <w:rFonts w:asciiTheme="minorHAnsi" w:hAnsiTheme="minorHAnsi" w:cstheme="minorHAnsi"/>
          <w:i/>
        </w:rPr>
        <w:t xml:space="preserve">cap share = alpha + (beta + beta_D × defence) × forecast WAR</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2059"/>
        <w:gridCol w:w="2059"/>
        <w:gridCol w:w="2060"/>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Term</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Cap share</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Std. error</w:t>
            </w:r>
          </w:p>
        </w:tc>
        <w:tc>
          <w:tcPr>
            <w:tcW w:w="206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At a $95.5 million cap</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Intercept, alpha</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0.769%</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0.059%</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$0.735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Per forecast win, forwards (beta)</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3.089%</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0.070%</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$2.950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Additional per win, defencemen (beta_D)</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1.466%</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0.158%</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$1.400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Per forecast win, defencemen</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4.555%</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$4.350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Residual spread (sigma)</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2.112%</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r>
    </w:tbl>
    <w:p>
      <w:pPr>
        <w:spacing w:after="80"/>
      </w:pPr>
    </w:p>
    <w:p>
      <w:pPr>
        <w:rPr>
          <w:rFonts w:asciiTheme="minorHAnsi" w:hAnsiTheme="minorHAnsi" w:cstheme="minorHAnsi"/>
        </w:rPr>
      </w:pPr>
      <w:r>
        <w:rPr>
          <w:rFonts w:asciiTheme="minorHAnsi" w:hAnsiTheme="minorHAnsi" w:cstheme="minorHAnsi"/>
        </w:rPr>
        <w:t xml:space="preserve">At the 2025-26 cap, a forward forecast at two wins if he plays is priced at $6.64 million: $0.735 million plus two wins at $2.950 million. A defenceman with the same forecast is priced at $9.44 million.</w:t>
      </w:r>
    </w:p>
    <w:p>
      <w:pPr>
        <w:rPr>
          <w:rFonts w:asciiTheme="minorHAnsi" w:hAnsiTheme="minorHAnsi" w:cstheme="minorHAnsi"/>
        </w:rPr>
      </w:pPr>
      <w:r>
        <w:rPr>
          <w:rFonts w:asciiTheme="minorHAnsi" w:hAnsiTheme="minorHAnsi" w:cstheme="minorHAnsi"/>
        </w:rPr>
        <w:t xml:space="preserve">The sample begins in 2018-19 because earlier contract coverage is thin. The export contains 63, 223, and 452 contracts starting in 2015, 2016, and 2017, compared with 275 to 335 a year in the sample.</w:t>
      </w:r>
    </w:p>
    <w:p>
      <w:pPr>
        <w:pStyle w:val="Heading2"/>
        <w:rPr>
          <w:rFonts w:asciiTheme="minorHAnsi" w:hAnsiTheme="minorHAnsi" w:cstheme="minorHAnsi"/>
        </w:rPr>
      </w:pPr>
      <w:r>
        <w:rPr>
          <w:rFonts w:asciiTheme="minorHAnsi" w:hAnsiTheme="minorHAnsi" w:cstheme="minorHAnsi"/>
        </w:rPr>
        <w:t xml:space="preserve">How well it fits, and what that means</w:t>
      </w:r>
    </w:p>
    <w:p>
      <w:pPr>
        <w:rPr>
          <w:rFonts w:asciiTheme="minorHAnsi" w:hAnsiTheme="minorHAnsi" w:cstheme="minorHAnsi"/>
        </w:rPr>
      </w:pPr>
      <w:r>
        <w:rPr>
          <w:rFonts w:asciiTheme="minorHAnsi" w:hAnsiTheme="minorHAnsi" w:cstheme="minorHAnsi"/>
        </w:rPr>
        <w:t xml:space="preserve">The same specification was fitted on the same 2,347 contracts with the 60/40 trailing total as the input instead of the forecast. That line prices a trailing win at $2.027 million for forwards and $2.301 million for defencemen, with an intercept of $1.267 million. With the same rows, outcome, and number of parameters, the censored log-likelihood is 4,048.2 for the forecast line against 3,902.1 for the trailing-total line. The forecast explains the cap hits clubs actually paid better than the trailing total does. This says the forecast is closer to how clubs price players. It does not test whether the forecast is accurate.</w:t>
      </w:r>
    </w:p>
    <w:p>
      <w:pPr>
        <w:rPr>
          <w:rFonts w:asciiTheme="minorHAnsi" w:hAnsiTheme="minorHAnsi" w:cstheme="minorHAnsi"/>
        </w:rPr>
      </w:pPr>
      <w:r>
        <w:rPr>
          <w:rFonts w:asciiTheme="minorHAnsi" w:hAnsiTheme="minorHAnsi" w:cstheme="minorHAnsi"/>
        </w:rPr>
        <w:t xml:space="preserve">The table below compares observed pay with each line’s expected pay, in millions of dollars at a $95.5 million cap, by the player’s trailing total.</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1544"/>
        <w:gridCol w:w="1544"/>
        <w:gridCol w:w="1544"/>
        <w:gridCol w:w="1546"/>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Trailing wins</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Contracts</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Observed</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Trailing-total line</w:t>
            </w:r>
          </w:p>
        </w:tc>
        <w:tc>
          <w:tcPr>
            <w:tcW w:w="154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Forecast line</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Below 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763</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1.50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1.63</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1.66</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0 to 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1,095</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2.10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2.49</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2.38</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1 to 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335</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4.59</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4.29</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4.29</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 to 3</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6.70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6.33</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6.61</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3 or more</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9.73</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9.59</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9.92</w:t>
            </w:r>
          </w:p>
        </w:tc>
      </w:tr>
    </w:tbl>
    <w:p>
      <w:pPr>
        <w:spacing w:after="80"/>
      </w:pPr>
    </w:p>
    <w:p>
      <w:pPr>
        <w:rPr>
          <w:rFonts w:asciiTheme="minorHAnsi" w:hAnsiTheme="minorHAnsi" w:cstheme="minorHAnsi"/>
        </w:rPr>
      </w:pPr>
      <w:r>
        <w:rPr>
          <w:rFonts w:asciiTheme="minorHAnsi" w:hAnsiTheme="minorHAnsi" w:cstheme="minorHAnsi"/>
        </w:rPr>
        <w:t xml:space="preserve">The forecast line is closer in two tiers, the trailing-total line in two, and they tie in one. Choosing the input therefore changes the units of the slope much more than the prices the line predicts. An earlier test with a simpler pull toward the average found the same: refitting the line on the pulled-back production predicted held-out cap hits with an error of $1.203 million, against $1.206 million on the raw trailing total.</w:t>
      </w:r>
    </w:p>
    <w:p>
      <w:pPr>
        <w:pStyle w:val="Heading2"/>
        <w:rPr>
          <w:rFonts w:asciiTheme="minorHAnsi" w:hAnsiTheme="minorHAnsi" w:cstheme="minorHAnsi"/>
        </w:rPr>
      </w:pPr>
      <w:r>
        <w:rPr>
          <w:rFonts w:asciiTheme="minorHAnsi" w:hAnsiTheme="minorHAnsi" w:cstheme="minorHAnsi"/>
        </w:rPr>
        <w:t xml:space="preserve">The defence slope</w:t>
      </w:r>
    </w:p>
    <w:p>
      <w:pPr>
        <w:rPr>
          <w:rFonts w:asciiTheme="minorHAnsi" w:hAnsiTheme="minorHAnsi" w:cstheme="minorHAnsi"/>
        </w:rPr>
      </w:pPr>
      <w:r>
        <w:rPr>
          <w:rFonts w:asciiTheme="minorHAnsi" w:hAnsiTheme="minorHAnsi" w:cstheme="minorHAnsi"/>
        </w:rPr>
        <w:t xml:space="preserve">Clubs pay defencemen a small premium per trailing win: 13.5% on the trailing-total line. Per forecast win the premium is 47%. Defencemen’s production persists less from one season to the next, so the forecast pulls it further toward the average (0.61 × the trailing total for defencemen against 0.69 for forwards), and a smaller forecast must carry the same pay. There are two readings, and the line cannot separate them: clubs overpay defencemen for production that does not last, or WAR under-counts something defencemen provide and clubs pay for it. Because the line has a separate defence slope, it treats the premium as the market price, whatever its cause. A mispricing common to all defencemen therefore cannot appear in the back-test. Mispricing within defencemen, by age, contract length, or how the deal was struck, can still appear.</w:t>
      </w:r>
    </w:p>
    <w:p>
      <w:pPr>
        <w:pStyle w:val="Heading2"/>
        <w:rPr>
          <w:rFonts w:asciiTheme="minorHAnsi" w:hAnsiTheme="minorHAnsi" w:cstheme="minorHAnsi"/>
        </w:rPr>
      </w:pPr>
      <w:r>
        <w:rPr>
          <w:rFonts w:asciiTheme="minorHAnsi" w:hAnsiTheme="minorHAnsi" w:cstheme="minorHAnsi"/>
        </w:rPr>
        <w:t xml:space="preserve">Specification tests and their scope</w:t>
      </w:r>
    </w:p>
    <w:p>
      <w:pPr>
        <w:rPr>
          <w:rFonts w:asciiTheme="minorHAnsi" w:hAnsiTheme="minorHAnsi" w:cstheme="minorHAnsi"/>
        </w:rPr>
      </w:pPr>
      <w:r>
        <w:rPr>
          <w:rFonts w:asciiTheme="minorHAnsi" w:hAnsiTheme="minorHAnsi" w:cstheme="minorHAnsi"/>
        </w:rPr>
        <w:t xml:space="preserve">Four specification tests were run on the trailing-total version of the line, before the forecast became its input. A nonlinear line, which let the price per win change with production level, fitted observed salaries better but predicted held-out salaries less accurately. Contract length did not predict production after signing: across 1,781 contracts, each additional contract year was associated with -0.0135 wins a season in the three seasons after signing (95% interval -0.0360 to +0.0089), with production measured by Game Value, which contains no WAR input. RFA and UFA contracts did not need separate lines (F = 0.12, p = 0.887). The 2018-2019 and 2020-2022 contracts showed no detectable change in the line (p = 0.75). None of these tests has been repeated with the forecast as the input.</w:t>
      </w:r>
    </w:p>
    <w:p>
      <w:pPr>
        <w:rPr>
          <w:rFonts w:asciiTheme="minorHAnsi" w:hAnsiTheme="minorHAnsi" w:cstheme="minorHAnsi"/>
        </w:rPr>
      </w:pPr>
      <w:r>
        <w:rPr>
          <w:rFonts w:asciiTheme="minorHAnsi" w:hAnsiTheme="minorHAnsi" w:cstheme="minorHAnsi"/>
        </w:rPr>
        <w:t xml:space="preserve">The line is dated at the contract’s start, not at its signing. An extension signed during a season is priced on a forecast that reads the season still being played. In an audit of this sample, 30% of contracts were signed before the production they are priced on was complete, so their price line reads some production the signing club had not yet seen; among players with three or more trailing wins the share is 58%. Early signers are also paid more at the same trailing production. Dating the sample at the signing would remove this; it has not been done for the line in use.</w:t>
      </w:r>
    </w:p>
    <w:p>
      <w:pPr>
        <w:pStyle w:val="Heading1"/>
        <w:rPr>
          <w:rFonts w:asciiTheme="minorHAnsi" w:hAnsiTheme="minorHAnsi" w:cstheme="minorHAnsi"/>
        </w:rPr>
      </w:pPr>
      <w:r>
        <w:rPr>
          <w:rFonts w:asciiTheme="minorHAnsi" w:hAnsiTheme="minorHAnsi" w:cstheme="minorHAnsi"/>
        </w:rPr>
        <w:t xml:space="preserve">2. The Minimum and Forecast Uncertainty</w:t>
      </w:r>
    </w:p>
    <w:p>
      <w:pPr>
        <w:rPr>
          <w:rFonts w:asciiTheme="minorHAnsi" w:hAnsiTheme="minorHAnsi" w:cstheme="minorHAnsi"/>
        </w:rPr>
      </w:pPr>
      <w:r>
        <w:rPr>
          <w:rFonts w:asciiTheme="minorHAnsi" w:hAnsiTheme="minorHAnsi" w:cstheme="minorHAnsi"/>
        </w:rPr>
        <w:t xml:space="preserve">A skater’s value in a season cannot fall below the league minimum, because no club can pay him less. Applying the minimum to the single forecast would ignore the fact that the forecast is uncertain, and the minimum treats bad and good outcomes differently. Suppose the minimum is $800,000. A worse-than-forecast season priced at $400,000 is raised to $800,000, while a better-than-forecast season priced at $1.2 million keeps its full value. The minimum limits the downside without limiting the upside, so the average value across possible outcomes is higher than the value of the single forecast.</w:t>
      </w:r>
    </w:p>
    <w:p>
      <w:pPr>
        <w:rPr>
          <w:rFonts w:asciiTheme="minorHAnsi" w:hAnsiTheme="minorHAnsi" w:cstheme="minorHAnsi"/>
        </w:rPr>
      </w:pPr>
      <w:r>
        <w:rPr>
          <w:rFonts w:asciiTheme="minorHAnsi" w:hAnsiTheme="minorHAnsi" w:cstheme="minorHAnsi"/>
        </w:rPr>
        <w:t xml:space="preserve">The model therefore treats the season’s price as normally distributed around its point estimate and takes the expected value after the floor:</w:t>
      </w:r>
    </w:p>
    <w:p>
      <w:pPr>
        <w:spacing w:after="200"/>
        <w:ind w:left="720"/>
        <w:rPr>
          <w:rFonts w:asciiTheme="minorHAnsi" w:hAnsiTheme="minorHAnsi" w:cstheme="minorHAnsi"/>
        </w:rPr>
      </w:pPr>
      <w:r>
        <w:rPr>
          <w:rFonts w:asciiTheme="minorHAnsi" w:hAnsiTheme="minorHAnsi" w:cstheme="minorHAnsi"/>
          <w:i/>
        </w:rPr>
        <w:t xml:space="preserve">E[max(P, F)] = F × Φ(z) + p × (1 − Φ(z)) + s × φ(z),  z = (F − p) / s</w:t>
      </w:r>
    </w:p>
    <w:p>
      <w:pPr>
        <w:rPr>
          <w:rFonts w:asciiTheme="minorHAnsi" w:hAnsiTheme="minorHAnsi" w:cstheme="minorHAnsi"/>
        </w:rPr>
      </w:pPr>
      <w:r>
        <w:rPr>
          <w:rFonts w:asciiTheme="minorHAnsi" w:hAnsiTheme="minorHAnsi" w:cstheme="minorHAnsi"/>
        </w:rPr>
        <w:t xml:space="preserve">Here p is the point price, F the league minimum, s the price’s spread, and Φ and φ the standard normal distribution and density. The code’s validation checks this formula against four million simulated draws.</w:t>
      </w:r>
    </w:p>
    <w:p>
      <w:pPr>
        <w:rPr>
          <w:rFonts w:asciiTheme="minorHAnsi" w:hAnsiTheme="minorHAnsi" w:cstheme="minorHAnsi"/>
        </w:rPr>
      </w:pPr>
      <w:r>
        <w:rPr>
          <w:rFonts w:asciiTheme="minorHAnsi" w:hAnsiTheme="minorHAnsi" w:cstheme="minorHAnsi"/>
        </w:rPr>
        <w:t xml:space="preserve">The spread is the forecast’s own recorded miss, converted to dollars at the season’s price per win and cap. The mean absolute miss of the WAR-if-he-plays forecast was measured on 40,510 forecasts at development valuation dates. It is 0.673 WAR in the valuation season, rising to 0.749, 0.799, 0.852, 0.879, and 0.893 one to five seasons out, and it is held at 0.893 beyond. For a normal distribution, the standard deviation is the mean absolute miss times 1.2533. The valuation season carries a spread as well, because on the valuation date it has not been played.</w:t>
      </w:r>
    </w:p>
    <w:p>
      <w:pPr>
        <w:rPr>
          <w:rFonts w:asciiTheme="minorHAnsi" w:hAnsiTheme="minorHAnsi" w:cstheme="minorHAnsi"/>
        </w:rPr>
      </w:pPr>
      <w:r>
        <w:rPr>
          <w:rFonts w:asciiTheme="minorHAnsi" w:hAnsiTheme="minorHAnsi" w:cstheme="minorHAnsi"/>
        </w:rPr>
        <w:t xml:space="preserve">For most players the adjustment is small. In the worked example in Section 4 it adds $5,800 to a season priced at $6.33 million, and $403,000 to a season priced at $3.66 million, where the minimum is closer.</w:t>
      </w:r>
    </w:p>
    <w:p>
      <w:pPr>
        <w:pStyle w:val="Heading1"/>
        <w:rPr>
          <w:rFonts w:asciiTheme="minorHAnsi" w:hAnsiTheme="minorHAnsi" w:cstheme="minorHAnsi"/>
        </w:rPr>
      </w:pPr>
      <w:r>
        <w:rPr>
          <w:rFonts w:asciiTheme="minorHAnsi" w:hAnsiTheme="minorHAnsi" w:cstheme="minorHAnsi"/>
        </w:rPr>
        <w:t xml:space="preserve">3. The Chance of Playing</w:t>
      </w:r>
    </w:p>
    <w:p>
      <w:pPr>
        <w:rPr>
          <w:rFonts w:asciiTheme="minorHAnsi" w:hAnsiTheme="minorHAnsi" w:cstheme="minorHAnsi"/>
        </w:rPr>
      </w:pPr>
      <w:r>
        <w:rPr>
          <w:rFonts w:asciiTheme="minorHAnsi" w:hAnsiTheme="minorHAnsi" w:cstheme="minorHAnsi"/>
        </w:rPr>
        <w:t xml:space="preserve">Each season’s value is multiplied by the chance the player plays that season, from the production document. If he does not play, he produces nothing, but his cap hit still counts. The chance of playing therefore multiplies value only:</w:t>
      </w:r>
    </w:p>
    <w:p>
      <w:pPr>
        <w:spacing w:after="200"/>
        <w:ind w:left="720"/>
        <w:rPr>
          <w:rFonts w:asciiTheme="minorHAnsi" w:hAnsiTheme="minorHAnsi" w:cstheme="minorHAnsi"/>
        </w:rPr>
      </w:pPr>
      <w:r>
        <w:rPr>
          <w:rFonts w:asciiTheme="minorHAnsi" w:hAnsiTheme="minorHAnsi" w:cstheme="minorHAnsi"/>
          <w:i/>
        </w:rPr>
        <w:t xml:space="preserve">surplus in season k = chance of playing(k) × value(k) − cap hit(k)</w:t>
      </w:r>
    </w:p>
    <w:p>
      <w:pPr>
        <w:rPr>
          <w:rFonts w:asciiTheme="minorHAnsi" w:hAnsiTheme="minorHAnsi" w:cstheme="minorHAnsi"/>
        </w:rPr>
      </w:pPr>
      <w:r>
        <w:rPr>
          <w:rFonts w:asciiTheme="minorHAnsi" w:hAnsiTheme="minorHAnsi" w:cstheme="minorHAnsi"/>
        </w:rPr>
        <w:t xml:space="preserve">For example, $5 million of production value with a 90% chance of playing contributes $4.5 million. Against a $4 million cap hit, the surplus is $500,000. Multiplying the net $1 million by 90% would instead give $900,000, which would wrongly reduce the contract’s cost alongside its production.</w:t>
      </w:r>
    </w:p>
    <w:p>
      <w:pPr>
        <w:rPr>
          <w:rFonts w:asciiTheme="minorHAnsi" w:hAnsiTheme="minorHAnsi" w:cstheme="minorHAnsi"/>
        </w:rPr>
      </w:pPr>
      <w:r>
        <w:rPr>
          <w:rFonts w:asciiTheme="minorHAnsi" w:hAnsiTheme="minorHAnsi" w:cstheme="minorHAnsi"/>
        </w:rPr>
        <w:t xml:space="preserve">The valuation season is weighted the same way, because on July 1 it is not certain that the player will play it. Each season’s chance is its own probability from the valuation date, not a product of yearly survival rates.</w:t>
      </w:r>
    </w:p>
    <w:p>
      <w:pPr>
        <w:rPr>
          <w:rFonts w:asciiTheme="minorHAnsi" w:hAnsiTheme="minorHAnsi" w:cstheme="minorHAnsi"/>
        </w:rPr>
      </w:pPr>
      <w:r>
        <w:rPr>
          <w:rFonts w:asciiTheme="minorHAnsi" w:hAnsiTheme="minorHAnsi" w:cstheme="minorHAnsi"/>
        </w:rPr>
        <w:t xml:space="preserve">The chance of playing reads contract status as known on the valuation date, July 1. A contract signed after July 1 for the season about to start is valued on that season’s valuation date. Its own chance of playing cannot see it, so the player is treated as not under contract for its seasons. Of the 2,759 skater contracts priced in the current run, 1,533 were signed after July 1 of their first season, most of them in July. Reading contract status at each contract’s own signing instead raises 1,351 of the 1,530 values that can be re-dated this way, by a median of $0.33 million and $622 million in total; the largest single change is $4.1 million. The cost side is affected the other way: the cap hit of a contract signed after July 1 is counted on a date when the contract did not yet exist.</w:t>
      </w:r>
    </w:p>
    <w:p>
      <w:pPr>
        <w:rPr>
          <w:rFonts w:asciiTheme="minorHAnsi" w:hAnsiTheme="minorHAnsi" w:cstheme="minorHAnsi"/>
        </w:rPr>
      </w:pPr>
      <w:r>
        <w:rPr>
          <w:rFonts w:asciiTheme="minorHAnsi" w:hAnsiTheme="minorHAnsi" w:cstheme="minorHAnsi"/>
        </w:rPr>
        <w:t xml:space="preserve">The model keeps the full cap hit even if the player does not play. It does not calculate relief from retirement or long-term injury, so it overstates the cost where relief would apply.</w:t>
      </w:r>
    </w:p>
    <w:p>
      <w:pPr>
        <w:pStyle w:val="Heading1"/>
        <w:rPr>
          <w:rFonts w:asciiTheme="minorHAnsi" w:hAnsiTheme="minorHAnsi" w:cstheme="minorHAnsi"/>
        </w:rPr>
      </w:pPr>
      <w:r>
        <w:rPr>
          <w:rFonts w:asciiTheme="minorHAnsi" w:hAnsiTheme="minorHAnsi" w:cstheme="minorHAnsi"/>
        </w:rPr>
        <w:t xml:space="preserve">4. Adding the Contract Years</w:t>
      </w:r>
    </w:p>
    <w:p>
      <w:pPr>
        <w:pStyle w:val="Heading2"/>
        <w:rPr>
          <w:rFonts w:asciiTheme="minorHAnsi" w:hAnsiTheme="minorHAnsi" w:cstheme="minorHAnsi"/>
        </w:rPr>
      </w:pPr>
      <w:r>
        <w:rPr>
          <w:rFonts w:asciiTheme="minorHAnsi" w:hAnsiTheme="minorHAnsi" w:cstheme="minorHAnsi"/>
        </w:rPr>
        <w:t xml:space="preserve">Which contracts are counted</w:t>
      </w:r>
    </w:p>
    <w:p>
      <w:pPr>
        <w:rPr>
          <w:rFonts w:asciiTheme="minorHAnsi" w:hAnsiTheme="minorHAnsi" w:cstheme="minorHAnsi"/>
        </w:rPr>
      </w:pPr>
      <w:r>
        <w:rPr>
          <w:rFonts w:asciiTheme="minorHAnsi" w:hAnsiTheme="minorHAnsi" w:cstheme="minorHAnsi"/>
        </w:rPr>
        <w:t xml:space="preserve">The valuation covers the contract being played on the valuation date, plus each extension signed on or before that date. An extension enters the valuation only from the first valuation date after its signing, so a later extension never reaches back into an earlier valuation. An extension must start in the season after the previous contract ends.</w:t>
      </w:r>
    </w:p>
    <w:p>
      <w:pPr>
        <w:pStyle w:val="Heading2"/>
        <w:rPr>
          <w:rFonts w:asciiTheme="minorHAnsi" w:hAnsiTheme="minorHAnsi" w:cstheme="minorHAnsi"/>
        </w:rPr>
      </w:pPr>
      <w:r>
        <w:rPr>
          <w:rFonts w:asciiTheme="minorHAnsi" w:hAnsiTheme="minorHAnsi" w:cstheme="minorHAnsi"/>
        </w:rPr>
        <w:t xml:space="preserve">Cap growth and discounting</w:t>
      </w:r>
    </w:p>
    <w:p>
      <w:pPr>
        <w:rPr>
          <w:rFonts w:asciiTheme="minorHAnsi" w:hAnsiTheme="minorHAnsi" w:cstheme="minorHAnsi"/>
        </w:rPr>
      </w:pPr>
      <w:r>
        <w:rPr>
          <w:rFonts w:asciiTheme="minorHAnsi" w:hAnsiTheme="minorHAnsi" w:cstheme="minorHAnsi"/>
        </w:rPr>
        <w:t xml:space="preserve">Each future season’s price uses the cap ceiling known on the valuation date, grown at 3% a year. The league minimum follows the published schedule, and grows at 3% a year past its end. Each season’s surplus is discounted at the same 3% rate:</w:t>
      </w:r>
    </w:p>
    <w:p>
      <w:pPr>
        <w:spacing w:after="200"/>
        <w:ind w:left="720"/>
        <w:rPr>
          <w:rFonts w:asciiTheme="minorHAnsi" w:hAnsiTheme="minorHAnsi" w:cstheme="minorHAnsi"/>
        </w:rPr>
      </w:pPr>
      <w:r>
        <w:rPr>
          <w:rFonts w:asciiTheme="minorHAnsi" w:hAnsiTheme="minorHAnsi" w:cstheme="minorHAnsi"/>
          <w:i/>
        </w:rPr>
        <w:t xml:space="preserve">contract value = sum over seasons k of [chance of playing(k) × value(k) − cap hit(k)] / 1.03^k</w:t>
      </w:r>
    </w:p>
    <w:p>
      <w:pPr>
        <w:rPr>
          <w:rFonts w:asciiTheme="minorHAnsi" w:hAnsiTheme="minorHAnsi" w:cstheme="minorHAnsi"/>
        </w:rPr>
      </w:pPr>
      <w:r>
        <w:rPr>
          <w:rFonts w:asciiTheme="minorHAnsi" w:hAnsiTheme="minorHAnsi" w:cstheme="minorHAnsi"/>
        </w:rPr>
        <w:t xml:space="preserve">With cap growth and discounting at the same rate, a season’s value is constant in cap-share terms, while a fixed cap hit becomes relatively cheaper each year. The 3% rate is a planning assumption, and it uses no cap growth observed after the valuation date.</w:t>
      </w:r>
    </w:p>
    <w:p>
      <w:pPr>
        <w:rPr>
          <w:rFonts w:asciiTheme="minorHAnsi" w:hAnsiTheme="minorHAnsi" w:cstheme="minorHAnsi"/>
        </w:rPr>
      </w:pPr>
      <w:r>
        <w:rPr>
          <w:rFonts w:asciiTheme="minorHAnsi" w:hAnsiTheme="minorHAnsi" w:cstheme="minorHAnsi"/>
        </w:rPr>
        <w:t xml:space="preserve">The model adds no discount for managerial impatience, because the trade study is intended to investigate that behavior. A preference for near-term production would not establish impatience by itself: competitive position, uncertainty, and private information can also explain it.</w:t>
      </w:r>
    </w:p>
    <w:p>
      <w:pPr>
        <w:pStyle w:val="Heading2"/>
        <w:rPr>
          <w:rFonts w:asciiTheme="minorHAnsi" w:hAnsiTheme="minorHAnsi" w:cstheme="minorHAnsi"/>
        </w:rPr>
      </w:pPr>
      <w:r>
        <w:rPr>
          <w:rFonts w:asciiTheme="minorHAnsi" w:hAnsiTheme="minorHAnsi" w:cstheme="minorHAnsi"/>
        </w:rPr>
        <w:t xml:space="preserve">A worked contract</w:t>
      </w:r>
    </w:p>
    <w:p>
      <w:pPr>
        <w:rPr>
          <w:rFonts w:asciiTheme="minorHAnsi" w:hAnsiTheme="minorHAnsi" w:cstheme="minorHAnsi"/>
        </w:rPr>
      </w:pPr>
      <w:r>
        <w:rPr>
          <w:rFonts w:asciiTheme="minorHAnsi" w:hAnsiTheme="minorHAnsi" w:cstheme="minorHAnsi"/>
        </w:rPr>
        <w:t xml:space="preserve">Jonathan Marchessault’s five-year contract, valued on July 1, 2024, carries a $5.5 million cap hit. The 2024-25 ceiling was $88.0 million. Values are in millions of dollars.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1123"/>
        <w:gridCol w:w="1029"/>
        <w:gridCol w:w="1029"/>
        <w:gridCol w:w="1029"/>
        <w:gridCol w:w="1029"/>
        <w:gridCol w:w="1029"/>
        <w:gridCol w:w="1029"/>
        <w:gridCol w:w="1029"/>
        <w:gridCol w:w="1034"/>
      </w:tblGrid>
      <w:tr>
        <w:trPr>
          <w:tblHeader/>
          <w:cantSplit/>
        </w:trPr>
        <w:tc>
          <w:tcPr>
            <w:tcW w:w="1123"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Season</w:t>
            </w:r>
          </w:p>
        </w:tc>
        <w:tc>
          <w:tcPr>
            <w:tcW w:w="102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k</w:t>
            </w:r>
          </w:p>
        </w:tc>
        <w:tc>
          <w:tcPr>
            <w:tcW w:w="102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WAR if he plays</w:t>
            </w:r>
          </w:p>
        </w:tc>
        <w:tc>
          <w:tcPr>
            <w:tcW w:w="102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Price</w:t>
            </w:r>
          </w:p>
        </w:tc>
        <w:tc>
          <w:tcPr>
            <w:tcW w:w="102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Value, floor included</w:t>
            </w:r>
          </w:p>
        </w:tc>
        <w:tc>
          <w:tcPr>
            <w:tcW w:w="102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Chance of playing</w:t>
            </w:r>
          </w:p>
        </w:tc>
        <w:tc>
          <w:tcPr>
            <w:tcW w:w="102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Cap hit</w:t>
            </w:r>
          </w:p>
        </w:tc>
        <w:tc>
          <w:tcPr>
            <w:tcW w:w="102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Discount</w:t>
            </w:r>
          </w:p>
        </w:tc>
        <w:tc>
          <w:tcPr>
            <w:tcW w:w="103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Present value</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2024-25</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2.08</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6.33</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6.34</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0.988</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1.000</w:t>
            </w:r>
          </w:p>
        </w:tc>
        <w:tc>
          <w:tcPr>
            <w:tcW w:w="103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+0.76</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2025-26</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1.70</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5.45</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5.49</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0.976</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0.971</w:t>
            </w:r>
          </w:p>
        </w:tc>
        <w:tc>
          <w:tcPr>
            <w:tcW w:w="103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-0.14</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2026-27</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1.48</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5.00</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5.09</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0.945</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0.943</w:t>
            </w:r>
          </w:p>
        </w:tc>
        <w:tc>
          <w:tcPr>
            <w:tcW w:w="103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-0.65</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2027-28</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1.31</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4.63</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4.82</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0.881</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0.915</w:t>
            </w:r>
          </w:p>
        </w:tc>
        <w:tc>
          <w:tcPr>
            <w:tcW w:w="103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-1.15</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2028-29</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0.95</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3.66</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4.06</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0.782</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0.888</w:t>
            </w:r>
          </w:p>
        </w:tc>
        <w:tc>
          <w:tcPr>
            <w:tcW w:w="103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-2.07</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Total</w:t>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02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03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-3.24</w:t>
            </w:r>
          </w:p>
        </w:tc>
      </w:tr>
    </w:tbl>
    <w:p>
      <w:pPr>
        <w:spacing w:after="80"/>
      </w:pPr>
    </w:p>
    <w:p>
      <w:pPr>
        <w:rPr>
          <w:rFonts w:asciiTheme="minorHAnsi" w:hAnsiTheme="minorHAnsi" w:cstheme="minorHAnsi"/>
        </w:rPr>
      </w:pPr>
      <w:r>
        <w:rPr>
          <w:rFonts w:asciiTheme="minorHAnsi" w:hAnsiTheme="minorHAnsi" w:cstheme="minorHAnsi"/>
        </w:rPr>
        <w:t xml:space="preserve">For the first season, the price is (0.769% + 3.089% × 2.08) × $88.0 million = $6.33 million. The floor adjustment raises it to $6.34 million, and a 0.988 chance of playing weights it to $6.26 million. Less the $5.5 million cap hit, the surplus is $0.76 million, undiscounted because k is zero. The contract ends in unrestricted free agency, so there are no control years.</w:t>
      </w:r>
    </w:p>
    <w:p>
      <w:pPr>
        <w:rPr>
          <w:rFonts w:asciiTheme="minorHAnsi" w:hAnsiTheme="minorHAnsi" w:cstheme="minorHAnsi"/>
        </w:rPr>
      </w:pPr>
      <w:r>
        <w:rPr>
          <w:rFonts w:asciiTheme="minorHAnsi" w:hAnsiTheme="minorHAnsi" w:cstheme="minorHAnsi"/>
        </w:rPr>
        <w:t xml:space="preserve">The contract’s value is -$3.24 million: the cap hit exceeds the expected value of his production from the second season on, and by more each year as he ages. Without the chance of playing and discounting, the surplus would be -$1.70 million.</w:t>
      </w:r>
    </w:p>
    <w:p>
      <w:pPr>
        <w:pStyle w:val="Heading2"/>
        <w:rPr>
          <w:rFonts w:asciiTheme="minorHAnsi" w:hAnsiTheme="minorHAnsi" w:cstheme="minorHAnsi"/>
        </w:rPr>
      </w:pPr>
      <w:r>
        <w:rPr>
          <w:rFonts w:asciiTheme="minorHAnsi" w:hAnsiTheme="minorHAnsi" w:cstheme="minorHAnsi"/>
        </w:rPr>
        <w:t xml:space="preserve">What a negative value means</w:t>
      </w:r>
    </w:p>
    <w:p>
      <w:pPr>
        <w:rPr>
          <w:rFonts w:asciiTheme="minorHAnsi" w:hAnsiTheme="minorHAnsi" w:cstheme="minorHAnsi"/>
        </w:rPr>
      </w:pPr>
      <w:r>
        <w:rPr>
          <w:rFonts w:asciiTheme="minorHAnsi" w:hAnsiTheme="minorHAnsi" w:cstheme="minorHAnsi"/>
        </w:rPr>
        <w:t xml:space="preserve">A negative value means the contract costs more than the market price of its expected production. Team fit, private information, and avoiding a future negotiation may explain why a club still accepts it. The model also omits the cost of losing cap flexibility through a long commitment; adding that cost would lower long-contract values further.</w:t>
      </w:r>
    </w:p>
    <w:p>
      <w:pPr>
        <w:rPr>
          <w:rFonts w:asciiTheme="minorHAnsi" w:hAnsiTheme="minorHAnsi" w:cstheme="minorHAnsi"/>
        </w:rPr>
      </w:pPr>
      <w:r>
        <w:rPr>
          <w:rFonts w:asciiTheme="minorHAnsi" w:hAnsiTheme="minorHAnsi" w:cstheme="minorHAnsi"/>
        </w:rPr>
        <w:t xml:space="preserve">Long contracts are also where the forecast is weakest. In the development scoring of contract dollars, the 41 contracts of six to eight years were under-valued by an average of $5.72 million, against $4.09 million for the earlier version of the model. These figures were recorded before the age table’s older birthdates were restored.</w:t>
      </w:r>
    </w:p>
    <w:p>
      <w:pPr>
        <w:pStyle w:val="Heading1"/>
        <w:rPr>
          <w:rFonts w:asciiTheme="minorHAnsi" w:hAnsiTheme="minorHAnsi" w:cstheme="minorHAnsi"/>
        </w:rPr>
      </w:pPr>
      <w:r>
        <w:rPr>
          <w:rFonts w:asciiTheme="minorHAnsi" w:hAnsiTheme="minorHAnsi" w:cstheme="minorHAnsi"/>
        </w:rPr>
        <w:t xml:space="preserve">5. Value after an RFA Contract Expires</w:t>
      </w:r>
    </w:p>
    <w:p>
      <w:pPr>
        <w:rPr>
          <w:rFonts w:asciiTheme="minorHAnsi" w:hAnsiTheme="minorHAnsi" w:cstheme="minorHAnsi"/>
        </w:rPr>
      </w:pPr>
      <w:r>
        <w:rPr>
          <w:rFonts w:asciiTheme="minorHAnsi" w:hAnsiTheme="minorHAnsi" w:cstheme="minorHAnsi"/>
        </w:rPr>
        <w:t xml:space="preserve">Terminal value is the expected surplus from team control after the contract expires. An expiry into unrestricted free agency receives zero, because the club keeps no rights. For an expiry into restricted free agency, the model values each remaining control year until the player reaches unrestricted free agency.</w:t>
      </w:r>
    </w:p>
    <w:p>
      <w:pPr>
        <w:pStyle w:val="Heading2"/>
        <w:rPr>
          <w:rFonts w:asciiTheme="minorHAnsi" w:hAnsiTheme="minorHAnsi" w:cstheme="minorHAnsi"/>
        </w:rPr>
      </w:pPr>
      <w:r>
        <w:rPr>
          <w:rFonts w:asciiTheme="minorHAnsi" w:hAnsiTheme="minorHAnsi" w:cstheme="minorHAnsi"/>
        </w:rPr>
        <w:t xml:space="preserve">Value and cost in a control year</w:t>
      </w:r>
    </w:p>
    <w:p>
      <w:pPr>
        <w:rPr>
          <w:rFonts w:asciiTheme="minorHAnsi" w:hAnsiTheme="minorHAnsi" w:cstheme="minorHAnsi"/>
        </w:rPr>
      </w:pPr>
      <w:r>
        <w:rPr>
          <w:rFonts w:asciiTheme="minorHAnsi" w:hAnsiTheme="minorHAnsi" w:cstheme="minorHAnsi"/>
        </w:rPr>
        <w:t xml:space="preserve">Each control year’s production is the same forecast’s WAR if he plays for that season, priced on the same line, cap path, and minimum. The control years apply the minimum directly to the point price, without the uncertainty adjustment of Section 2.</w:t>
      </w:r>
    </w:p>
    <w:p>
      <w:pPr>
        <w:rPr>
          <w:rFonts w:asciiTheme="minorHAnsi" w:hAnsiTheme="minorHAnsi" w:cstheme="minorHAnsi"/>
        </w:rPr>
      </w:pPr>
      <w:r>
        <w:rPr>
          <w:rFonts w:asciiTheme="minorHAnsi" w:hAnsiTheme="minorHAnsi" w:cstheme="minorHAnsi"/>
        </w:rPr>
        <w:t xml:space="preserve">The cost is the qualifying offer. The model assumes the player stays on successive one-year qualifying offers. Each offer starts from the previous year’s base salary and applies the relevant percentage, salary minimum, and cap for that collective agreement. For example, a $900,000 base salary produces a $945,000 offer before any minimum-salary adjustment. Later offers are calculated from the preceding modeled offer.</w:t>
      </w:r>
    </w:p>
    <w:p>
      <w:pPr>
        <w:rPr>
          <w:rFonts w:asciiTheme="minorHAnsi" w:hAnsiTheme="minorHAnsi" w:cstheme="minorHAnsi"/>
        </w:rPr>
      </w:pPr>
      <w:r>
        <w:rPr>
          <w:rFonts w:asciiTheme="minorHAnsi" w:hAnsiTheme="minorHAnsi" w:cstheme="minorHAnsi"/>
        </w:rPr>
        <w:t xml:space="preserve">If the expiring contract’s final-year base salary is missing, the model uses the highest recorded base salary on that contract, then average annual value if no base salary is available. These substitutes were needed in 355 of the 1,439 deals checked and may differ from the salary that should determine the offer. The model uses the contract’s starting season in place of its signing date when deciding whether the 120%-of-cap-hit limit applies.</w:t>
      </w:r>
    </w:p>
    <w:p>
      <w:pPr>
        <w:rPr>
          <w:rFonts w:asciiTheme="minorHAnsi" w:hAnsiTheme="minorHAnsi" w:cstheme="minorHAnsi"/>
        </w:rPr>
      </w:pPr>
      <w:r>
        <w:rPr>
          <w:rFonts w:asciiTheme="minorHAnsi" w:hAnsiTheme="minorHAnsi" w:cstheme="minorHAnsi"/>
        </w:rPr>
        <w:t xml:space="preserve">Actual renewals can involve arbitration or negotiated salaries and terms. Among 1,439 RFA-expiring deals with an observed next contract, the next cap hit equaled or exceeded the modeled offer in 48.3% of cases. The median difference was -$10,000 and the mean +$690,000: the typical renewal came close to the offer, but more expensive renewals raised the average substantially. Where retention costs exceed the offer, the model overstates surplus.</w:t>
      </w:r>
    </w:p>
    <w:p>
      <w:pPr>
        <w:pStyle w:val="Heading2"/>
        <w:rPr>
          <w:rFonts w:asciiTheme="minorHAnsi" w:hAnsiTheme="minorHAnsi" w:cstheme="minorHAnsi"/>
        </w:rPr>
      </w:pPr>
      <w:r>
        <w:rPr>
          <w:rFonts w:asciiTheme="minorHAnsi" w:hAnsiTheme="minorHAnsi" w:cstheme="minorHAnsi"/>
        </w:rPr>
        <w:t xml:space="preserve">Players the club lets go</w:t>
      </w:r>
    </w:p>
    <w:p>
      <w:pPr>
        <w:rPr>
          <w:rFonts w:asciiTheme="minorHAnsi" w:hAnsiTheme="minorHAnsi" w:cstheme="minorHAnsi"/>
        </w:rPr>
      </w:pPr>
      <w:r>
        <w:rPr>
          <w:rFonts w:asciiTheme="minorHAnsi" w:hAnsiTheme="minorHAnsi" w:cstheme="minorHAnsi"/>
        </w:rPr>
        <w:t xml:space="preserve">A club qualifies a player only while he is worth more than the offer. The model stops counting control years at the first year in which his projected value falls below the qualifying offer, because once a club lets a player go, a later improvement cannot restore the lost rights. In the validation run, this rule binds for 0.8% of RFA-expiring contracts.</w:t>
      </w:r>
    </w:p>
    <w:p>
      <w:pPr>
        <w:rPr>
          <w:rFonts w:asciiTheme="minorHAnsi" w:hAnsiTheme="minorHAnsi" w:cstheme="minorHAnsi"/>
        </w:rPr>
      </w:pPr>
      <w:r>
        <w:rPr>
          <w:rFonts w:asciiTheme="minorHAnsi" w:hAnsiTheme="minorHAnsi" w:cstheme="minorHAnsi"/>
        </w:rPr>
        <w:t xml:space="preserve">Positive modeled surplus does not guarantee that the club keeps the player; the line by itself makes many marginal players look worth retaining when clubs let them go. The model therefore weights each control year by the observed rate at which clubs qualified players of similar quality. The rates come from 2,270 qualify-or-walk decisions on contracts ending from 2018 to 2024. Each decision is grouped by the forecast of the player’s WAR if he plays in the season after the contract ended, the same quantity the rates are later applied to: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2059"/>
        <w:gridCol w:w="2059"/>
        <w:gridCol w:w="2060"/>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Group</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Forecast WAR</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Qualified</w:t>
            </w:r>
          </w:p>
        </w:tc>
        <w:tc>
          <w:tcPr>
            <w:tcW w:w="206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Decisions</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Star</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 or more</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100.0%</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Regular</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 to 3</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94.3%</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176</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Fringe</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 to 1</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77.4%</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1,048</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Below replacement, or no forecast</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below 0</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64.6%</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1,036</w:t>
            </w:r>
          </w:p>
        </w:tc>
      </w:tr>
    </w:tbl>
    <w:p>
      <w:pPr>
        <w:spacing w:after="80"/>
      </w:pPr>
    </w:p>
    <w:p>
      <w:pPr>
        <w:rPr>
          <w:rFonts w:asciiTheme="minorHAnsi" w:hAnsiTheme="minorHAnsi" w:cstheme="minorHAnsi"/>
        </w:rPr>
      </w:pPr>
      <w:r>
        <w:rPr>
          <w:rFonts w:asciiTheme="minorHAnsi" w:hAnsiTheme="minorHAnsi" w:cstheme="minorHAnsi"/>
        </w:rPr>
        <w:t xml:space="preserve">A player with no forecast had no qualifying NHL season in the three before the decision, which is evidence that he could not hold an NHL job, so he is grouped with the players below replacement. Across all decisions, clubs walked away from 27.0% of players. The 100% star rate rests on ten decisions and treats that small sample’s outcome as certain.</w:t>
      </w:r>
    </w:p>
    <w:p>
      <w:pPr>
        <w:rPr>
          <w:rFonts w:asciiTheme="minorHAnsi" w:hAnsiTheme="minorHAnsi" w:cstheme="minorHAnsi"/>
        </w:rPr>
      </w:pPr>
      <w:r>
        <w:rPr>
          <w:rFonts w:asciiTheme="minorHAnsi" w:hAnsiTheme="minorHAnsi" w:cstheme="minorHAnsi"/>
        </w:rPr>
        <w:t xml:space="preserve">Each control year’s rate is chosen by that year’s forecast, and the rates compound: with $1 million of annual surplus and an 80% rate, the model counts $800,000 in the first control year and $640,000 in the second, before discounting. Reaching the second year requires retention in both.</w:t>
      </w:r>
    </w:p>
    <w:p>
      <w:pPr>
        <w:rPr>
          <w:rFonts w:asciiTheme="minorHAnsi" w:hAnsiTheme="minorHAnsi" w:cstheme="minorHAnsi"/>
        </w:rPr>
      </w:pPr>
      <w:r>
        <w:rPr>
          <w:rFonts w:asciiTheme="minorHAnsi" w:hAnsiTheme="minorHAnsi" w:cstheme="minorHAnsi"/>
        </w:rPr>
        <w:t xml:space="preserve">The qualification rates replace the chance of playing in the control years, because a decision to qualify already reflects whether the player is still playing. The chain starts at the expiry without carrying forward the chance that he did not play the contract’s final season; this remains unresolved.</w:t>
      </w:r>
    </w:p>
    <w:p>
      <w:pPr>
        <w:pStyle w:val="Heading1"/>
        <w:rPr>
          <w:rFonts w:asciiTheme="minorHAnsi" w:hAnsiTheme="minorHAnsi" w:cstheme="minorHAnsi"/>
        </w:rPr>
      </w:pPr>
      <w:r>
        <w:rPr>
          <w:rFonts w:asciiTheme="minorHAnsi" w:hAnsiTheme="minorHAnsi" w:cstheme="minorHAnsi"/>
        </w:rPr>
        <w:t xml:space="preserve">6. Goaltenders</w:t>
      </w:r>
    </w:p>
    <w:p>
      <w:pPr>
        <w:rPr>
          <w:rFonts w:asciiTheme="minorHAnsi" w:hAnsiTheme="minorHAnsi" w:cstheme="minorHAnsi"/>
        </w:rPr>
      </w:pPr>
      <w:r>
        <w:rPr>
          <w:rFonts w:asciiTheme="minorHAnsi" w:hAnsiTheme="minorHAnsi" w:cstheme="minorHAnsi"/>
        </w:rPr>
        <w:t xml:space="preserve">Goalie performance is much less stable from year to year than skater performance, and goalies have a separate, simpler model. It has not been rebuilt with the skater forecast.</w:t>
      </w:r>
    </w:p>
    <w:p>
      <w:pPr>
        <w:rPr>
          <w:rFonts w:asciiTheme="minorHAnsi" w:hAnsiTheme="minorHAnsi" w:cstheme="minorHAnsi"/>
        </w:rPr>
      </w:pPr>
      <w:r>
        <w:rPr>
          <w:rFonts w:asciiTheme="minorHAnsi" w:hAnsiTheme="minorHAnsi" w:cstheme="minorHAnsi"/>
        </w:rPr>
        <w:t xml:space="preserve">The calculation starts with a weighted average of the goalie’s previous three seasons: 50% on the most recent, 30% on the second, and 20% on the third. With only two seasons, the weights become 60% and 40%; with only the preceding season, that season supplies the baseline. These calculations require the immediately preceding season, although a separate carry-back rule can recover an older baseline, within three seasons, when recent history is missing. A goalie on a carried-back baseline is pulled toward 0.65 WAR, the average of such goalies who played again, and his value is weighted by 0.312, the share of them who did. The skater requirement of at least ten games does not apply.</w:t>
      </w:r>
    </w:p>
    <w:p>
      <w:pPr>
        <w:rPr>
          <w:rFonts w:asciiTheme="minorHAnsi" w:hAnsiTheme="minorHAnsi" w:cstheme="minorHAnsi"/>
        </w:rPr>
      </w:pPr>
      <w:r>
        <w:rPr>
          <w:rFonts w:asciiTheme="minorHAnsi" w:hAnsiTheme="minorHAnsi" w:cstheme="minorHAnsi"/>
        </w:rPr>
        <w:t xml:space="preserve">The projection then combines 35% of the goalie’s own baseline with 65% of the league mean, approximately 2.19 goalie WAR. For example, a goalie with a baseline of 4.0 wins receives a projection of 0.35 × 4.0 + 0.65 × 2.19 = 2.82 wins. Validation kept each goalie’s records together when separating training and test samples, and it supported placing 65% of the projection on the league mean. The projection stays constant through the contract because the model has no fitted goalie aging curve. Validation supports the blend, not the choice to hold production constant.</w:t>
      </w:r>
    </w:p>
    <w:p>
      <w:pPr>
        <w:rPr>
          <w:rFonts w:asciiTheme="minorHAnsi" w:hAnsiTheme="minorHAnsi" w:cstheme="minorHAnsi"/>
        </w:rPr>
      </w:pPr>
      <w:r>
        <w:rPr>
          <w:rFonts w:asciiTheme="minorHAnsi" w:hAnsiTheme="minorHAnsi" w:cstheme="minorHAnsi"/>
        </w:rPr>
        <w:t xml:space="preserve">A goalie’s chance of reaching each future season is a chained exit probability by quality and age, estimated once on 2018-2024 transitions. Unlike the skater forecast, these rates include seasons after some valuation dates, and the valuation season is treated as certain. A goalie with no usable history is left unpriced.</w:t>
      </w:r>
    </w:p>
    <w:p>
      <w:pPr>
        <w:rPr>
          <w:rFonts w:asciiTheme="minorHAnsi" w:hAnsiTheme="minorHAnsi" w:cstheme="minorHAnsi"/>
        </w:rPr>
      </w:pPr>
      <w:r>
        <w:rPr>
          <w:rFonts w:asciiTheme="minorHAnsi" w:hAnsiTheme="minorHAnsi" w:cstheme="minorHAnsi"/>
        </w:rPr>
        <w:t xml:space="preserve">The goalie price line assigns 1.391% of the cap at zero WAR, plus 1.059% of the cap per goalie WAR. It uses an ordinary least-squares regression, which fits salary to production without the skater line’s treatment of minimum-salary contracts. Goalie values apply the minimum without the uncertainty adjustment, and goalie control years carry no qualification rates. These differences limit comparability, even though both models express surplus in dollars.</w:t>
      </w:r>
    </w:p>
    <w:sectPr w:rsidR="00112D33" w:rsidRPr="00DB35A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09126F"/>
    <w:rsid w:val="00112D33"/>
    <w:rsid w:val="00240904"/>
    <w:rsid w:val="002F0D96"/>
    <w:rsid w:val="004341A2"/>
    <w:rsid w:val="004F5377"/>
    <w:rsid w:val="00532929"/>
    <w:rsid w:val="00563F95"/>
    <w:rsid w:val="00590D4F"/>
    <w:rsid w:val="005C0F74"/>
    <w:rsid w:val="006034F5"/>
    <w:rsid w:val="00636594"/>
    <w:rsid w:val="006406F0"/>
    <w:rsid w:val="00660853"/>
    <w:rsid w:val="00775321"/>
    <w:rsid w:val="007E751A"/>
    <w:rsid w:val="00831EFC"/>
    <w:rsid w:val="0091049F"/>
    <w:rsid w:val="009105B3"/>
    <w:rsid w:val="00B229B1"/>
    <w:rsid w:val="00C444E1"/>
    <w:rsid w:val="00C97F34"/>
    <w:rsid w:val="00CD25AD"/>
    <w:rsid w:val="00DB35A9"/>
    <w:rsid w:val="00DE0F1A"/>
    <w:rsid w:val="00E20E0A"/>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2F19C"/>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1</Pages>
  <Words>1995</Words>
  <Characters>11372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19</cp:revision>
  <dcterms:created xsi:type="dcterms:W3CDTF">2026-09-09T20:55:00Z</dcterms:created>
  <dcterms:modified xsi:type="dcterms:W3CDTF">2026-09-11T18:10:00Z</dcterms:modified>
</cp:coreProperties>
</file>