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rPr>
          <w:rFonts w:asciiTheme="minorHAnsi" w:hAnsiTheme="minorHAnsi" w:cstheme="minorHAnsi"/>
        </w:rPr>
      </w:pPr>
      <w:r>
        <w:rPr>
          <w:rFonts w:asciiTheme="minorHAnsi" w:hAnsiTheme="minorHAnsi" w:cstheme="minorHAnsi"/>
        </w:rPr>
        <w:t xml:space="preserve">Data, Production, and Aging</w:t>
      </w:r>
    </w:p>
    <w:p>
      <w:pPr>
        <w:rPr>
          <w:rFonts w:asciiTheme="minorHAnsi" w:hAnsiTheme="minorHAnsi" w:cstheme="minorHAnsi"/>
        </w:rPr>
      </w:pPr>
      <w:r>
        <w:rPr>
          <w:rFonts w:asciiTheme="minorHAnsi" w:hAnsiTheme="minorHAnsi" w:cstheme="minorHAnsi"/>
        </w:rPr>
        <w:t xml:space="preserve">A contract’s value depends on what the player will produce in each season it has left, and none of those seasons has been played when the contract is valued. The model therefore forecasts each remaining season from what was known on the valuation date. Production is measured with Patrick Bacon’s wins above replacement (WAR). The pricing document turns these forecasts into dollars, deducts the cap hit, and discounts each season to the valuation date.</w:t>
      </w:r>
    </w:p>
    <w:p>
      <w:pPr>
        <w:rPr>
          <w:rFonts w:asciiTheme="minorHAnsi" w:hAnsiTheme="minorHAnsi" w:cstheme="minorHAnsi"/>
        </w:rPr>
      </w:pPr>
      <w:r>
        <w:rPr>
          <w:rFonts w:asciiTheme="minorHAnsi" w:hAnsiTheme="minorHAnsi" w:cstheme="minorHAnsi"/>
        </w:rPr>
        <w:t xml:space="preserve">The forecast answers three separate questions for each future season. How productive will the player be per game if he plays? What share of his team’s games will he play? Will he play in the NHL at all? Expected production is the product of the three answers. Keeping them apart matters because they fail in different ways: a declining veteran loses rate, an injured player loses games, and a retiring player loses the season entirely.</w:t>
      </w:r>
    </w:p>
    <w:p>
      <w:pPr>
        <w:pStyle w:val="Heading1"/>
        <w:rPr>
          <w:rFonts w:asciiTheme="minorHAnsi" w:hAnsiTheme="minorHAnsi" w:cstheme="minorHAnsi"/>
        </w:rPr>
      </w:pPr>
      <w:r>
        <w:rPr>
          <w:rFonts w:asciiTheme="minorHAnsi" w:hAnsiTheme="minorHAnsi" w:cstheme="minorHAnsi"/>
        </w:rPr>
        <w:t xml:space="preserve">1. Joining the Data</w:t>
      </w:r>
    </w:p>
    <w:p>
      <w:pPr>
        <w:rPr>
          <w:rFonts w:asciiTheme="minorHAnsi" w:hAnsiTheme="minorHAnsi" w:cstheme="minorHAnsi"/>
        </w:rPr>
      </w:pPr>
      <w:r>
        <w:rPr>
          <w:rFonts w:asciiTheme="minorHAnsi" w:hAnsiTheme="minorHAnsi" w:cstheme="minorHAnsi"/>
        </w:rPr>
        <w:t xml:space="preserve">The player model combines performance records, ages, and contract terms from different sources. Their identifiers do not line up consistently, so names and positions connect the records. Accents and spelling variants are standardized, and known same-name players are kept apart by hand; for example, the two Elias Petterssons, a forward and a defenceman, carry separate career keys. Two names under which the source merged different players are dropped, because their records cannot safely be priced.</w:t>
      </w:r>
    </w:p>
    <w:p>
      <w:pPr>
        <w:rPr>
          <w:rFonts w:asciiTheme="minorHAnsi" w:hAnsiTheme="minorHAnsi" w:cstheme="minorHAnsi"/>
        </w:rPr>
      </w:pPr>
      <w:r>
        <w:rPr>
          <w:rFonts w:asciiTheme="minorHAnsi" w:hAnsiTheme="minorHAnsi" w:cstheme="minorHAnsi"/>
        </w:rPr>
        <w:t xml:space="preserve">PuckPedia supplies contract terms and the trade ledger. Patrick Bacon supplies player production throughout the valuation model. Trade-protection clauses come from a separate scrape, checked against a second clause source, while the NHL game and shift records support Game Value. Keeping one provider for player production avoids combining wins measured on different scales. Game Value has a separate role as an allocation measure, as explained in the Circularity document.</w:t>
      </w:r>
    </w:p>
    <w:p>
      <w:pPr>
        <w:rPr>
          <w:rFonts w:asciiTheme="minorHAnsi" w:hAnsiTheme="minorHAnsi" w:cstheme="minorHAnsi"/>
        </w:rPr>
      </w:pPr>
      <w:r>
        <w:rPr>
          <w:rFonts w:asciiTheme="minorHAnsi" w:hAnsiTheme="minorHAnsi" w:cstheme="minorHAnsi"/>
        </w:rPr>
        <w:t xml:space="preserve">A traded player’s team records belong to one season and are added together before anything else is computed. The code stops if the combined games exceed a full season, which would indicate that two players had been merged.</w:t>
      </w:r>
    </w:p>
    <w:p>
      <w:pPr>
        <w:rPr>
          <w:rFonts w:asciiTheme="minorHAnsi" w:hAnsiTheme="minorHAnsi" w:cstheme="minorHAnsi"/>
        </w:rPr>
      </w:pPr>
      <w:r>
        <w:rPr>
          <w:rFonts w:asciiTheme="minorHAnsi" w:hAnsiTheme="minorHAnsi" w:cstheme="minorHAnsi"/>
        </w:rPr>
        <w:t xml:space="preserve">The model builds one table with a row for each player and season. Each row carries the season’s WAR, games played, the player’s rate of WAR per 82 games, and his games share, which is the share of his team’s scheduled games he played. In the shortened 2019-20 and 2020-21 seasons, the season total is scaled to an 82-game basis, and the games share is measured against the 70-game and 56-game schedules. The two adjustments are built to cancel, so that the season total always equals the rate per 82 games times the games share. The code checks this identity on each row, because the forecast later rebuilds season totals from exactly these two parts.</w:t>
      </w:r>
    </w:p>
    <w:p>
      <w:pPr>
        <w:rPr>
          <w:rFonts w:asciiTheme="minorHAnsi" w:hAnsiTheme="minorHAnsi" w:cstheme="minorHAnsi"/>
        </w:rPr>
      </w:pPr>
      <w:r>
        <w:rPr>
          <w:rFonts w:asciiTheme="minorHAnsi" w:hAnsiTheme="minorHAnsi" w:cstheme="minorHAnsi"/>
        </w:rPr>
        <w:t xml:space="preserve">Age is measured in whole years on February 1 of the season’s ending year. The age table carries a birthdate for 99.9% of season rows, and the forecast refuses to run on a table below 99%.</w:t>
      </w:r>
    </w:p>
    <w:p>
      <w:pPr>
        <w:rPr>
          <w:rFonts w:asciiTheme="minorHAnsi" w:hAnsiTheme="minorHAnsi" w:cstheme="minorHAnsi"/>
        </w:rPr>
      </w:pPr>
      <w:r>
        <w:rPr>
          <w:rFonts w:asciiTheme="minorHAnsi" w:hAnsiTheme="minorHAnsi" w:cstheme="minorHAnsi"/>
        </w:rPr>
        <w:t xml:space="preserve">The trade inventory contains 980 export rows grouped into 946 events, including linked legs of facilitated transactions. There is only one trade from the intended 2017-18 season, dated June 23, 2018, so coverage effectively begins in 2018-19. Completeness has not been checked against an independent trade source.</w:t>
      </w:r>
    </w:p>
    <w:p>
      <w:pPr>
        <w:pStyle w:val="Heading1"/>
        <w:rPr>
          <w:rFonts w:asciiTheme="minorHAnsi" w:hAnsiTheme="minorHAnsi" w:cstheme="minorHAnsi"/>
        </w:rPr>
      </w:pPr>
      <w:r>
        <w:rPr>
          <w:rFonts w:asciiTheme="minorHAnsi" w:hAnsiTheme="minorHAnsi" w:cstheme="minorHAnsi"/>
        </w:rPr>
        <w:t xml:space="preserve">2. What the Model Forecasts, and When</w:t>
      </w:r>
    </w:p>
    <w:p>
      <w:pPr>
        <w:pStyle w:val="Heading2"/>
        <w:rPr>
          <w:rFonts w:asciiTheme="minorHAnsi" w:hAnsiTheme="minorHAnsi" w:cstheme="minorHAnsi"/>
        </w:rPr>
      </w:pPr>
      <w:r>
        <w:rPr>
          <w:rFonts w:asciiTheme="minorHAnsi" w:hAnsiTheme="minorHAnsi" w:cstheme="minorHAnsi"/>
        </w:rPr>
        <w:t xml:space="preserve">The three parts of a season</w:t>
      </w:r>
    </w:p>
    <w:p>
      <w:pPr>
        <w:rPr>
          <w:rFonts w:asciiTheme="minorHAnsi" w:hAnsiTheme="minorHAnsi" w:cstheme="minorHAnsi"/>
        </w:rPr>
      </w:pPr>
      <w:r>
        <w:rPr>
          <w:rFonts w:asciiTheme="minorHAnsi" w:hAnsiTheme="minorHAnsi" w:cstheme="minorHAnsi"/>
        </w:rPr>
        <w:t xml:space="preserve">For a player valued at the start of season t, and each season k years later (k = 0 is the valuation season itself), the model forecasts:</w:t>
      </w:r>
    </w:p>
    <w:p>
      <w:pPr>
        <w:numPr>
          <w:ilvl w:val="0"/>
          <w:numId w:val="1"/>
        </w:numPr>
        <w:spacing w:after="80"/>
        <w:ind w:left="720" w:hanging="360"/>
        <w:rPr>
          <w:rFonts w:asciiTheme="minorHAnsi" w:hAnsiTheme="minorHAnsi" w:cstheme="minorHAnsi"/>
        </w:rPr>
      </w:pPr>
      <w:r>
        <w:rPr>
          <w:rFonts w:asciiTheme="minorHAnsi" w:hAnsiTheme="minorHAnsi" w:cstheme="minorHAnsi"/>
        </w:rPr>
        <w:t xml:space="preserve">the rate, his WAR per 82 games if he plays;</w:t>
      </w:r>
    </w:p>
    <w:p>
      <w:pPr>
        <w:numPr>
          <w:ilvl w:val="0"/>
          <w:numId w:val="1"/>
        </w:numPr>
        <w:spacing w:after="80"/>
        <w:ind w:left="720" w:hanging="360"/>
        <w:rPr>
          <w:rFonts w:asciiTheme="minorHAnsi" w:hAnsiTheme="minorHAnsi" w:cstheme="minorHAnsi"/>
        </w:rPr>
      </w:pPr>
      <w:r>
        <w:rPr>
          <w:rFonts w:asciiTheme="minorHAnsi" w:hAnsiTheme="minorHAnsi" w:cstheme="minorHAnsi"/>
        </w:rPr>
        <w:t xml:space="preserve">the games share, the share of his team’s games he plays if he plays;</w:t>
      </w:r>
    </w:p>
    <w:p>
      <w:pPr>
        <w:numPr>
          <w:ilvl w:val="0"/>
          <w:numId w:val="1"/>
        </w:numPr>
        <w:spacing w:after="80"/>
        <w:ind w:left="720" w:hanging="360"/>
        <w:rPr>
          <w:rFonts w:asciiTheme="minorHAnsi" w:hAnsiTheme="minorHAnsi" w:cstheme="minorHAnsi"/>
        </w:rPr>
      </w:pPr>
      <w:r>
        <w:rPr>
          <w:rFonts w:asciiTheme="minorHAnsi" w:hAnsiTheme="minorHAnsi" w:cstheme="minorHAnsi"/>
        </w:rPr>
        <w:t xml:space="preserve">the chance of playing, the probability that he appears in at least one NHL game that season.</w:t>
      </w:r>
    </w:p>
    <w:p>
      <w:pPr>
        <w:rPr>
          <w:rFonts w:asciiTheme="minorHAnsi" w:hAnsiTheme="minorHAnsi" w:cstheme="minorHAnsi"/>
        </w:rPr>
      </w:pPr>
      <w:r>
        <w:rPr>
          <w:rFonts w:asciiTheme="minorHAnsi" w:hAnsiTheme="minorHAnsi" w:cstheme="minorHAnsi"/>
        </w:rPr>
        <w:t xml:space="preserve">His WAR if he plays is the rate times the games share. His expected WAR is the chance of playing times that:</w:t>
      </w:r>
    </w:p>
    <w:p>
      <w:pPr>
        <w:spacing w:after="200"/>
        <w:ind w:left="720"/>
        <w:rPr>
          <w:rFonts w:asciiTheme="minorHAnsi" w:hAnsiTheme="minorHAnsi" w:cstheme="minorHAnsi"/>
        </w:rPr>
      </w:pPr>
      <w:r>
        <w:rPr>
          <w:rFonts w:asciiTheme="minorHAnsi" w:hAnsiTheme="minorHAnsi" w:cstheme="minorHAnsi"/>
          <w:i/>
        </w:rPr>
        <w:t xml:space="preserve">expected WAR in season k = chance of playing(k) × rate(k) × games share(k)</w:t>
      </w:r>
    </w:p>
    <w:p>
      <w:pPr>
        <w:rPr>
          <w:rFonts w:asciiTheme="minorHAnsi" w:hAnsiTheme="minorHAnsi" w:cstheme="minorHAnsi"/>
        </w:rPr>
      </w:pPr>
      <w:r>
        <w:rPr>
          <w:rFonts w:asciiTheme="minorHAnsi" w:hAnsiTheme="minorHAnsi" w:cstheme="minorHAnsi"/>
        </w:rPr>
        <w:t xml:space="preserve">The valuation season is forecast in the same way as later seasons. On July 1 it has not been played, and in the development sample 21% of the players being valued did not play in it.</w:t>
      </w:r>
    </w:p>
    <w:p>
      <w:pPr>
        <w:pStyle w:val="Heading2"/>
        <w:rPr>
          <w:rFonts w:asciiTheme="minorHAnsi" w:hAnsiTheme="minorHAnsi" w:cstheme="minorHAnsi"/>
        </w:rPr>
      </w:pPr>
      <w:r>
        <w:rPr>
          <w:rFonts w:asciiTheme="minorHAnsi" w:hAnsiTheme="minorHAnsi" w:cstheme="minorHAnsi"/>
        </w:rPr>
        <w:t xml:space="preserve">Each fit sees only earlier seasons</w:t>
      </w:r>
    </w:p>
    <w:p>
      <w:pPr>
        <w:rPr>
          <w:rFonts w:asciiTheme="minorHAnsi" w:hAnsiTheme="minorHAnsi" w:cstheme="minorHAnsi"/>
        </w:rPr>
      </w:pPr>
      <w:r>
        <w:rPr>
          <w:rFonts w:asciiTheme="minorHAnsi" w:hAnsiTheme="minorHAnsi" w:cstheme="minorHAnsi"/>
        </w:rPr>
        <w:t xml:space="preserve">A valuation is dated July 1 of the valuation season. On that date the model may use a season only if it finished at least 30 days earlier, which allows time for the season’s WAR to be published. The valuation season is never available, and the code asserts this on each valuation date.</w:t>
      </w:r>
    </w:p>
    <w:p>
      <w:pPr>
        <w:rPr>
          <w:rFonts w:asciiTheme="minorHAnsi" w:hAnsiTheme="minorHAnsi" w:cstheme="minorHAnsi"/>
        </w:rPr>
      </w:pPr>
      <w:r>
        <w:rPr>
          <w:rFonts w:asciiTheme="minorHAnsi" w:hAnsiTheme="minorHAnsi" w:cstheme="minorHAnsi"/>
        </w:rPr>
        <w:t xml:space="preserve">The rule applies to the fitted parts of the model as well as to the player’s own record. The model is refitted for each valuation date, using only player-seasons whose outcome had finished by then. This covers the aging curve and its comparables, the league rates the starting rate falls back on, the games-share regressions, and the chance-of-playing regressions. For example, the 2024 valuation fits each of them on seasons up to 2023-24, and the 2018 valuation on seasons up to 2017-18. No fitted relationship carries information from after the valuation date.</w:t>
      </w:r>
    </w:p>
    <w:p>
      <w:pPr>
        <w:pStyle w:val="Heading1"/>
        <w:rPr>
          <w:rFonts w:asciiTheme="minorHAnsi" w:hAnsiTheme="minorHAnsi" w:cstheme="minorHAnsi"/>
        </w:rPr>
      </w:pPr>
      <w:r>
        <w:rPr>
          <w:rFonts w:asciiTheme="minorHAnsi" w:hAnsiTheme="minorHAnsi" w:cstheme="minorHAnsi"/>
        </w:rPr>
        <w:t xml:space="preserve">3. The Starting Rate</w:t>
      </w:r>
    </w:p>
    <w:p>
      <w:pPr>
        <w:rPr>
          <w:rFonts w:asciiTheme="minorHAnsi" w:hAnsiTheme="minorHAnsi" w:cstheme="minorHAnsi"/>
        </w:rPr>
      </w:pPr>
      <w:r>
        <w:rPr>
          <w:rFonts w:asciiTheme="minorHAnsi" w:hAnsiTheme="minorHAnsi" w:cstheme="minorHAnsi"/>
        </w:rPr>
        <w:t xml:space="preserve">The starting rate is the model’s estimate of the player’s rate in the valuation season. Each later season is built from it, so an error here carries through the whole contract. The model builds it in three steps: it measures his own recent rate, pulls that rate toward the level of similar players, and moves the result forward to his age in the valuation season. The weights in each step are fixed in advance rather than estimated by a regression.</w:t>
      </w:r>
    </w:p>
    <w:p>
      <w:pPr>
        <w:pStyle w:val="Heading2"/>
        <w:rPr>
          <w:rFonts w:asciiTheme="minorHAnsi" w:hAnsiTheme="minorHAnsi" w:cstheme="minorHAnsi"/>
        </w:rPr>
      </w:pPr>
      <w:r>
        <w:rPr>
          <w:rFonts w:asciiTheme="minorHAnsi" w:hAnsiTheme="minorHAnsi" w:cstheme="minorHAnsi"/>
        </w:rPr>
        <w:t xml:space="preserve">Step 1: his own rate over three seasons</w:t>
      </w:r>
    </w:p>
    <w:p>
      <w:pPr>
        <w:rPr>
          <w:rFonts w:asciiTheme="minorHAnsi" w:hAnsiTheme="minorHAnsi" w:cstheme="minorHAnsi"/>
        </w:rPr>
      </w:pPr>
      <w:r>
        <w:rPr>
          <w:rFonts w:asciiTheme="minorHAnsi" w:hAnsiTheme="minorHAnsi" w:cstheme="minorHAnsi"/>
        </w:rPr>
        <w:t xml:space="preserve">Any single season is a noisy reading of a player’s ability. The model therefore averages his WAR per 82 games over the three seasons before the valuation season, weighting the most recent season 50%, the one before it 30%, and the one before that 20%. A season counts if he played at least ten games in it. A player with no ten-game season among those three has no forecast and is not priced.</w:t>
      </w:r>
    </w:p>
    <w:p>
      <w:pPr>
        <w:rPr>
          <w:rFonts w:asciiTheme="minorHAnsi" w:hAnsiTheme="minorHAnsi" w:cstheme="minorHAnsi"/>
        </w:rPr>
      </w:pPr>
      <w:r>
        <w:rPr>
          <w:rFonts w:asciiTheme="minorHAnsi" w:hAnsiTheme="minorHAnsi" w:cstheme="minorHAnsi"/>
        </w:rPr>
        <w:t xml:space="preserve">Each season’s weight is also multiplied by the games he played in it, because a rate built on 30 games is a noisier reading than one built on 80. If a season is missing or under ten games, it drops out and the remaining weights are rescaled, so a missing season is not counted as zero production. With one counted season, that season’s rate is his own rate.</w:t>
      </w:r>
    </w:p>
    <w:p>
      <w:pPr>
        <w:spacing w:after="200"/>
        <w:ind w:left="720"/>
        <w:rPr>
          <w:rFonts w:asciiTheme="minorHAnsi" w:hAnsiTheme="minorHAnsi" w:cstheme="minorHAnsi"/>
        </w:rPr>
      </w:pPr>
      <w:r>
        <w:rPr>
          <w:rFonts w:asciiTheme="minorHAnsi" w:hAnsiTheme="minorHAnsi" w:cstheme="minorHAnsi"/>
          <w:i/>
        </w:rPr>
        <w:t xml:space="preserve">own rate = sum of (weight × games × rate per 82) / sum of (weight × games)</w:t>
      </w:r>
    </w:p>
    <w:p>
      <w:pPr>
        <w:rPr>
          <w:rFonts w:asciiTheme="minorHAnsi" w:hAnsiTheme="minorHAnsi" w:cstheme="minorHAnsi"/>
        </w:rPr>
      </w:pPr>
      <w:r>
        <w:rPr>
          <w:rFonts w:asciiTheme="minorHAnsi" w:hAnsiTheme="minorHAnsi" w:cstheme="minorHAnsi"/>
        </w:rPr>
        <w:t xml:space="preserve">For example, Jonathan Marchessault’s three seasons before 2024-25 produced 2.558 WAR per 82 in 76 games (2021-22), 3.194 in 76 games (2022-23), and 2.898 in 82 games (2023-24). His own rate is</w:t>
      </w:r>
    </w:p>
    <w:p>
      <w:pPr>
        <w:spacing w:after="200"/>
        <w:ind w:left="720"/>
        <w:rPr>
          <w:rFonts w:asciiTheme="minorHAnsi" w:hAnsiTheme="minorHAnsi" w:cstheme="minorHAnsi"/>
        </w:rPr>
      </w:pPr>
      <w:r>
        <w:rPr>
          <w:rFonts w:asciiTheme="minorHAnsi" w:hAnsiTheme="minorHAnsi" w:cstheme="minorHAnsi"/>
          <w:i/>
        </w:rPr>
        <w:t xml:space="preserve">(0.5 × 82 × 2.898 + 0.3 × 76 × 3.194 + 0.2 × 76 × 2.558) / (0.5 × 82 + 0.3 × 76 + 0.2 × 76) = 2.918 WAR per 82</w:t>
      </w:r>
    </w:p>
    <w:p>
      <w:pPr>
        <w:rPr>
          <w:rFonts w:asciiTheme="minorHAnsi" w:hAnsiTheme="minorHAnsi" w:cstheme="minorHAnsi"/>
        </w:rPr>
      </w:pPr>
      <w:r>
        <w:rPr>
          <w:rFonts w:asciiTheme="minorHAnsi" w:hAnsiTheme="minorHAnsi" w:cstheme="minorHAnsi"/>
        </w:rPr>
        <w:t xml:space="preserve">These weights were tested on the development valuation dates, 2015-2021. Among nine simple three-season weightings, 50/30/20 had the lowest error. Weighting each season by its games lowered the error of the valuation-season rate from 1.1526 to 1.1506 WAR per 82, measured as the root mean squared error (RMSE) over seasons played. It lowered the error one to five seasons out from 1.3618 to 1.3598, and it was lower in 1,827 and 1,802 of 2,000 resamples of whole careers. The gain comes from players with a recent short season. An earlier test found that reading three seasons instead of two lowered forecast error at five of six horizons, and that a fourth season added nothing.</w:t>
      </w:r>
    </w:p>
    <w:p>
      <w:pPr>
        <w:pStyle w:val="Heading2"/>
        <w:rPr>
          <w:rFonts w:asciiTheme="minorHAnsi" w:hAnsiTheme="minorHAnsi" w:cstheme="minorHAnsi"/>
        </w:rPr>
      </w:pPr>
      <w:r>
        <w:rPr>
          <w:rFonts w:asciiTheme="minorHAnsi" w:hAnsiTheme="minorHAnsi" w:cstheme="minorHAnsi"/>
        </w:rPr>
        <w:t xml:space="preserve">Step 2: pulling his rate toward similar players</w:t>
      </w:r>
    </w:p>
    <w:p>
      <w:pPr>
        <w:rPr>
          <w:rFonts w:asciiTheme="minorHAnsi" w:hAnsiTheme="minorHAnsi" w:cstheme="minorHAnsi"/>
        </w:rPr>
      </w:pPr>
      <w:r>
        <w:rPr>
          <w:rFonts w:asciiTheme="minorHAnsi" w:hAnsiTheme="minorHAnsi" w:cstheme="minorHAnsi"/>
        </w:rPr>
        <w:t xml:space="preserve">A player whose recent seasons were well above average tends to produce less the next season, and a player well below average tends to produce more. Part of a strong two- or three-season run is luck, and the luck does not repeat. A forecast that takes his recent seasons at face value therefore overstates good players and understates poor ones. In the earlier version of this model, which started from a 60/40 two-season total, players with three or more trailing wins were over-forecast by 0.92 WAR in the valuation season, and players below zero were under-forecast by 0.35.</w:t>
      </w:r>
    </w:p>
    <w:p>
      <w:pPr>
        <w:rPr>
          <w:rFonts w:asciiTheme="minorHAnsi" w:hAnsiTheme="minorHAnsi" w:cstheme="minorHAnsi"/>
        </w:rPr>
      </w:pPr>
      <w:r>
        <w:rPr>
          <w:rFonts w:asciiTheme="minorHAnsi" w:hAnsiTheme="minorHAnsi" w:cstheme="minorHAnsi"/>
        </w:rPr>
        <w:t xml:space="preserve">The model corrects this by blending his own rate with the level of his comparables, which are players who resembled him at the same age:</w:t>
      </w:r>
    </w:p>
    <w:p>
      <w:pPr>
        <w:spacing w:after="200"/>
        <w:ind w:left="720"/>
        <w:rPr>
          <w:rFonts w:asciiTheme="minorHAnsi" w:hAnsiTheme="minorHAnsi" w:cstheme="minorHAnsi"/>
        </w:rPr>
      </w:pPr>
      <w:r>
        <w:rPr>
          <w:rFonts w:asciiTheme="minorHAnsi" w:hAnsiTheme="minorHAnsi" w:cstheme="minorHAnsi"/>
          <w:i/>
        </w:rPr>
        <w:t xml:space="preserve">blended rate = 0.65 × own rate + 0.35 × comparables’ level</w:t>
      </w:r>
    </w:p>
    <w:p>
      <w:pPr>
        <w:rPr>
          <w:rFonts w:asciiTheme="minorHAnsi" w:hAnsiTheme="minorHAnsi" w:cstheme="minorHAnsi"/>
        </w:rPr>
      </w:pPr>
      <w:r>
        <w:rPr>
          <w:rFonts w:asciiTheme="minorHAnsi" w:hAnsiTheme="minorHAnsi" w:cstheme="minorHAnsi"/>
        </w:rPr>
        <w:t xml:space="preserve">The comparables’ level is the weighted average level, at the age of his last counted season, of the players most similar to him at that age, mixed with the league average for his position and age. Section 4 explains how the comparables are found and weighted; the same comparables supply his aging. The model uses this one 65/35 blend wherever it weighs a player’s own level against his comparables’.</w:t>
      </w:r>
    </w:p>
    <w:p>
      <w:pPr>
        <w:rPr>
          <w:rFonts w:asciiTheme="minorHAnsi" w:hAnsiTheme="minorHAnsi" w:cstheme="minorHAnsi"/>
        </w:rPr>
      </w:pPr>
      <w:r>
        <w:rPr>
          <w:rFonts w:asciiTheme="minorHAnsi" w:hAnsiTheme="minorHAnsi" w:cstheme="minorHAnsi"/>
        </w:rPr>
        <w:t xml:space="preserve">For Marchessault, the comparables’ level at age 33 is 1.289 WAR per 82, and the league average for forwards of 33 is 0.899. The comparables’ weights sum to 143.7 against the league average’s fixed weight of ten, so the league average carries 6.5% and the blended level is 1.264. His blended rate is 0.65 × 2.918 + 0.35 × 1.264 = 2.339.</w:t>
      </w:r>
    </w:p>
    <w:p>
      <w:pPr>
        <w:rPr>
          <w:rFonts w:asciiTheme="minorHAnsi" w:hAnsiTheme="minorHAnsi" w:cstheme="minorHAnsi"/>
        </w:rPr>
      </w:pPr>
      <w:r>
        <w:rPr>
          <w:rFonts w:asciiTheme="minorHAnsi" w:hAnsiTheme="minorHAnsi" w:cstheme="minorHAnsi"/>
        </w:rPr>
        <w:t xml:space="preserve">His comparables’ level is less than half of his own rate, because the weighting in Section 4 separates players only loosely. In practice the 35% pulls a player toward a level close to the average for his age and position.</w:t>
      </w:r>
    </w:p>
    <w:p>
      <w:pPr>
        <w:rPr>
          <w:rFonts w:asciiTheme="minorHAnsi" w:hAnsiTheme="minorHAnsi" w:cstheme="minorHAnsi"/>
        </w:rPr>
      </w:pPr>
      <w:r>
        <w:rPr>
          <w:rFonts w:asciiTheme="minorHAnsi" w:hAnsiTheme="minorHAnsi" w:cstheme="minorHAnsi"/>
        </w:rPr>
        <w:t xml:space="preserve">The 65/35 blend had the lowest error among the pulls tested, and a three-way blend that also allowed the league average its own weight gave it none. The fixed weights cost some accuracy: on the development valuations, the valuation-season error was 0.9% higher than that of an eight-term regression on the trailing record used in an earlier version (1.1502 against 1.1398 WAR per 82). Letting the comparables alone set their level, without the league average, left the starting rate’s error unchanged (1.1505 against 1.1506) and raised the error one to five seasons out from 1.3598 to 1.3678.</w:t>
      </w:r>
    </w:p>
    <w:p>
      <w:pPr>
        <w:pStyle w:val="Heading2"/>
        <w:rPr>
          <w:rFonts w:asciiTheme="minorHAnsi" w:hAnsiTheme="minorHAnsi" w:cstheme="minorHAnsi"/>
        </w:rPr>
      </w:pPr>
      <w:r>
        <w:rPr>
          <w:rFonts w:asciiTheme="minorHAnsi" w:hAnsiTheme="minorHAnsi" w:cstheme="minorHAnsi"/>
        </w:rPr>
        <w:t xml:space="preserve">Step 3: moving the rate to the valuation season</w:t>
      </w:r>
    </w:p>
    <w:p>
      <w:pPr>
        <w:rPr>
          <w:rFonts w:asciiTheme="minorHAnsi" w:hAnsiTheme="minorHAnsi" w:cstheme="minorHAnsi"/>
        </w:rPr>
      </w:pPr>
      <w:r>
        <w:rPr>
          <w:rFonts w:asciiTheme="minorHAnsi" w:hAnsiTheme="minorHAnsi" w:cstheme="minorHAnsi"/>
        </w:rPr>
        <w:t xml:space="preserve">Both his own rate and his comparables’ level describe him at the age of his last counted season, which is normally the season before the valuation season, when he was a year younger. The model therefore adds his comparables’ expected change in rate from that age to his age in the valuation season, taken from the aging curve in Section 4. If his last counted season was two or three seasons back, the change covers each of those years. For Marchessault the change from age 33 to 34 is -0.269, so his starting rate is 2.339 - 0.269 = 2.070 WAR per 82.</w:t>
      </w:r>
    </w:p>
    <w:p>
      <w:pPr>
        <w:rPr>
          <w:rFonts w:asciiTheme="minorHAnsi" w:hAnsiTheme="minorHAnsi" w:cstheme="minorHAnsi"/>
        </w:rPr>
      </w:pPr>
      <w:r>
        <w:rPr>
          <w:rFonts w:asciiTheme="minorHAnsi" w:hAnsiTheme="minorHAnsi" w:cstheme="minorHAnsi"/>
        </w:rPr>
        <w:t xml:space="preserve">Without this step the valuation-season error was 1.1611 against 1.1506 with it, and the step lowered the error on each of 36 error measures compared across four versions of the start.</w:t>
      </w:r>
    </w:p>
    <w:p>
      <w:pPr>
        <w:pStyle w:val="Heading2"/>
        <w:rPr>
          <w:rFonts w:asciiTheme="minorHAnsi" w:hAnsiTheme="minorHAnsi" w:cstheme="minorHAnsi"/>
        </w:rPr>
      </w:pPr>
      <w:r>
        <w:rPr>
          <w:rFonts w:asciiTheme="minorHAnsi" w:hAnsiTheme="minorHAnsi" w:cstheme="minorHAnsi"/>
        </w:rPr>
        <w:t xml:space="preserve">Where the starting rate misses</w:t>
      </w:r>
    </w:p>
    <w:p>
      <w:pPr>
        <w:rPr>
          <w:rFonts w:asciiTheme="minorHAnsi" w:hAnsiTheme="minorHAnsi" w:cstheme="minorHAnsi"/>
        </w:rPr>
      </w:pPr>
      <w:r>
        <w:rPr>
          <w:rFonts w:asciiTheme="minorHAnsi" w:hAnsiTheme="minorHAnsi" w:cstheme="minorHAnsi"/>
        </w:rPr>
        <w:t xml:space="preserve">The starting rate runs high for players with short histories. On the development valuations it was too high by 0.166 WAR per 82 for players with one counted season (95% range +0.069 to +0.257) and by 0.100 for two, against -0.008 for three. His own rate is not the cause: alone, it runs high by 0.015 to 0.062 in the three groups. The comparables’ level is: alone, it runs high by 0.374 for one-season players. Changes to the comparables for these players lowered the starting rate’s error but raised the error in later seasons, and none was adopted.</w:t>
      </w:r>
    </w:p>
    <w:p>
      <w:pPr>
        <w:rPr>
          <w:rFonts w:asciiTheme="minorHAnsi" w:hAnsiTheme="minorHAnsi" w:cstheme="minorHAnsi"/>
        </w:rPr>
      </w:pPr>
      <w:r>
        <w:rPr>
          <w:rFonts w:asciiTheme="minorHAnsi" w:hAnsiTheme="minorHAnsi" w:cstheme="minorHAnsi"/>
        </w:rPr>
        <w:t xml:space="preserve">The best players are under-forecast. On the development valuations, players whose trailing total (the 50/30/20 average of their WAR over the three seasons before the valuation season) was three wins or more were under-forecast by 0.402 WAR a season one to five seasons out, and by 0.041 in the valuation season. The 95% range for the first figure is -0.74 to -0.07, from 2,000 resamples of the 73 players’ careers. Each trailing-win group is under-forecast one to five seasons out, by 0.035 to 0.105 WAR a season below three wins, so the miss is largest for the best players. Which step causes it has not been established.</w:t>
      </w:r>
    </w:p>
    <w:p>
      <w:pPr>
        <w:pStyle w:val="Heading1"/>
        <w:rPr>
          <w:rFonts w:asciiTheme="minorHAnsi" w:hAnsiTheme="minorHAnsi" w:cstheme="minorHAnsi"/>
        </w:rPr>
      </w:pPr>
      <w:r>
        <w:rPr>
          <w:rFonts w:asciiTheme="minorHAnsi" w:hAnsiTheme="minorHAnsi" w:cstheme="minorHAnsi"/>
        </w:rPr>
        <w:t xml:space="preserve">4. How the Rate Changes with Age</w:t>
      </w:r>
    </w:p>
    <w:p>
      <w:pPr>
        <w:rPr>
          <w:rFonts w:asciiTheme="minorHAnsi" w:hAnsiTheme="minorHAnsi" w:cstheme="minorHAnsi"/>
        </w:rPr>
      </w:pPr>
      <w:r>
        <w:rPr>
          <w:rFonts w:asciiTheme="minorHAnsi" w:hAnsiTheme="minorHAnsi" w:cstheme="minorHAnsi"/>
        </w:rPr>
        <w:t xml:space="preserve">The starting rate describes the valuation season. A contract also runs through later seasons in which the player will be older, and production changes with age at different speeds for different kinds of players. The model estimates those changes from the later careers of players who resembled him at the same age. It then adds the changes to his starting rate.</w:t>
      </w:r>
    </w:p>
    <w:p>
      <w:pPr>
        <w:pStyle w:val="Heading2"/>
        <w:rPr>
          <w:rFonts w:asciiTheme="minorHAnsi" w:hAnsiTheme="minorHAnsi" w:cstheme="minorHAnsi"/>
        </w:rPr>
      </w:pPr>
      <w:r>
        <w:rPr>
          <w:rFonts w:asciiTheme="minorHAnsi" w:hAnsiTheme="minorHAnsi" w:cstheme="minorHAnsi"/>
        </w:rPr>
        <w:t xml:space="preserve">Describing the player at his last counted age</w:t>
      </w:r>
    </w:p>
    <w:p>
      <w:pPr>
        <w:rPr>
          <w:rFonts w:asciiTheme="minorHAnsi" w:hAnsiTheme="minorHAnsi" w:cstheme="minorHAnsi"/>
        </w:rPr>
      </w:pPr>
      <w:r>
        <w:rPr>
          <w:rFonts w:asciiTheme="minorHAnsi" w:hAnsiTheme="minorHAnsi" w:cstheme="minorHAnsi"/>
        </w:rPr>
        <w:t xml:space="preserve">The model describes the player at the age of his last counted season, the most recent of his three trailing seasons with ten or more games; for a valuation in 2024-25 that is normally his age in 2023-24. The curve uses only seasons of at least 20 games. If his last counted season has fewer than 20, he has no profile at that age, and the model uses the league-average changes described below. Twenty games is the curve’s eligibility threshold, with no claim that it is the best possible cutoff.</w:t>
      </w:r>
    </w:p>
    <w:p>
      <w:pPr>
        <w:rPr>
          <w:rFonts w:asciiTheme="minorHAnsi" w:hAnsiTheme="minorHAnsi" w:cstheme="minorHAnsi"/>
        </w:rPr>
      </w:pPr>
      <w:r>
        <w:rPr>
          <w:rFonts w:asciiTheme="minorHAnsi" w:hAnsiTheme="minorHAnsi" w:cstheme="minorHAnsi"/>
        </w:rPr>
        <w:t xml:space="preserve">The description, called a profile, contains eight measures. Five describe playing style: the shares of his WAR that came from even-strength offence, even-strength defence, the power play, the penalty kill, and shooting. The other three are ice time per game, his level, and his trend. His level is the three-season measure of Section 3 applied by age: the 50/30/20 average of his rates at this age and the two before, each weight multiplied by games, over seasons of 20 games or more. The style shares and ice time come from his last two seasons if they are consecutive, or the last alone, and his trend is the change in his rate between those two seasons, or zero with one. Each measure is put on a common scale within position, so that minutes do not dominate wins because their numbers are larger.</w:t>
      </w:r>
    </w:p>
    <w:p>
      <w:pPr>
        <w:pStyle w:val="Heading2"/>
        <w:rPr>
          <w:rFonts w:asciiTheme="minorHAnsi" w:hAnsiTheme="minorHAnsi" w:cstheme="minorHAnsi"/>
        </w:rPr>
      </w:pPr>
      <w:r>
        <w:rPr>
          <w:rFonts w:asciiTheme="minorHAnsi" w:hAnsiTheme="minorHAnsi" w:cstheme="minorHAnsi"/>
        </w:rPr>
        <w:t xml:space="preserve">Weighting the comparables</w:t>
      </w:r>
    </w:p>
    <w:p>
      <w:pPr>
        <w:rPr>
          <w:rFonts w:asciiTheme="minorHAnsi" w:hAnsiTheme="minorHAnsi" w:cstheme="minorHAnsi"/>
        </w:rPr>
      </w:pPr>
      <w:r>
        <w:rPr>
          <w:rFonts w:asciiTheme="minorHAnsi" w:hAnsiTheme="minorHAnsi" w:cstheme="minorHAnsi"/>
        </w:rPr>
        <w:t xml:space="preserve">The comparables are the historical profiles of players at the same age and position. Each player contributes one profile for each pair of consecutive 20-game seasons in his career, and the player being valued is excluded from his own comparables.</w:t>
      </w:r>
    </w:p>
    <w:p>
      <w:pPr>
        <w:rPr>
          <w:rFonts w:asciiTheme="minorHAnsi" w:hAnsiTheme="minorHAnsi" w:cstheme="minorHAnsi"/>
        </w:rPr>
      </w:pPr>
      <w:r>
        <w:rPr>
          <w:rFonts w:asciiTheme="minorHAnsi" w:hAnsiTheme="minorHAnsi" w:cstheme="minorHAnsi"/>
        </w:rPr>
        <w:t xml:space="preserve">The model measures the distance between the player’s profile and each comparable’s, then turns the distance into a weight:</w:t>
      </w:r>
    </w:p>
    <w:p>
      <w:pPr>
        <w:spacing w:after="200"/>
        <w:ind w:left="720"/>
        <w:rPr>
          <w:rFonts w:asciiTheme="minorHAnsi" w:hAnsiTheme="minorHAnsi" w:cstheme="minorHAnsi"/>
        </w:rPr>
      </w:pPr>
      <w:r>
        <w:rPr>
          <w:rFonts w:asciiTheme="minorHAnsi" w:hAnsiTheme="minorHAnsi" w:cstheme="minorHAnsi"/>
          <w:i/>
        </w:rPr>
        <w:t xml:space="preserve">weight = exp(−distance² / (2 × yardstick²))</w:t>
      </w:r>
    </w:p>
    <w:p>
      <w:pPr>
        <w:rPr>
          <w:rFonts w:asciiTheme="minorHAnsi" w:hAnsiTheme="minorHAnsi" w:cstheme="minorHAnsi"/>
        </w:rPr>
      </w:pPr>
      <w:r>
        <w:rPr>
          <w:rFonts w:asciiTheme="minorHAnsi" w:hAnsiTheme="minorHAnsi" w:cstheme="minorHAnsi"/>
        </w:rPr>
        <w:t xml:space="preserve">The four groups of measures (style, ice time, level, and trend) receive equal weight in the distance. The five style measures share one group’s weight. The yardstick sets how quickly weight falls with distance. It is the median distance between sampled pairs of profiles, computed separately for forwards and for defencemen; on the 2024 valuation it is 2.573 for forwards and 2.548 for defencemen. An exact match receives a weight of 1, a comparable one yardstick away about 0.61, and one twice as far about 0.14. There is no fixed number of comparables; each eligible profile counts in proportion to its weight. This form, a Gaussian kernel, is standard in nonparametric regression [ref needed: a kernel-weighted nearest-neighbour reference].</w:t>
      </w:r>
    </w:p>
    <w:p>
      <w:pPr>
        <w:rPr>
          <w:rFonts w:asciiTheme="minorHAnsi" w:hAnsiTheme="minorHAnsi" w:cstheme="minorHAnsi"/>
        </w:rPr>
      </w:pPr>
      <w:r>
        <w:rPr>
          <w:rFonts w:asciiTheme="minorHAnsi" w:hAnsiTheme="minorHAnsi" w:cstheme="minorHAnsi"/>
        </w:rPr>
        <w:t xml:space="preserve">Because the yardstick is the typical distance between two profiles, weight falls off slowly. For Marchessault at 33, 127 of the 230 forward profiles at that age lie within one yardstick of his, and the weights are as evenly spread as those of 206 equal comparables. A separate yardstick for each position changed the forecast’s error by at most 0.0001 WAR per 82.</w:t>
      </w:r>
    </w:p>
    <w:p>
      <w:pPr>
        <w:pStyle w:val="Heading2"/>
        <w:rPr>
          <w:rFonts w:asciiTheme="minorHAnsi" w:hAnsiTheme="minorHAnsi" w:cstheme="minorHAnsi"/>
        </w:rPr>
      </w:pPr>
      <w:r>
        <w:rPr>
          <w:rFonts w:asciiTheme="minorHAnsi" w:hAnsiTheme="minorHAnsi" w:cstheme="minorHAnsi"/>
        </w:rPr>
        <w:t xml:space="preserve">Stabilizing the estimate with the league average</w:t>
      </w:r>
    </w:p>
    <w:p>
      <w:pPr>
        <w:rPr>
          <w:rFonts w:asciiTheme="minorHAnsi" w:hAnsiTheme="minorHAnsi" w:cstheme="minorHAnsi"/>
        </w:rPr>
      </w:pPr>
      <w:r>
        <w:rPr>
          <w:rFonts w:asciiTheme="minorHAnsi" w:hAnsiTheme="minorHAnsi" w:cstheme="minorHAnsi"/>
        </w:rPr>
        <w:t xml:space="preserve">A small or poorly matched group of comparables could produce an extreme estimate on its own. To guard against that, the model mixes the comparables’ average with the league average for the same position and age. The league average counts as ten units of weight, and the comparables count as the sum of the weights of those who have a value at that age. When the comparables are many and close, their weights sum well above ten and they dominate; when they are few or distant, the league average takes over. Marchessault’s comparables’ weights sum to 143.7, so the league average carries 6.5% of their level; with weights summing to 20, it would carry a third.</w:t>
      </w:r>
    </w:p>
    <w:p>
      <w:pPr>
        <w:pStyle w:val="Heading2"/>
        <w:rPr>
          <w:rFonts w:asciiTheme="minorHAnsi" w:hAnsiTheme="minorHAnsi" w:cstheme="minorHAnsi"/>
        </w:rPr>
      </w:pPr>
      <w:r>
        <w:rPr>
          <w:rFonts w:asciiTheme="minorHAnsi" w:hAnsiTheme="minorHAnsi" w:cstheme="minorHAnsi"/>
        </w:rPr>
        <w:t xml:space="preserve">Measuring change within players, departures included</w:t>
      </w:r>
    </w:p>
    <w:p>
      <w:pPr>
        <w:rPr>
          <w:rFonts w:asciiTheme="minorHAnsi" w:hAnsiTheme="minorHAnsi" w:cstheme="minorHAnsi"/>
        </w:rPr>
      </w:pPr>
      <w:r>
        <w:rPr>
          <w:rFonts w:asciiTheme="minorHAnsi" w:hAnsiTheme="minorHAnsi" w:cstheme="minorHAnsi"/>
        </w:rPr>
        <w:t xml:space="preserve">For each comparable, the model measures the change in his level from one age to the next. If a comparable’s level fell from 2.2 at age 33 to 2.0 at age 34, his change is minus 0.2. The weighted average of these changes, mixed with the league-average change in the same way as the level, is the player’s expected change at that age. The comparables chosen at the last counted age stay fixed as the projection moves to later ages; each later step asks how those same players changed next.</w:t>
      </w:r>
    </w:p>
    <w:p>
      <w:pPr>
        <w:rPr>
          <w:rFonts w:asciiTheme="minorHAnsi" w:hAnsiTheme="minorHAnsi" w:cstheme="minorHAnsi"/>
        </w:rPr>
      </w:pPr>
      <w:r>
        <w:rPr>
          <w:rFonts w:asciiTheme="minorHAnsi" w:hAnsiTheme="minorHAnsi" w:cstheme="minorHAnsi"/>
        </w:rPr>
        <w:t xml:space="preserve">Measuring the level over three seasons, rather than as the equal average of a player’s last two, lowered the error one to five seasons out from 1.3642 to 1.3610 WAR per 82, lower in 1,999 of 2,000 career resamples. It was slightly worse one season out (1.2620 against 1.2603).</w:t>
      </w:r>
    </w:p>
    <w:p>
      <w:pPr>
        <w:rPr>
          <w:rFonts w:asciiTheme="minorHAnsi" w:hAnsiTheme="minorHAnsi" w:cstheme="minorHAnsi"/>
        </w:rPr>
      </w:pPr>
      <w:r>
        <w:rPr>
          <w:rFonts w:asciiTheme="minorHAnsi" w:hAnsiTheme="minorHAnsi" w:cstheme="minorHAnsi"/>
        </w:rPr>
        <w:t xml:space="preserve">Measuring change within players compares each player with himself a year later. Comparing separate groups of 33-year-olds and 34-year-olds would give a different and misleading answer, because weaker players leave between those ages.</w:t>
      </w:r>
    </w:p>
    <w:p>
      <w:pPr>
        <w:rPr>
          <w:rFonts w:asciiTheme="minorHAnsi" w:hAnsiTheme="minorHAnsi" w:cstheme="minorHAnsi"/>
        </w:rPr>
      </w:pPr>
      <w:r>
        <w:rPr>
          <w:rFonts w:asciiTheme="minorHAnsi" w:hAnsiTheme="minorHAnsi" w:cstheme="minorHAnsi"/>
        </w:rPr>
        <w:t xml:space="preserve">Measuring within players does not solve the problem completely, because a player who leaves the league never records the season in which he would have declined. The aging curve would then describe only the players who kept their jobs. To correct for this, the model fills in the missing season. A comparable who played a season and has no NHL record of any kind the next season is entered as if he had played that next season at replacement level, which is zero on the WAR scale. The filled-in season counts as many games as his last one. His imputed level is computed by the curve’s own three-season rule, so the zero enters as one season among three. A player who appears again at a later age before the valuation date is not treated as having left. The league-average changes are recomputed with these imputed departures included. Only departures whose next season had finished before the valuation date are imputed. On the 2024 valuation, 881 departures enter the curve this way.</w:t>
      </w:r>
    </w:p>
    <w:p>
      <w:pPr>
        <w:rPr>
          <w:rFonts w:asciiTheme="minorHAnsi" w:hAnsiTheme="minorHAnsi" w:cstheme="minorHAnsi"/>
        </w:rPr>
      </w:pPr>
      <w:r>
        <w:rPr>
          <w:rFonts w:asciiTheme="minorHAnsi" w:hAnsiTheme="minorHAnsi" w:cstheme="minorHAnsi"/>
        </w:rPr>
        <w:t xml:space="preserve">Replacement level is an identifying assumption, not a measurement. Some departing players were injured and would have been above replacement, so the imputation is better read as a bound on decline than as a point estimate. The assumption matters for the later seasons. Without imputed departures, the error one to five seasons out rises from 1.3598 to 1.3612. Entering departures at a quarter-win per 82 above replacement lowers it to 1.3552, and entering them a quarter-win below raises it to 1.3670. The level was left at replacement. Treating returning players as present and entering a departed season at the player’s own games, together with the separate yardsticks, lowered the error one to five seasons out from 1.3598 to 1.3587, lower in each of 2,000 career resamples.</w:t>
      </w:r>
    </w:p>
    <w:p>
      <w:pPr>
        <w:pStyle w:val="Heading2"/>
        <w:rPr>
          <w:rFonts w:asciiTheme="minorHAnsi" w:hAnsiTheme="minorHAnsi" w:cstheme="minorHAnsi"/>
        </w:rPr>
      </w:pPr>
      <w:r>
        <w:rPr>
          <w:rFonts w:asciiTheme="minorHAnsi" w:hAnsiTheme="minorHAnsi" w:cstheme="minorHAnsi"/>
        </w:rPr>
        <w:t xml:space="preserve">Adding the changes to the starting rate</w:t>
      </w:r>
    </w:p>
    <w:p>
      <w:pPr>
        <w:rPr>
          <w:rFonts w:asciiTheme="minorHAnsi" w:hAnsiTheme="minorHAnsi" w:cstheme="minorHAnsi"/>
        </w:rPr>
      </w:pPr>
      <w:r>
        <w:rPr>
          <w:rFonts w:asciiTheme="minorHAnsi" w:hAnsiTheme="minorHAnsi" w:cstheme="minorHAnsi"/>
        </w:rPr>
        <w:t xml:space="preserve">The model adds the cumulative change from the valuation age to each later age to the starting rate:</w:t>
      </w:r>
    </w:p>
    <w:p>
      <w:pPr>
        <w:spacing w:after="200"/>
        <w:ind w:left="720"/>
        <w:rPr>
          <w:rFonts w:asciiTheme="minorHAnsi" w:hAnsiTheme="minorHAnsi" w:cstheme="minorHAnsi"/>
        </w:rPr>
      </w:pPr>
      <w:r>
        <w:rPr>
          <w:rFonts w:asciiTheme="minorHAnsi" w:hAnsiTheme="minorHAnsi" w:cstheme="minorHAnsi"/>
          <w:i/>
        </w:rPr>
        <w:t xml:space="preserve">rate(k) = starting rate + sum of expected changes from the valuation age to age + k</w:t>
      </w:r>
    </w:p>
    <w:p>
      <w:pPr>
        <w:rPr>
          <w:rFonts w:asciiTheme="minorHAnsi" w:hAnsiTheme="minorHAnsi" w:cstheme="minorHAnsi"/>
        </w:rPr>
      </w:pPr>
      <w:r>
        <w:rPr>
          <w:rFonts w:asciiTheme="minorHAnsi" w:hAnsiTheme="minorHAnsi" w:cstheme="minorHAnsi"/>
        </w:rPr>
        <w:t xml:space="preserve">For Marchessault the comparables give cumulative changes of -0.280, -0.540, -0.778, and -1.181 WAR per 82 from age 34 to ages 35 through 38. His forecast rate is therefore 2.070 in 2024-25, then 1.791, 1.530, 1.292, and 0.890.</w:t>
      </w:r>
    </w:p>
    <w:p>
      <w:pPr>
        <w:rPr>
          <w:rFonts w:asciiTheme="minorHAnsi" w:hAnsiTheme="minorHAnsi" w:cstheme="minorHAnsi"/>
        </w:rPr>
      </w:pPr>
      <w:r>
        <w:rPr>
          <w:rFonts w:asciiTheme="minorHAnsi" w:hAnsiTheme="minorHAnsi" w:cstheme="minorHAnsi"/>
        </w:rPr>
        <w:t xml:space="preserve">The changes are added in rate units rather than applied as percentages. A percentage change misbehaves when the starting level is small or negative: a 10% decline applied to minus 0.5 WAR raises the forecast toward zero. Adding the change treats a below-replacement player the same way as any other, and no floor or special rule is needed for negative starting rates. The switch from multiplying to adding was scored only as part of the package that introduced the fitted start; its effect alone has not been measured.</w:t>
      </w:r>
    </w:p>
    <w:p>
      <w:pPr>
        <w:rPr>
          <w:rFonts w:asciiTheme="minorHAnsi" w:hAnsiTheme="minorHAnsi" w:cstheme="minorHAnsi"/>
        </w:rPr>
      </w:pPr>
      <w:r>
        <w:rPr>
          <w:rFonts w:asciiTheme="minorHAnsi" w:hAnsiTheme="minorHAnsi" w:cstheme="minorHAnsi"/>
        </w:rPr>
        <w:t xml:space="preserve">The curve module computes a starting level of its own, with the same 65/35 blend. The model does not use it: the starting rate in Section 3 counts ten-game seasons by calendar season, while the curve counts 20-game seasons by age, and the model reads only the curve’s changes, from which the curve’s own starting level cancels.</w:t>
      </w:r>
    </w:p>
    <w:p>
      <w:pPr>
        <w:pStyle w:val="Heading2"/>
        <w:rPr>
          <w:rFonts w:asciiTheme="minorHAnsi" w:hAnsiTheme="minorHAnsi" w:cstheme="minorHAnsi"/>
        </w:rPr>
      </w:pPr>
      <w:r>
        <w:rPr>
          <w:rFonts w:asciiTheme="minorHAnsi" w:hAnsiTheme="minorHAnsi" w:cstheme="minorHAnsi"/>
        </w:rPr>
        <w:t xml:space="preserve">Where the curve has no answer</w:t>
      </w:r>
    </w:p>
    <w:p>
      <w:pPr>
        <w:rPr>
          <w:rFonts w:asciiTheme="minorHAnsi" w:hAnsiTheme="minorHAnsi" w:cstheme="minorHAnsi"/>
        </w:rPr>
      </w:pPr>
      <w:r>
        <w:rPr>
          <w:rFonts w:asciiTheme="minorHAnsi" w:hAnsiTheme="minorHAnsi" w:cstheme="minorHAnsi"/>
        </w:rPr>
        <w:t xml:space="preserve">Where the player has no usable profile, the model uses the league level for his position and age in place of the comparables’ level, and the league-average changes. Past the oldest age the curve covers, the rate is held at its last value. A player without a birthdate takes the league’s rate for his position in place of the comparables’ level and is carried at his starting rate with no aging; at 99.9% coverage this is rare.</w:t>
      </w:r>
    </w:p>
    <w:p>
      <w:pPr>
        <w:pStyle w:val="Heading2"/>
        <w:rPr>
          <w:rFonts w:asciiTheme="minorHAnsi" w:hAnsiTheme="minorHAnsi" w:cstheme="minorHAnsi"/>
        </w:rPr>
      </w:pPr>
      <w:r>
        <w:rPr>
          <w:rFonts w:asciiTheme="minorHAnsi" w:hAnsiTheme="minorHAnsi" w:cstheme="minorHAnsi"/>
        </w:rPr>
        <w:t xml:space="preserve">How well the comparables age players</w:t>
      </w:r>
    </w:p>
    <w:p>
      <w:pPr>
        <w:rPr>
          <w:rFonts w:asciiTheme="minorHAnsi" w:hAnsiTheme="minorHAnsi" w:cstheme="minorHAnsi"/>
        </w:rPr>
      </w:pPr>
      <w:r>
        <w:rPr>
          <w:rFonts w:asciiTheme="minorHAnsi" w:hAnsiTheme="minorHAnsi" w:cstheme="minorHAnsi"/>
        </w:rPr>
        <w:t xml:space="preserve">In an earlier version of the forecast, the comparable-player curve was compared with two alternatives inside the same forecast, with every other part held fixed (development valuations 2015-2021, seasons one to five ahead). The rate error in seasons played was 1.0604 WAR per 82 with the comparables, 1.0499 with one fitted aging equation (a regression on age, position, and level), and 1.0840 with no aging at all. The fitted equation was more accurate for the typical player. The comparables were more accurate for the best players: five seasons out, players with three or more wins were under-forecast by 0.43 with the comparables and by 0.93 with the equation. In contract dollars the comparables were slightly better: their squared error was lower in 1,316 to 1,407 of 2,000 player resamples, across four pricing tables. These dollar figures were recorded before the age table’s older birthdates were restored. Stars carry the largest contracts, and the model keeps the comparables for that reason.</w:t>
      </w:r>
    </w:p>
    <w:p>
      <w:pPr>
        <w:rPr>
          <w:rFonts w:asciiTheme="minorHAnsi" w:hAnsiTheme="minorHAnsi" w:cstheme="minorHAnsi"/>
        </w:rPr>
      </w:pPr>
      <w:r>
        <w:rPr>
          <w:rFonts w:asciiTheme="minorHAnsi" w:hAnsiTheme="minorHAnsi" w:cstheme="minorHAnsi"/>
        </w:rPr>
        <w:t xml:space="preserve">The curve’s hand-set choices were tested on held-out careers, inside the earlier version of the model. None of nineteen single changes moved average error by more than 1%. Any league weight from near zero to 20 gave the same error to within 0.06%. Weighting all same-age players equally was worse in each of four comparisons (by 0.47% to 0.94%), and halving the yardstick was slightly better in each (by 0.19% to 0.60%). Across 65 proportions of the four group weights, equal weights ranked 28th to 32nd, and no proportion moved error by more than 0.4%. The settings were not changed.</w:t>
      </w:r>
    </w:p>
    <w:p>
      <w:pPr>
        <w:pStyle w:val="Heading1"/>
        <w:rPr>
          <w:rFonts w:asciiTheme="minorHAnsi" w:hAnsiTheme="minorHAnsi" w:cstheme="minorHAnsi"/>
        </w:rPr>
      </w:pPr>
      <w:r>
        <w:rPr>
          <w:rFonts w:asciiTheme="minorHAnsi" w:hAnsiTheme="minorHAnsi" w:cstheme="minorHAnsi"/>
        </w:rPr>
        <w:t xml:space="preserve">5. Games Share</w:t>
      </w:r>
    </w:p>
    <w:p>
      <w:pPr>
        <w:rPr>
          <w:rFonts w:asciiTheme="minorHAnsi" w:hAnsiTheme="minorHAnsi" w:cstheme="minorHAnsi"/>
        </w:rPr>
      </w:pPr>
      <w:r>
        <w:rPr>
          <w:rFonts w:asciiTheme="minorHAnsi" w:hAnsiTheme="minorHAnsi" w:cstheme="minorHAnsi"/>
        </w:rPr>
        <w:t xml:space="preserve">A player’s season total depends on how many games he plays as well as how well he plays in them. An earlier version of the model assumed a full season for each player. The model now forecasts the games share separately for each season ahead, with a regression refitted on each valuation date:</w:t>
      </w:r>
    </w:p>
    <w:p>
      <w:pPr>
        <w:spacing w:after="200"/>
        <w:ind w:left="720"/>
        <w:rPr>
          <w:rFonts w:asciiTheme="minorHAnsi" w:hAnsiTheme="minorHAnsi" w:cstheme="minorHAnsi"/>
        </w:rPr>
      </w:pPr>
      <w:r>
        <w:rPr>
          <w:rFonts w:asciiTheme="minorHAnsi" w:hAnsiTheme="minorHAnsi" w:cstheme="minorHAnsi"/>
          <w:i/>
        </w:rPr>
        <w:t xml:space="preserve">games share = c + d1 × trailing games share + d2 × defence + d3 × experience + d4 × (age − 27) + d5 × (age − 27)² + d6 × trailing total</w:t>
      </w:r>
    </w:p>
    <w:p>
      <w:pPr>
        <w:rPr>
          <w:rFonts w:asciiTheme="minorHAnsi" w:hAnsiTheme="minorHAnsi" w:cstheme="minorHAnsi"/>
        </w:rPr>
      </w:pPr>
      <w:r>
        <w:rPr>
          <w:rFonts w:asciiTheme="minorHAnsi" w:hAnsiTheme="minorHAnsi" w:cstheme="minorHAnsi"/>
        </w:rPr>
        <w:t xml:space="preserve">The trailing games share and the trailing total read the same three seasons with the same 50/30/20 weights as the starting rate, without the games multiplier: a games share already counts games, and the trailing total is the weighted average of his season WAR totals rather than his rates. The level term lets a good player and a depth player with the same recent share receive different forecasts, because a club keeps playing its better players. The squared age term lets the effect of age change with age. The fit uses only seasons in which the player appeared, since the share is conditional on playing, and the forecast is held between 0.05 and 1.</w:t>
      </w:r>
    </w:p>
    <w:p>
      <w:pPr>
        <w:rPr>
          <w:rFonts w:asciiTheme="minorHAnsi" w:hAnsiTheme="minorHAnsi" w:cstheme="minorHAnsi"/>
        </w:rPr>
      </w:pPr>
      <w:r>
        <w:rPr>
          <w:rFonts w:asciiTheme="minorHAnsi" w:hAnsiTheme="minorHAnsi" w:cstheme="minorHAnsi"/>
        </w:rPr>
        <w:t xml:space="preserve">For the 2024 valuation, the valuation-season regression is below (11,112 player-seasons from 2,094 players; standard errors clustered by player).</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Pr>
      <w:tblGrid>
        <w:gridCol w:w="4305"/>
        <w:gridCol w:w="2527"/>
        <w:gridCol w:w="2528"/>
      </w:tblGrid>
      <w:tr>
        <w:trPr>
          <w:tblHeader/>
          <w:cantSplit/>
        </w:trPr>
        <w:tc>
          <w:tcPr>
            <w:tcW w:w="4305" w:type="dxa"/>
            <w:shd w:val="clear" w:color="auto" w:fill="E7E6E6"/>
          </w:tcPr>
          <w:p>
            <w:pPr>
              <w:spacing w:before="20" w:after="20" w:line="240" w:lineRule="auto"/>
              <w:jc w:val="left"/>
              <w:rPr>
                <w:rFonts w:asciiTheme="minorHAnsi" w:hAnsiTheme="minorHAnsi" w:cstheme="minorHAnsi"/>
              </w:rPr>
            </w:pPr>
            <w:r>
              <w:rPr>
                <w:rFonts w:asciiTheme="minorHAnsi" w:hAnsiTheme="minorHAnsi" w:cstheme="minorHAnsi"/>
                <w:b/>
                <w:sz w:val="19"/>
                <w:szCs w:val="19"/>
              </w:rPr>
              <w:t xml:space="preserve">Term</w:t>
            </w:r>
          </w:p>
        </w:tc>
        <w:tc>
          <w:tcPr>
            <w:tcW w:w="2527"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Coefficient</w:t>
            </w:r>
          </w:p>
        </w:tc>
        <w:tc>
          <w:tcPr>
            <w:tcW w:w="2528"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Std. error</w:t>
            </w:r>
          </w:p>
        </w:tc>
      </w:tr>
      <w:tr>
        <w:trPr>
          <w:cantSplit/>
        </w:trPr>
        <w:tc>
          <w:tcPr>
            <w:tcW w:w="4305"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Constant</w:t>
            </w:r>
          </w:p>
        </w:tc>
        <w:tc>
          <w:tcPr>
            <w:tcW w:w="2527"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0.2023</w:t>
            </w:r>
          </w:p>
        </w:tc>
        <w:tc>
          <w:tcPr>
            <w:tcW w:w="2528"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0.0110</w:t>
            </w:r>
          </w:p>
        </w:tc>
      </w:tr>
      <w:tr>
        <w:trPr>
          <w:cantSplit/>
        </w:trPr>
        <w:tc>
          <w:tcPr>
            <w:tcW w:w="4305"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Trailing games share</w:t>
            </w:r>
          </w:p>
        </w:tc>
        <w:tc>
          <w:tcPr>
            <w:tcW w:w="2527"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0.6142</w:t>
            </w:r>
          </w:p>
        </w:tc>
        <w:tc>
          <w:tcPr>
            <w:tcW w:w="2528"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0.0136</w:t>
            </w:r>
          </w:p>
        </w:tc>
      </w:tr>
      <w:tr>
        <w:trPr>
          <w:cantSplit/>
        </w:trPr>
        <w:tc>
          <w:tcPr>
            <w:tcW w:w="4305"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Defence</w:t>
            </w:r>
          </w:p>
        </w:tc>
        <w:tc>
          <w:tcPr>
            <w:tcW w:w="2527"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0.0075</w:t>
            </w:r>
          </w:p>
        </w:tc>
        <w:tc>
          <w:tcPr>
            <w:tcW w:w="2528"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0.0058</w:t>
            </w:r>
          </w:p>
        </w:tc>
      </w:tr>
      <w:tr>
        <w:trPr>
          <w:cantSplit/>
        </w:trPr>
        <w:tc>
          <w:tcPr>
            <w:tcW w:w="4305"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Experience (seasons)</w:t>
            </w:r>
          </w:p>
        </w:tc>
        <w:tc>
          <w:tcPr>
            <w:tcW w:w="2527"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0.0048</w:t>
            </w:r>
          </w:p>
        </w:tc>
        <w:tc>
          <w:tcPr>
            <w:tcW w:w="2528"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0.0009</w:t>
            </w:r>
          </w:p>
        </w:tc>
      </w:tr>
      <w:tr>
        <w:trPr>
          <w:cantSplit/>
        </w:trPr>
        <w:tc>
          <w:tcPr>
            <w:tcW w:w="4305"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Age − 27</w:t>
            </w:r>
          </w:p>
        </w:tc>
        <w:tc>
          <w:tcPr>
            <w:tcW w:w="2527"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-0.0103</w:t>
            </w:r>
          </w:p>
        </w:tc>
        <w:tc>
          <w:tcPr>
            <w:tcW w:w="2528"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0.0009</w:t>
            </w:r>
          </w:p>
        </w:tc>
      </w:tr>
      <w:tr>
        <w:trPr>
          <w:cantSplit/>
        </w:trPr>
        <w:tc>
          <w:tcPr>
            <w:tcW w:w="4305"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(Age − 27)²</w:t>
            </w:r>
          </w:p>
        </w:tc>
        <w:tc>
          <w:tcPr>
            <w:tcW w:w="2527"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0.0005</w:t>
            </w:r>
          </w:p>
        </w:tc>
        <w:tc>
          <w:tcPr>
            <w:tcW w:w="2528"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0.0001</w:t>
            </w:r>
          </w:p>
        </w:tc>
      </w:tr>
      <w:tr>
        <w:trPr>
          <w:cantSplit/>
        </w:trPr>
        <w:tc>
          <w:tcPr>
            <w:tcW w:w="4305"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Trailing total</w:t>
            </w:r>
          </w:p>
        </w:tc>
        <w:tc>
          <w:tcPr>
            <w:tcW w:w="2527"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0.0399</w:t>
            </w:r>
          </w:p>
        </w:tc>
        <w:tc>
          <w:tcPr>
            <w:tcW w:w="2528"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0.0026</w:t>
            </w:r>
          </w:p>
        </w:tc>
      </w:tr>
    </w:tbl>
    <w:p>
      <w:pPr>
        <w:spacing w:after="80"/>
      </w:pPr>
    </w:p>
    <w:p>
      <w:pPr>
        <w:rPr>
          <w:rFonts w:asciiTheme="minorHAnsi" w:hAnsiTheme="minorHAnsi" w:cstheme="minorHAnsi"/>
        </w:rPr>
      </w:pPr>
      <w:r>
        <w:rPr>
          <w:rFonts w:asciiTheme="minorHAnsi" w:hAnsiTheme="minorHAnsi" w:cstheme="minorHAnsi"/>
        </w:rPr>
        <w:t xml:space="preserve">Recent availability carries most of the signal, and it says less about the more distant future: the weight on the trailing share falls from 0.61 in the valuation season to 0.27 five seasons out. A trailing win adds 0.04 to the share. The regression explains 30% of the variation in the valuation season’s share. Marchessault’s forecast share is 0.914 in 2024-25, about 75 games.</w:t>
      </w:r>
    </w:p>
    <w:p>
      <w:pPr>
        <w:rPr>
          <w:rFonts w:asciiTheme="minorHAnsi" w:hAnsiTheme="minorHAnsi" w:cstheme="minorHAnsi"/>
        </w:rPr>
      </w:pPr>
      <w:r>
        <w:rPr>
          <w:rFonts w:asciiTheme="minorHAnsi" w:hAnsiTheme="minorHAnsi" w:cstheme="minorHAnsi"/>
        </w:rPr>
        <w:t xml:space="preserve">Three choices in this equation were tested on the development valuations, scored on season WAR, the quantity the forecast prices. Reading the trailing WAR total rather than a trailing rate per 82 gave a season-WAR RMSE of 0.8093 against 0.8108; the rate was better in only 10 of 2,000 career resamples, although it fitted the share itself slightly better. A second level term, letting the slope change above one win, improved the share but raised season-WAR error (0.8107 against 0.8093) and was dropped. The squared age term lowered season-WAR error from 0.8088 to 0.8078, lower in 1,982 of 2,000 resamples. A logistic form fitted the share better but raised season-WAR error to 0.8108 and was not adopted.</w:t>
      </w:r>
    </w:p>
    <w:p>
      <w:pPr>
        <w:pStyle w:val="Heading1"/>
        <w:rPr>
          <w:rFonts w:asciiTheme="minorHAnsi" w:hAnsiTheme="minorHAnsi" w:cstheme="minorHAnsi"/>
        </w:rPr>
      </w:pPr>
      <w:r>
        <w:rPr>
          <w:rFonts w:asciiTheme="minorHAnsi" w:hAnsiTheme="minorHAnsi" w:cstheme="minorHAnsi"/>
        </w:rPr>
        <w:t xml:space="preserve">6. The Chance of Playing</w:t>
      </w:r>
    </w:p>
    <w:p>
      <w:pPr>
        <w:rPr>
          <w:rFonts w:asciiTheme="minorHAnsi" w:hAnsiTheme="minorHAnsi" w:cstheme="minorHAnsi"/>
        </w:rPr>
      </w:pPr>
      <w:r>
        <w:rPr>
          <w:rFonts w:asciiTheme="minorHAnsi" w:hAnsiTheme="minorHAnsi" w:cstheme="minorHAnsi"/>
        </w:rPr>
        <w:t xml:space="preserve">There is always a risk that a player does not play a season his contract covers: he may retire, be injured for the full season, be loaned to another league, or be unable to keep an NHL job. The chance of playing is the probability that he appears in at least one NHL game in a given season. The rate and the games share are forecast for the same event, a season in which he plays. The product in Section 2 is therefore an expectation of one quantity.</w:t>
      </w:r>
    </w:p>
    <w:p>
      <w:pPr>
        <w:pStyle w:val="Heading2"/>
        <w:rPr>
          <w:rFonts w:asciiTheme="minorHAnsi" w:hAnsiTheme="minorHAnsi" w:cstheme="minorHAnsi"/>
        </w:rPr>
      </w:pPr>
      <w:r>
        <w:rPr>
          <w:rFonts w:asciiTheme="minorHAnsi" w:hAnsiTheme="minorHAnsi" w:cstheme="minorHAnsi"/>
        </w:rPr>
        <w:t xml:space="preserve">The model</w:t>
      </w:r>
    </w:p>
    <w:p>
      <w:pPr>
        <w:rPr>
          <w:rFonts w:asciiTheme="minorHAnsi" w:hAnsiTheme="minorHAnsi" w:cstheme="minorHAnsi"/>
        </w:rPr>
      </w:pPr>
      <w:r>
        <w:rPr>
          <w:rFonts w:asciiTheme="minorHAnsi" w:hAnsiTheme="minorHAnsi" w:cstheme="minorHAnsi"/>
        </w:rPr>
        <w:t xml:space="preserve">For each season ahead, the model fits a separate logistic regression, refitted on each valuation date. A logistic regression turns a weighted sum of inputs into a probability between zero and one. The inputs are the player’s age in the target season and its square, his trailing total, his trailing games share, his experience, his position, whether he is under contract for the target season, and whether the target season is one whose contract status cannot be observed.</w:t>
      </w:r>
    </w:p>
    <w:p>
      <w:pPr>
        <w:rPr>
          <w:rFonts w:asciiTheme="minorHAnsi" w:hAnsiTheme="minorHAnsi" w:cstheme="minorHAnsi"/>
        </w:rPr>
      </w:pPr>
      <w:r>
        <w:rPr>
          <w:rFonts w:asciiTheme="minorHAnsi" w:hAnsiTheme="minorHAnsi" w:cstheme="minorHAnsi"/>
        </w:rPr>
        <w:t xml:space="preserve">Contract status counts only deals signed on or before the valuation date. The contract export holds only contracts that ended in 2018-19 or later, so it cannot show contract status for earlier seasons. In those seasons each player is recorded as not under contract, and a separate indicator marks the season as unobservable; without it, the model would read each player in those seasons as a free agent. Where a column has too little support at a horizon (fewer than 50 rows on either side of a yes-or-no input), it is dropped from that horizon’s fit. The fit carries a very small penalty that keeps coefficients finite where contract status nearly determines the outcome, and each probability is held between 0.005 and 0.995.</w:t>
      </w:r>
    </w:p>
    <w:p>
      <w:pPr>
        <w:rPr>
          <w:rFonts w:asciiTheme="minorHAnsi" w:hAnsiTheme="minorHAnsi" w:cstheme="minorHAnsi"/>
        </w:rPr>
      </w:pPr>
      <w:r>
        <w:rPr>
          <w:rFonts w:asciiTheme="minorHAnsi" w:hAnsiTheme="minorHAnsi" w:cstheme="minorHAnsi"/>
        </w:rPr>
        <w:t xml:space="preserve">The indicator was tested on the development valuations. It lowered season-WAR error from 0.8088 to 0.8085 (lower in 1,979 of 2,000 career resamples) and mean absolute error from 0.4673 to 0.4653, while the log loss of the probabilities rose slightly, from 0.4044 to 0.4047. It can enter a fit only from the 2019 valuation on, the first whose training seasons include 2018-19.</w:t>
      </w:r>
    </w:p>
    <w:p>
      <w:pPr>
        <w:rPr>
          <w:rFonts w:asciiTheme="minorHAnsi" w:hAnsiTheme="minorHAnsi" w:cstheme="minorHAnsi"/>
        </w:rPr>
      </w:pPr>
      <w:r>
        <w:rPr>
          <w:rFonts w:asciiTheme="minorHAnsi" w:hAnsiTheme="minorHAnsi" w:cstheme="minorHAnsi"/>
        </w:rPr>
        <w:t xml:space="preserve">Each season receives its own probability from the information at the valuation date. The probabilities are not chained. A player can therefore be forecast as likely to miss a season and likely to return in the next, which matches how careers behave.</w:t>
      </w:r>
    </w:p>
    <w:p>
      <w:pPr>
        <w:rPr>
          <w:rFonts w:asciiTheme="minorHAnsi" w:hAnsiTheme="minorHAnsi" w:cstheme="minorHAnsi"/>
        </w:rPr>
      </w:pPr>
      <w:r>
        <w:rPr>
          <w:rFonts w:asciiTheme="minorHAnsi" w:hAnsiTheme="minorHAnsi" w:cstheme="minorHAnsi"/>
        </w:rPr>
        <w:t xml:space="preserve">The fits for the 2024 valuation are below for the valuation season and three seasons out. The coefficients are the model’s; the standard errors, clustered by player, come from the same fit without the penalty, whose coefficients agree with the model’s to within 0.0001.</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Pr>
      <w:tblGrid>
        <w:gridCol w:w="3182"/>
        <w:gridCol w:w="1544"/>
        <w:gridCol w:w="1544"/>
        <w:gridCol w:w="1544"/>
        <w:gridCol w:w="1546"/>
      </w:tblGrid>
      <w:tr>
        <w:trPr>
          <w:tblHeader/>
          <w:cantSplit/>
        </w:trPr>
        <w:tc>
          <w:tcPr>
            <w:tcW w:w="3182" w:type="dxa"/>
            <w:shd w:val="clear" w:color="auto" w:fill="E7E6E6"/>
          </w:tcPr>
          <w:p>
            <w:pPr>
              <w:spacing w:before="20" w:after="20" w:line="240" w:lineRule="auto"/>
              <w:jc w:val="left"/>
              <w:rPr>
                <w:rFonts w:asciiTheme="minorHAnsi" w:hAnsiTheme="minorHAnsi" w:cstheme="minorHAnsi"/>
              </w:rPr>
            </w:pPr>
            <w:r>
              <w:rPr>
                <w:rFonts w:asciiTheme="minorHAnsi" w:hAnsiTheme="minorHAnsi" w:cstheme="minorHAnsi"/>
                <w:b/>
                <w:sz w:val="19"/>
                <w:szCs w:val="19"/>
              </w:rPr>
              <w:t xml:space="preserve">Input</w:t>
            </w:r>
          </w:p>
        </w:tc>
        <w:tc>
          <w:tcPr>
            <w:tcW w:w="1544"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Valuation season</w:t>
            </w:r>
          </w:p>
        </w:tc>
        <w:tc>
          <w:tcPr>
            <w:tcW w:w="1544"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Std. error</w:t>
            </w:r>
          </w:p>
        </w:tc>
        <w:tc>
          <w:tcPr>
            <w:tcW w:w="1544"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Three seasons out</w:t>
            </w:r>
          </w:p>
        </w:tc>
        <w:tc>
          <w:tcPr>
            <w:tcW w:w="1546"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Std. error</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Constant</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-2.5763</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0.1180</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-1.6812</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0.1184</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Age − 27 (target season)</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-0.3087</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0.0140</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-0.3840</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0.0236</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(Age − 27)²</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0.0024</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0.0013</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0.0018</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0.0018</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Trailing total</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0.8272</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0.0579</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0.8930</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0.0584</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Trailing games share</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4.4012</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0.1602</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3.8355</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0.1773</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Experience (seasons)</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0.0507</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0.0126</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0.0006</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0.0189</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Defence</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0.3451</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0.0663</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0.5094</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0.0872</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Under contract</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1.9193</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0.0966</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1.1760</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0.1837</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Status not observable</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1.0970</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0.0824</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0.1753</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0.0875</w:t>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Player-seasons (players)</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15,408 (2,338)</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12,407 (2,036)</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r>
      <w:tr>
        <w:trPr>
          <w:cantSplit/>
        </w:trPr>
        <w:tc>
          <w:tcPr>
            <w:tcW w:w="3182"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Share who played</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0.721</w:t>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c>
          <w:tcPr>
            <w:tcW w:w="1544"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0.481</w:t>
            </w:r>
          </w:p>
        </w:tc>
        <w:tc>
          <w:tcPr>
            <w:tcW w:w="154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
            </w:r>
          </w:p>
        </w:tc>
      </w:tr>
    </w:tbl>
    <w:p>
      <w:pPr>
        <w:spacing w:after="80"/>
      </w:pPr>
    </w:p>
    <w:p>
      <w:pPr>
        <w:rPr>
          <w:rFonts w:asciiTheme="minorHAnsi" w:hAnsiTheme="minorHAnsi" w:cstheme="minorHAnsi"/>
        </w:rPr>
      </w:pPr>
      <w:r>
        <w:rPr>
          <w:rFonts w:asciiTheme="minorHAnsi" w:hAnsiTheme="minorHAnsi" w:cstheme="minorHAnsi"/>
        </w:rPr>
        <w:t xml:space="preserve">Recent availability and level carry most of the signal. Near age 27, each year of age lowers the odds of playing by about a quarter in the valuation season. Being under contract raises the odds by a factor of about 6.8 in the valuation season and 3.2 three seasons out, against a player whose status is observed and who is not under contract.</w:t>
      </w:r>
    </w:p>
    <w:p>
      <w:pPr>
        <w:rPr>
          <w:rFonts w:asciiTheme="minorHAnsi" w:hAnsiTheme="minorHAnsi" w:cstheme="minorHAnsi"/>
        </w:rPr>
      </w:pPr>
      <w:r>
        <w:rPr>
          <w:rFonts w:asciiTheme="minorHAnsi" w:hAnsiTheme="minorHAnsi" w:cstheme="minorHAnsi"/>
        </w:rPr>
        <w:t xml:space="preserve">For Marchessault, under contract through 2028-29, the chance of playing is 0.988 in 2024-25, then 0.977, 0.947, 0.886, and 0.785 as he ages through 38.</w:t>
      </w:r>
    </w:p>
    <w:p>
      <w:pPr>
        <w:pStyle w:val="Heading2"/>
        <w:rPr>
          <w:rFonts w:asciiTheme="minorHAnsi" w:hAnsiTheme="minorHAnsi" w:cstheme="minorHAnsi"/>
        </w:rPr>
      </w:pPr>
      <w:r>
        <w:rPr>
          <w:rFonts w:asciiTheme="minorHAnsi" w:hAnsiTheme="minorHAnsi" w:cstheme="minorHAnsi"/>
        </w:rPr>
        <w:t xml:space="preserve">Evidence and limits</w:t>
      </w:r>
    </w:p>
    <w:p>
      <w:pPr>
        <w:rPr>
          <w:rFonts w:asciiTheme="minorHAnsi" w:hAnsiTheme="minorHAnsi" w:cstheme="minorHAnsi"/>
        </w:rPr>
      </w:pPr>
      <w:r>
        <w:rPr>
          <w:rFonts w:asciiTheme="minorHAnsi" w:hAnsiTheme="minorHAnsi" w:cstheme="minorHAnsi"/>
        </w:rPr>
        <w:t xml:space="preserve">The chance of playing replaced a table of exit rates by quality and age that was chained into a survival probability and that treated the valuation season as certain. In the development tests, with a version of the model that did not yet read contract status, the Brier score (the mean squared error of a probability forecast) fell from 0.1918 to 0.1359. That version also matched observed participation closely at each horizon: 0.795 predicted against 0.788 observed in the valuation season, and 0.391 against 0.429 five seasons out.</w:t>
      </w:r>
    </w:p>
    <w:p>
      <w:pPr>
        <w:rPr>
          <w:rFonts w:asciiTheme="minorHAnsi" w:hAnsiTheme="minorHAnsi" w:cstheme="minorHAnsi"/>
        </w:rPr>
      </w:pPr>
      <w:r>
        <w:rPr>
          <w:rFonts w:asciiTheme="minorHAnsi" w:hAnsiTheme="minorHAnsi" w:cstheme="minorHAnsi"/>
        </w:rPr>
        <w:t xml:space="preserve">Contract status was tested by itself. With the other parts of the forecast unchanged, adding it lowered season-WAR squared error in 1,985 of 2,000 resamples of players, and the Brier score was never higher.</w:t>
      </w:r>
    </w:p>
    <w:p>
      <w:pPr>
        <w:rPr>
          <w:rFonts w:asciiTheme="minorHAnsi" w:hAnsiTheme="minorHAnsi" w:cstheme="minorHAnsi"/>
        </w:rPr>
      </w:pPr>
      <w:r>
        <w:rPr>
          <w:rFonts w:asciiTheme="minorHAnsi" w:hAnsiTheme="minorHAnsi" w:cstheme="minorHAnsi"/>
        </w:rPr>
        <w:t xml:space="preserve">One miss remains. Players under contract stay in the league longer than the forecast expects from three seasons out. On the development valuations, among players under contract for the season, the forecast chance of playing five seasons out averaged 0.690 against 0.858 who played (233 player-seasons), and 0.781 against 0.910 for players with two or more trailing wins (89). Contract status known at the valuation date covers seasons already signed, so it cannot say whether a player will re-sign. A version fitted only on seasons under contract narrowed the gap (0.729 five seasons out) but raised the log loss from 0.4047 to 0.4056 and was not adopted.</w:t>
      </w:r>
    </w:p>
    <w:p>
      <w:pPr>
        <w:pStyle w:val="Heading1"/>
        <w:rPr>
          <w:rFonts w:asciiTheme="minorHAnsi" w:hAnsiTheme="minorHAnsi" w:cstheme="minorHAnsi"/>
        </w:rPr>
      </w:pPr>
      <w:r>
        <w:rPr>
          <w:rFonts w:asciiTheme="minorHAnsi" w:hAnsiTheme="minorHAnsi" w:cstheme="minorHAnsi"/>
        </w:rPr>
        <w:t xml:space="preserve">7. Seasons Past the Fitted Range</w:t>
      </w:r>
    </w:p>
    <w:p>
      <w:pPr>
        <w:rPr>
          <w:rFonts w:asciiTheme="minorHAnsi" w:hAnsiTheme="minorHAnsi" w:cstheme="minorHAnsi"/>
        </w:rPr>
      </w:pPr>
      <w:r>
        <w:rPr>
          <w:rFonts w:asciiTheme="minorHAnsi" w:hAnsiTheme="minorHAnsi" w:cstheme="minorHAnsi"/>
        </w:rPr>
        <w:t xml:space="preserve">Each forecast horizon needs enough history to be fitted: at least 200 player-seasons whose outcome had finished before the valuation date. The 2015 valuation can fit six seasons ahead, the 2018 valuation eight, and the 2024 and 2025 valuations twelve. A season beyond the fitted range continues the league-wide decline measured between the last two fitted horizons. The chance of playing continues its own measured decline, the rate absorbs the rest, and the games share is held. This extension overstates production by 3% to 20% one to three seasons beyond the fitted range. For contracts valued from 2018 onward it reaches only the end of the longest deals and their control years.</w:t>
      </w:r>
    </w:p>
    <w:p>
      <w:pPr>
        <w:pStyle w:val="Heading1"/>
        <w:rPr>
          <w:rFonts w:asciiTheme="minorHAnsi" w:hAnsiTheme="minorHAnsi" w:cstheme="minorHAnsi"/>
        </w:rPr>
      </w:pPr>
      <w:r>
        <w:rPr>
          <w:rFonts w:asciiTheme="minorHAnsi" w:hAnsiTheme="minorHAnsi" w:cstheme="minorHAnsi"/>
        </w:rPr>
        <w:t xml:space="preserve">8. A Worked Forecast</w:t>
      </w:r>
    </w:p>
    <w:p>
      <w:pPr>
        <w:rPr>
          <w:rFonts w:asciiTheme="minorHAnsi" w:hAnsiTheme="minorHAnsi" w:cstheme="minorHAnsi"/>
        </w:rPr>
      </w:pPr>
      <w:r>
        <w:rPr>
          <w:rFonts w:asciiTheme="minorHAnsi" w:hAnsiTheme="minorHAnsi" w:cstheme="minorHAnsi"/>
        </w:rPr>
        <w:t xml:space="preserve">Marchessault signed a five-year contract with Nashville on July 1, 2024, at age 33. The 2024 valuation reads his seasons through 2023-24 and fits each part of the model on seasons through 2023-24. The table walks each season through the three parts. Ages are on February 1 of the season’s ending year.</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Pr>
      <w:tblGrid>
        <w:gridCol w:w="1123"/>
        <w:gridCol w:w="1176"/>
        <w:gridCol w:w="1176"/>
        <w:gridCol w:w="1176"/>
        <w:gridCol w:w="1176"/>
        <w:gridCol w:w="1176"/>
        <w:gridCol w:w="1176"/>
        <w:gridCol w:w="1181"/>
      </w:tblGrid>
      <w:tr>
        <w:trPr>
          <w:tblHeader/>
          <w:cantSplit/>
        </w:trPr>
        <w:tc>
          <w:tcPr>
            <w:tcW w:w="1123" w:type="dxa"/>
            <w:shd w:val="clear" w:color="auto" w:fill="E7E6E6"/>
          </w:tcPr>
          <w:p>
            <w:pPr>
              <w:spacing w:before="20" w:after="20" w:line="240" w:lineRule="auto"/>
              <w:jc w:val="left"/>
              <w:rPr>
                <w:rFonts w:asciiTheme="minorHAnsi" w:hAnsiTheme="minorHAnsi" w:cstheme="minorHAnsi"/>
              </w:rPr>
            </w:pPr>
            <w:r>
              <w:rPr>
                <w:rFonts w:asciiTheme="minorHAnsi" w:hAnsiTheme="minorHAnsi" w:cstheme="minorHAnsi"/>
                <w:b/>
                <w:sz w:val="19"/>
                <w:szCs w:val="19"/>
              </w:rPr>
              <w:t xml:space="preserve">Season</w:t>
            </w:r>
          </w:p>
        </w:tc>
        <w:tc>
          <w:tcPr>
            <w:tcW w:w="1176"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Age</w:t>
            </w:r>
          </w:p>
        </w:tc>
        <w:tc>
          <w:tcPr>
            <w:tcW w:w="1176"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Change from age 34</w:t>
            </w:r>
          </w:p>
        </w:tc>
        <w:tc>
          <w:tcPr>
            <w:tcW w:w="1176"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Rate per 82</w:t>
            </w:r>
          </w:p>
        </w:tc>
        <w:tc>
          <w:tcPr>
            <w:tcW w:w="1176"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Games share</w:t>
            </w:r>
          </w:p>
        </w:tc>
        <w:tc>
          <w:tcPr>
            <w:tcW w:w="1176"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WAR if he plays</w:t>
            </w:r>
          </w:p>
        </w:tc>
        <w:tc>
          <w:tcPr>
            <w:tcW w:w="1176"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Chance of playing</w:t>
            </w:r>
          </w:p>
        </w:tc>
        <w:tc>
          <w:tcPr>
            <w:tcW w:w="1181" w:type="dxa"/>
            <w:shd w:val="clear" w:color="auto" w:fill="E7E6E6"/>
          </w:tcPr>
          <w:p>
            <w:pPr>
              <w:spacing w:before="20" w:after="20" w:line="240" w:lineRule="auto"/>
              <w:jc w:val="right"/>
              <w:rPr>
                <w:rFonts w:asciiTheme="minorHAnsi" w:hAnsiTheme="minorHAnsi" w:cstheme="minorHAnsi"/>
              </w:rPr>
            </w:pPr>
            <w:r>
              <w:rPr>
                <w:rFonts w:asciiTheme="minorHAnsi" w:hAnsiTheme="minorHAnsi" w:cstheme="minorHAnsi"/>
                <w:b/>
                <w:sz w:val="19"/>
                <w:szCs w:val="19"/>
              </w:rPr>
              <w:t xml:space="preserve">Expected WAR</w:t>
            </w:r>
          </w:p>
        </w:tc>
      </w:tr>
      <w:tr>
        <w:trPr>
          <w:cantSplit/>
        </w:trPr>
        <w:tc>
          <w:tcPr>
            <w:tcW w:w="1123"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2024-25</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34</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0.000</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2.070</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0.914</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1.891</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0.988</w:t>
            </w:r>
          </w:p>
        </w:tc>
        <w:tc>
          <w:tcPr>
            <w:tcW w:w="1181"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1.869</w:t>
            </w:r>
          </w:p>
        </w:tc>
      </w:tr>
      <w:tr>
        <w:trPr>
          <w:cantSplit/>
        </w:trPr>
        <w:tc>
          <w:tcPr>
            <w:tcW w:w="1123"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2025-26</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35</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-0.280</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1.791</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0.896</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1.604</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0.977</w:t>
            </w:r>
          </w:p>
        </w:tc>
        <w:tc>
          <w:tcPr>
            <w:tcW w:w="1181"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1.566</w:t>
            </w:r>
          </w:p>
        </w:tc>
      </w:tr>
      <w:tr>
        <w:trPr>
          <w:cantSplit/>
        </w:trPr>
        <w:tc>
          <w:tcPr>
            <w:tcW w:w="1123"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2026-27</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36</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-0.540</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1.530</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0.892</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1.365</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0.947</w:t>
            </w:r>
          </w:p>
        </w:tc>
        <w:tc>
          <w:tcPr>
            <w:tcW w:w="1181"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1.292</w:t>
            </w:r>
          </w:p>
        </w:tc>
      </w:tr>
      <w:tr>
        <w:trPr>
          <w:cantSplit/>
        </w:trPr>
        <w:tc>
          <w:tcPr>
            <w:tcW w:w="1123"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2027-28</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37</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-0.778</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1.292</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0.903</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1.168</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0.886</w:t>
            </w:r>
          </w:p>
        </w:tc>
        <w:tc>
          <w:tcPr>
            <w:tcW w:w="1181"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1.034</w:t>
            </w:r>
          </w:p>
        </w:tc>
      </w:tr>
      <w:tr>
        <w:trPr>
          <w:cantSplit/>
        </w:trPr>
        <w:tc>
          <w:tcPr>
            <w:tcW w:w="1123" w:type="dxa"/>
          </w:tcPr>
          <w:p>
            <w:pPr>
              <w:spacing w:before="20" w:after="20" w:line="240" w:lineRule="auto"/>
              <w:jc w:val="left"/>
              <w:rPr>
                <w:rFonts w:asciiTheme="minorHAnsi" w:hAnsiTheme="minorHAnsi" w:cstheme="minorHAnsi"/>
              </w:rPr>
            </w:pPr>
            <w:r>
              <w:rPr>
                <w:rFonts w:asciiTheme="minorHAnsi" w:hAnsiTheme="minorHAnsi" w:cstheme="minorHAnsi"/>
                <w:sz w:val="19"/>
                <w:szCs w:val="19"/>
              </w:rPr>
              <w:t xml:space="preserve">2028-29</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38</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-1.181</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0.890</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0.931</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0.828</w:t>
            </w:r>
          </w:p>
        </w:tc>
        <w:tc>
          <w:tcPr>
            <w:tcW w:w="1176"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0.785</w:t>
            </w:r>
          </w:p>
        </w:tc>
        <w:tc>
          <w:tcPr>
            <w:tcW w:w="1181" w:type="dxa"/>
          </w:tcPr>
          <w:p>
            <w:pPr>
              <w:spacing w:before="20" w:after="20" w:line="240" w:lineRule="auto"/>
              <w:jc w:val="right"/>
              <w:rPr>
                <w:rFonts w:asciiTheme="minorHAnsi" w:hAnsiTheme="minorHAnsi" w:cstheme="minorHAnsi"/>
              </w:rPr>
            </w:pPr>
            <w:r>
              <w:rPr>
                <w:rFonts w:asciiTheme="minorHAnsi" w:hAnsiTheme="minorHAnsi" w:cstheme="minorHAnsi"/>
                <w:sz w:val="19"/>
                <w:szCs w:val="19"/>
              </w:rPr>
              <w:t xml:space="preserve">0.650</w:t>
            </w:r>
          </w:p>
        </w:tc>
      </w:tr>
    </w:tbl>
    <w:p>
      <w:pPr>
        <w:spacing w:after="80"/>
      </w:pPr>
    </w:p>
    <w:p>
      <w:pPr>
        <w:rPr>
          <w:rFonts w:asciiTheme="minorHAnsi" w:hAnsiTheme="minorHAnsi" w:cstheme="minorHAnsi"/>
        </w:rPr>
      </w:pPr>
      <w:r>
        <w:rPr>
          <w:rFonts w:asciiTheme="minorHAnsi" w:hAnsiTheme="minorHAnsi" w:cstheme="minorHAnsi"/>
        </w:rPr>
        <w:t xml:space="preserve">The forecast expects a steady decline. The first two seasons fell much further: 0.60 WAR in 78 games in 2024-25, and -0.31 in 62 games in 2025-26, against 1.89 and 1.60 forecast if he played. One case cannot measure accuracy, but it shows the size of the misses a single forecast carries. The pricing document allows for them through the forecast spread behind the salary floor.</w:t>
      </w:r>
    </w:p>
    <w:p>
      <w:pPr>
        <w:pStyle w:val="Heading1"/>
        <w:rPr>
          <w:rFonts w:asciiTheme="minorHAnsi" w:hAnsiTheme="minorHAnsi" w:cstheme="minorHAnsi"/>
        </w:rPr>
      </w:pPr>
      <w:r>
        <w:rPr>
          <w:rFonts w:asciiTheme="minorHAnsi" w:hAnsiTheme="minorHAnsi" w:cstheme="minorHAnsi"/>
        </w:rPr>
        <w:t xml:space="preserve">9. Validation and Remaining Limits</w:t>
      </w:r>
    </w:p>
    <w:p>
      <w:pPr>
        <w:rPr>
          <w:rFonts w:asciiTheme="minorHAnsi" w:hAnsiTheme="minorHAnsi" w:cstheme="minorHAnsi"/>
        </w:rPr>
      </w:pPr>
      <w:r>
        <w:rPr>
          <w:rFonts w:asciiTheme="minorHAnsi" w:hAnsiTheme="minorHAnsi" w:cstheme="minorHAnsi"/>
        </w:rPr>
        <w:t xml:space="preserve">The forecast’s design was chosen on the development valuation dates, 2015-2021. On those dates its season-WAR RMSE is 0.8075 over 40,510 player-seasons of 1,609 players, zero to five seasons ahead. An earlier version, with a fitted starting rate and trailing weights chosen from the data, was scored once on 2022-2025 under a rule declared before the run. Its RMSE was 0.9001 on 9,063 forecasts of 1,171 players zero to three seasons ahead, against 0.9724 for the version before it, and it was more accurate in each of 2,000 resamples of players. Those valuation dates were not unseen: an earlier test of the scoring code had scored two models on them. The current forecast changes the starting rate, the aging curve’s level and departures, the games share, and the chance of playing. It has not been scored on 2022-2025, and how it will be validated has not yet been decided.</w:t>
      </w:r>
    </w:p>
    <w:p>
      <w:pPr>
        <w:rPr>
          <w:rFonts w:asciiTheme="minorHAnsi" w:hAnsiTheme="minorHAnsi" w:cstheme="minorHAnsi"/>
        </w:rPr>
      </w:pPr>
      <w:r>
        <w:rPr>
          <w:rFonts w:asciiTheme="minorHAnsi" w:hAnsiTheme="minorHAnsi" w:cstheme="minorHAnsi"/>
        </w:rPr>
        <w:t xml:space="preserve">The forecast has three recorded limits. The best players are under-forecast by about four-tenths of a win a season one to five seasons out. Players with one or two counted seasons start too high. Players under contract are given too low a chance of playing from three seasons out. Each is reported with the results; none of the changes tested for them was adopted.</w:t>
      </w:r>
    </w:p>
    <w:sectPr w:rsidR="00FD10A4" w:rsidRPr="000912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E0761"/>
    <w:multiLevelType w:val="hybridMultilevel"/>
    <w:tmpl w:val="4A842726"/>
    <w:lvl w:ilvl="0" w:tplc="56C09BFC">
      <w:start w:val="1"/>
      <w:numFmt w:val="bullet"/>
      <w:lvlText w:val="●"/>
      <w:lvlJc w:val="left"/>
      <w:pPr>
        <w:ind w:left="720" w:hanging="360"/>
      </w:pPr>
    </w:lvl>
    <w:lvl w:ilvl="1" w:tplc="A78AC8D8">
      <w:start w:val="1"/>
      <w:numFmt w:val="bullet"/>
      <w:lvlText w:val="○"/>
      <w:lvlJc w:val="left"/>
      <w:pPr>
        <w:ind w:left="1440" w:hanging="360"/>
      </w:pPr>
    </w:lvl>
    <w:lvl w:ilvl="2" w:tplc="AFDAB022">
      <w:start w:val="1"/>
      <w:numFmt w:val="bullet"/>
      <w:lvlText w:val="■"/>
      <w:lvlJc w:val="left"/>
      <w:pPr>
        <w:ind w:left="2160" w:hanging="360"/>
      </w:pPr>
    </w:lvl>
    <w:lvl w:ilvl="3" w:tplc="A664C3AC">
      <w:start w:val="1"/>
      <w:numFmt w:val="bullet"/>
      <w:lvlText w:val="●"/>
      <w:lvlJc w:val="left"/>
      <w:pPr>
        <w:ind w:left="2880" w:hanging="360"/>
      </w:pPr>
    </w:lvl>
    <w:lvl w:ilvl="4" w:tplc="26B43ECE">
      <w:start w:val="1"/>
      <w:numFmt w:val="bullet"/>
      <w:lvlText w:val="○"/>
      <w:lvlJc w:val="left"/>
      <w:pPr>
        <w:ind w:left="3600" w:hanging="360"/>
      </w:pPr>
    </w:lvl>
    <w:lvl w:ilvl="5" w:tplc="CD224704">
      <w:start w:val="1"/>
      <w:numFmt w:val="bullet"/>
      <w:lvlText w:val="■"/>
      <w:lvlJc w:val="left"/>
      <w:pPr>
        <w:ind w:left="4320" w:hanging="360"/>
      </w:pPr>
    </w:lvl>
    <w:lvl w:ilvl="6" w:tplc="B546D15E">
      <w:start w:val="1"/>
      <w:numFmt w:val="bullet"/>
      <w:lvlText w:val="●"/>
      <w:lvlJc w:val="left"/>
      <w:pPr>
        <w:ind w:left="5040" w:hanging="360"/>
      </w:pPr>
    </w:lvl>
    <w:lvl w:ilvl="7" w:tplc="ABF8CE32">
      <w:start w:val="1"/>
      <w:numFmt w:val="bullet"/>
      <w:lvlText w:val="●"/>
      <w:lvlJc w:val="left"/>
      <w:pPr>
        <w:ind w:left="5760" w:hanging="360"/>
      </w:pPr>
    </w:lvl>
    <w:lvl w:ilvl="8" w:tplc="D2CA3600">
      <w:start w:val="1"/>
      <w:numFmt w:val="bullet"/>
      <w:lvlText w:val="●"/>
      <w:lvlJc w:val="left"/>
      <w:pPr>
        <w:ind w:left="6480" w:hanging="360"/>
      </w:pPr>
    </w:lvl>
  </w:abstractNum>
  <w:num w:numId="1" w16cid:durableId="1016349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0A4"/>
    <w:rsid w:val="0009126F"/>
    <w:rsid w:val="00240904"/>
    <w:rsid w:val="002F0D96"/>
    <w:rsid w:val="004341A2"/>
    <w:rsid w:val="004F5377"/>
    <w:rsid w:val="00563F95"/>
    <w:rsid w:val="00590D4F"/>
    <w:rsid w:val="005C0F74"/>
    <w:rsid w:val="006034F5"/>
    <w:rsid w:val="00636594"/>
    <w:rsid w:val="006406F0"/>
    <w:rsid w:val="00660853"/>
    <w:rsid w:val="00775321"/>
    <w:rsid w:val="007E751A"/>
    <w:rsid w:val="00831EFC"/>
    <w:rsid w:val="0091049F"/>
    <w:rsid w:val="009105B3"/>
    <w:rsid w:val="00B229B1"/>
    <w:rsid w:val="00C444E1"/>
    <w:rsid w:val="00C97F34"/>
    <w:rsid w:val="00CD25AD"/>
    <w:rsid w:val="00E20E0A"/>
    <w:rsid w:val="00E23368"/>
    <w:rsid w:val="00FD10A4"/>
    <w:rsid w:val="00FE2E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FC86B"/>
  <w15:docId w15:val="{173A5462-0475-469F-8A75-9FA89289B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color w:val="000000"/>
      <w:sz w:val="22"/>
      <w:szCs w:val="22"/>
    </w:rPr>
  </w:style>
  <w:style w:type="paragraph" w:styleId="Heading1">
    <w:name w:val="heading 1"/>
    <w:uiPriority w:val="9"/>
    <w:qFormat/>
    <w:pPr>
      <w:keepNext/>
      <w:keepLines/>
      <w:spacing w:before="280" w:after="140" w:line="276" w:lineRule="auto"/>
      <w:outlineLvl w:val="0"/>
    </w:pPr>
    <w:rPr>
      <w:b/>
      <w:color w:val="2E74B5"/>
      <w:sz w:val="26"/>
      <w:szCs w:val="26"/>
    </w:rPr>
  </w:style>
  <w:style w:type="paragraph" w:styleId="Heading2">
    <w:name w:val="heading 2"/>
    <w:uiPriority w:val="9"/>
    <w:unhideWhenUsed/>
    <w:qFormat/>
    <w:pPr>
      <w:keepNext/>
      <w:keepLines/>
      <w:spacing w:before="200" w:after="140" w:line="276" w:lineRule="auto"/>
      <w:outlineLvl w:val="1"/>
    </w:pPr>
    <w:rPr>
      <w:b/>
      <w:color w:val="1F4D78"/>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line="276" w:lineRule="auto"/>
    </w:pPr>
    <w:rPr>
      <w:b/>
      <w:color w:val="000000"/>
      <w:sz w:val="30"/>
      <w:szCs w:val="3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8</Pages>
  <Words>3598</Words>
  <Characters>20515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Mihaljevic</cp:lastModifiedBy>
  <cp:revision>17</cp:revision>
  <dcterms:created xsi:type="dcterms:W3CDTF">2026-09-09T20:55:00Z</dcterms:created>
  <dcterms:modified xsi:type="dcterms:W3CDTF">2026-09-11T13:04:00Z</dcterms:modified>
</cp:coreProperties>
</file>