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rPr>
          <w:rFonts w:asciiTheme="minorHAnsi" w:hAnsiTheme="minorHAnsi" w:cstheme="minorHAnsi"/>
        </w:rPr>
      </w:pPr>
      <w:r>
        <w:rPr>
          <w:rFonts w:asciiTheme="minorHAnsi" w:hAnsiTheme="minorHAnsi" w:cstheme="minorHAnsi"/>
        </w:rPr>
        <w:t xml:space="preserve">Pricing, Control Years, and Contract Value</w:t>
      </w:r>
    </w:p>
    <w:p>
      <w:pPr>
        <w:rPr>
          <w:rFonts w:asciiTheme="minorHAnsi" w:hAnsiTheme="minorHAnsi" w:cstheme="minorHAnsi"/>
        </w:rPr>
      </w:pPr>
      <w:r>
        <w:rPr>
          <w:rFonts w:asciiTheme="minorHAnsi" w:hAnsiTheme="minorHAnsi" w:cstheme="minorHAnsi"/>
        </w:rPr>
        <w:t xml:space="preserve">The production document forecasts, for each season a contract has left, the player’s WAR if he plays and his chance of playing. This document turns those forecasts into a contract value. For each season the model prices the forecast WAR at what clubs pay for it on a contract of that length, weights that price by the chance he plays, subtracts the cap hit, and discounts the result to the valuation date. If the player remains under restricted-free-agent control after the contract expires, it adds the expected surplus from those years.</w:t>
      </w:r>
    </w:p>
    <w:p>
      <w:pPr>
        <w:pStyle w:val="Heading1"/>
        <w:rPr>
          <w:rFonts w:asciiTheme="minorHAnsi" w:hAnsiTheme="minorHAnsi" w:cstheme="minorHAnsi"/>
        </w:rPr>
      </w:pPr>
      <w:r>
        <w:rPr>
          <w:rFonts w:asciiTheme="minorHAnsi" w:hAnsiTheme="minorHAnsi" w:cstheme="minorHAnsi"/>
        </w:rPr>
        <w:t xml:space="preserve">1. Turning Wins into Dollars</w:t>
      </w:r>
    </w:p>
    <w:p>
      <w:pPr>
        <w:pStyle w:val="Heading2"/>
        <w:rPr>
          <w:rFonts w:asciiTheme="minorHAnsi" w:hAnsiTheme="minorHAnsi" w:cstheme="minorHAnsi"/>
        </w:rPr>
      </w:pPr>
      <w:r>
        <w:rPr>
          <w:rFonts w:asciiTheme="minorHAnsi" w:hAnsiTheme="minorHAnsi" w:cstheme="minorHAnsi"/>
        </w:rPr>
        <w:t xml:space="preserve">The price line</w:t>
      </w:r>
    </w:p>
    <w:p>
      <w:pPr>
        <w:rPr>
          <w:rFonts w:asciiTheme="minorHAnsi" w:hAnsiTheme="minorHAnsi" w:cstheme="minorHAnsi"/>
        </w:rPr>
      </w:pPr>
      <w:r>
        <w:rPr>
          <w:rFonts w:asciiTheme="minorHAnsi" w:hAnsiTheme="minorHAnsi" w:cstheme="minorHAnsi"/>
        </w:rPr>
        <w:t xml:space="preserve">The model needs a dollar value for a win, and it takes that value from what clubs pay. It fits a price line, which is the relationship between a skater’s forecast production, the length of his contract, and his cap hit, on standard-level UFA and RFA skater contracts that started from 2018-19 through 2025-26. Salary and the league minimum are both measured as shares of that season’s salary cap, which makes contracts from different salary environments comparable.</w:t>
      </w:r>
    </w:p>
    <w:p>
      <w:pPr>
        <w:rPr>
          <w:rFonts w:asciiTheme="minorHAnsi" w:hAnsiTheme="minorHAnsi" w:cstheme="minorHAnsi"/>
        </w:rPr>
      </w:pPr>
      <w:r>
        <w:rPr>
          <w:rFonts w:asciiTheme="minorHAnsi" w:hAnsiTheme="minorHAnsi" w:cstheme="minorHAnsi"/>
        </w:rPr>
        <w:t xml:space="preserve">The production measure is the forecast described in the production document: the player’s WAR if he plays in the contract’s first season, forecast from the date the contract was signed. It uses only seasons complete by the signing date, so it cannot see the contract it is pricing or any season played after the contract was agreed. Most contracts (1,910) were signed after the previous season was complete and are forecast for the season about to start; 386 were signed earlier, such as an extension signed during a season, and are forecast one season further ahead. Of the 2,349 contracts in the sample, 53 have no forecast at their signing (50 with no qualifying recent season at that date and 3 signed after their first season began); the line is fitted on the remaining 2,296.</w:t>
      </w:r>
    </w:p>
    <w:p>
      <w:pPr>
        <w:rPr>
          <w:rFonts w:asciiTheme="minorHAnsi" w:hAnsiTheme="minorHAnsi" w:cstheme="minorHAnsi"/>
        </w:rPr>
      </w:pPr>
      <w:r>
        <w:rPr>
          <w:rFonts w:asciiTheme="minorHAnsi" w:hAnsiTheme="minorHAnsi" w:cstheme="minorHAnsi"/>
        </w:rPr>
        <w:t xml:space="preserve">The line is fitted on the same quantity it later prices. A season’s value in Section 4 is the price of the forecast WAR, so the line must be in forecast wins. The forecast is pulled toward the league average: on these contracts it runs at about 0.14 + 0.72 × the player’s trailing total (the 50/30/20 average of his WAR over the three seasons before the signing), so a player with four trailing wins is forecast at about 3.0. A line fitted per trailing win and then applied to forecast wins would under-price each win above its intercept, and good players would look overpaid by construction. The back-test would read that built-in tilt as mispricing.</w:t>
      </w:r>
    </w:p>
    <w:p>
      <w:pPr>
        <w:pStyle w:val="Heading2"/>
        <w:rPr>
          <w:rFonts w:asciiTheme="minorHAnsi" w:hAnsiTheme="minorHAnsi" w:cstheme="minorHAnsi"/>
        </w:rPr>
      </w:pPr>
      <w:r>
        <w:rPr>
          <w:rFonts w:asciiTheme="minorHAnsi" w:hAnsiTheme="minorHAnsi" w:cstheme="minorHAnsi"/>
        </w:rPr>
        <w:t xml:space="preserve">Contracts at the league minimum</w:t>
      </w:r>
    </w:p>
    <w:p>
      <w:pPr>
        <w:rPr>
          <w:rFonts w:asciiTheme="minorHAnsi" w:hAnsiTheme="minorHAnsi" w:cstheme="minorHAnsi"/>
        </w:rPr>
      </w:pPr>
      <w:r>
        <w:rPr>
          <w:rFonts w:asciiTheme="minorHAnsi" w:hAnsiTheme="minorHAnsi" w:cstheme="minorHAnsi"/>
        </w:rPr>
        <w:t xml:space="preserve">Of the 2,296 contracts, 515 pay the league minimum. A player cannot be paid less than that amount, even if his production would otherwise command a lower salary, so a minimum-salary contract says only that the market valued him at the minimum or below. The model handles this constraint with a censored regression, also called a Tobit model. For salaries above the minimum, it measures how closely the line predicts observed pay. For minimum-salary contracts, it measures how likely the line is to place the player at or below the minimum. This retains those observations without treating the floor as a market price. The calculation assumes that the underlying price is a straight line in production and contract length, and that unexplained differences around the line follow a normal distribution.</w:t>
      </w:r>
    </w:p>
    <w:p>
      <w:pPr>
        <w:pStyle w:val="Heading2"/>
        <w:rPr>
          <w:rFonts w:asciiTheme="minorHAnsi" w:hAnsiTheme="minorHAnsi" w:cstheme="minorHAnsi"/>
        </w:rPr>
      </w:pPr>
      <w:r>
        <w:rPr>
          <w:rFonts w:asciiTheme="minorHAnsi" w:hAnsiTheme="minorHAnsi" w:cstheme="minorHAnsi"/>
        </w:rPr>
        <w:t xml:space="preserve">The fitted line</w:t>
      </w:r>
    </w:p>
    <w:p>
      <w:pPr>
        <w:rPr>
          <w:rFonts w:asciiTheme="minorHAnsi" w:hAnsiTheme="minorHAnsi" w:cstheme="minorHAnsi"/>
        </w:rPr>
      </w:pPr>
      <w:r>
        <w:rPr>
          <w:rFonts w:asciiTheme="minorHAnsi" w:hAnsiTheme="minorHAnsi" w:cstheme="minorHAnsi"/>
        </w:rPr>
        <w:t xml:space="preserve">The line has one intercept, a separate slope for defencemen, and a term for contract length in years:</w:t>
      </w:r>
    </w:p>
    <w:p>
      <w:pPr>
        <w:spacing w:after="200"/>
        <w:ind w:left="720"/>
        <w:rPr>
          <w:rFonts w:asciiTheme="minorHAnsi" w:hAnsiTheme="minorHAnsi" w:cstheme="minorHAnsi"/>
        </w:rPr>
      </w:pPr>
      <w:r>
        <w:rPr>
          <w:rFonts w:asciiTheme="minorHAnsi" w:hAnsiTheme="minorHAnsi" w:cstheme="minorHAnsi"/>
          <w:i/>
        </w:rPr>
        <w:t xml:space="preserve">cap share = alpha + (beta + beta_D × defence) × forecast WAR + gamma × years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182"/>
        <w:gridCol w:w="2059"/>
        <w:gridCol w:w="2059"/>
        <w:gridCol w:w="2060"/>
      </w:tblGrid>
      <w:tr>
        <w:trPr>
          <w:tblHeader/>
          <w:cantSplit/>
        </w:trPr>
        <w:tc>
          <w:tcPr>
            <w:tcW w:w="3182"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Term</w:t>
            </w:r>
          </w:p>
        </w:tc>
        <w:tc>
          <w:tcPr>
            <w:tcW w:w="2059"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Cap share</w:t>
            </w:r>
          </w:p>
        </w:tc>
        <w:tc>
          <w:tcPr>
            <w:tcW w:w="2059"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Std. error</w:t>
            </w:r>
          </w:p>
        </w:tc>
        <w:tc>
          <w:tcPr>
            <w:tcW w:w="206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At a $95.5 million cap</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Intercept, alpha</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-0.436%</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0.057%</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-$0.416 million</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Per forecast win, forwards (beta)</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1.747%</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0.061%</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$1.668 million</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Additional per win, defencemen (beta_D)</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0.360%</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0.123%</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$0.344 million</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Per forecast win, defencemen</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2.107%</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$2.012 million</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Per year of contract length (gamma)</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0.893%</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0.021%</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$0.853 million</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Residual spread (sigma)</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1.570%</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r>
    </w:tbl>
    <w:p>
      <w:pPr>
        <w:spacing w:after="80"/>
      </w:pPr>
    </w:p>
    <w:p>
      <w:pPr>
        <w:rPr>
          <w:rFonts w:asciiTheme="minorHAnsi" w:hAnsiTheme="minorHAnsi" w:cstheme="minorHAnsi"/>
        </w:rPr>
      </w:pPr>
      <w:r>
        <w:rPr>
          <w:rFonts w:asciiTheme="minorHAnsi" w:hAnsiTheme="minorHAnsi" w:cstheme="minorHAnsi"/>
        </w:rPr>
        <w:t xml:space="preserve">At the 2025-26 cap, a forward forecast at two wins if he plays is priced at $7.19 million a season on a five-year contract: -$0.416 million, plus two wins at $1.668 million, plus five years at $0.853 million. On a one-year contract the same forward is priced at $3.77 million, and a defenceman with the same forecast on a five-year contract at $7.87 million. These are point prices, before the league minimum in Section 2.</w:t>
      </w:r>
    </w:p>
    <w:p>
      <w:pPr>
        <w:rPr>
          <w:rFonts w:asciiTheme="minorHAnsi" w:hAnsiTheme="minorHAnsi" w:cstheme="minorHAnsi"/>
        </w:rPr>
      </w:pPr>
      <w:r>
        <w:rPr>
          <w:rFonts w:asciiTheme="minorHAnsi" w:hAnsiTheme="minorHAnsi" w:cstheme="minorHAnsi"/>
        </w:rPr>
        <w:t xml:space="preserve">The sample begins in 2018-19 because earlier contract coverage is thin. The export contains 63, 223, and 452 contracts starting in 2015, 2016, and 2017, compared with 275 to 335 a year in the sample.</w:t>
      </w:r>
    </w:p>
    <w:p>
      <w:pPr>
        <w:pStyle w:val="Heading2"/>
        <w:rPr>
          <w:rFonts w:asciiTheme="minorHAnsi" w:hAnsiTheme="minorHAnsi" w:cstheme="minorHAnsi"/>
        </w:rPr>
      </w:pPr>
      <w:r>
        <w:rPr>
          <w:rFonts w:asciiTheme="minorHAnsi" w:hAnsiTheme="minorHAnsi" w:cstheme="minorHAnsi"/>
        </w:rPr>
        <w:t xml:space="preserve">How well it fits, and what that means</w:t>
      </w:r>
    </w:p>
    <w:p>
      <w:pPr>
        <w:rPr>
          <w:rFonts w:asciiTheme="minorHAnsi" w:hAnsiTheme="minorHAnsi" w:cstheme="minorHAnsi"/>
        </w:rPr>
      </w:pPr>
      <w:r>
        <w:rPr>
          <w:rFonts w:asciiTheme="minorHAnsi" w:hAnsiTheme="minorHAnsi" w:cstheme="minorHAnsi"/>
        </w:rPr>
        <w:t xml:space="preserve">Contract length carries a large share of what the line explains. Fitted on the same 2,296 contracts without the length term, the line prices a forecast win at $2.968 million for forwards and $4.259 million for defencemen, with an intercept of $0.780 million. Adding the term raises the censored log-likelihood from 3,897.2 to 4,526.4 for one more parameter, and the residual spread falls from 2.19% to 1.57% of the cap. Dating the forecast at the signing rather than at the contract’s start, without the term, changed the log-likelihood by -8.6. The signing-dated forecast explains pay no better than one that read seasons played after the signing; it is used because it cannot see them.</w:t>
      </w:r>
    </w:p>
    <w:p>
      <w:pPr>
        <w:rPr>
          <w:rFonts w:asciiTheme="minorHAnsi" w:hAnsiTheme="minorHAnsi" w:cstheme="minorHAnsi"/>
        </w:rPr>
      </w:pPr>
      <w:r>
        <w:rPr>
          <w:rFonts w:asciiTheme="minorHAnsi" w:hAnsiTheme="minorHAnsi" w:cstheme="minorHAnsi"/>
        </w:rPr>
        <w:t xml:space="preserve">The tables below compare observed pay with each line’s expected pay, in millions of dollars at a $95.5 million cap, by the player’s forecast and by contract length.</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182"/>
        <w:gridCol w:w="1544"/>
        <w:gridCol w:w="1544"/>
        <w:gridCol w:w="1544"/>
        <w:gridCol w:w="1546"/>
      </w:tblGrid>
      <w:tr>
        <w:trPr>
          <w:tblHeader/>
          <w:cantSplit/>
        </w:trPr>
        <w:tc>
          <w:tcPr>
            <w:tcW w:w="3182"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Forecast WAR</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Contracts</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Observed</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Line without length</w:t>
            </w:r>
          </w:p>
        </w:tc>
        <w:tc>
          <w:tcPr>
            <w:tcW w:w="154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Line with length</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Below 0</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456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1.42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1.40</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1.40</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0 to 0.5</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1,006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1.72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2.12</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1.96</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0.5 to 1</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487</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3.15</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3.31</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3.23</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1 to 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268</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5.41</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5.15</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5.35</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 or more</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79</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9.30</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8.76</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8.90</w:t>
            </w:r>
          </w:p>
        </w:tc>
      </w:tr>
    </w:tbl>
    <w:p>
      <w:pPr>
        <w:spacing w:after="80"/>
      </w:pP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182"/>
        <w:gridCol w:w="1544"/>
        <w:gridCol w:w="1544"/>
        <w:gridCol w:w="1544"/>
        <w:gridCol w:w="1546"/>
      </w:tblGrid>
      <w:tr>
        <w:trPr>
          <w:tblHeader/>
          <w:cantSplit/>
        </w:trPr>
        <w:tc>
          <w:tcPr>
            <w:tcW w:w="3182"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Contract length</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Contracts</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Observed</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Line without length</w:t>
            </w:r>
          </w:p>
        </w:tc>
        <w:tc>
          <w:tcPr>
            <w:tcW w:w="154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Line with length</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1 year</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1,034</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1.41</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2.18</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1.49</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646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1.97</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2.55</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2.22</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3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208</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3.39</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3.26</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3.34</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4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132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4.65</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3.59</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4.35</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5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60</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5.96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4.54</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5.81</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6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64</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6.16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4.01</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6.30</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7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59</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7.87</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5.02</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7.74</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8 years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93</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9.08</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6.16</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9.27</w:t>
            </w:r>
          </w:p>
        </w:tc>
      </w:tr>
    </w:tbl>
    <w:p>
      <w:pPr>
        <w:spacing w:after="80"/>
      </w:pPr>
    </w:p>
    <w:p>
      <w:pPr>
        <w:rPr>
          <w:rFonts w:asciiTheme="minorHAnsi" w:hAnsiTheme="minorHAnsi" w:cstheme="minorHAnsi"/>
        </w:rPr>
      </w:pPr>
      <w:r>
        <w:rPr>
          <w:rFonts w:asciiTheme="minorHAnsi" w:hAnsiTheme="minorHAnsi" w:cstheme="minorHAnsi"/>
        </w:rPr>
        <w:t xml:space="preserve">Without the length term, the line over-prices short contracts and under-prices long ones: it expects $2.18 million for a one-year contract that paid $1.41 million, and $6.16 million for an eight-year contract that paid $9.08 million. With the term, expected pay comes within $0.30 million of observed pay in each length group, and within $0.40 million in each forecast group.</w:t>
      </w:r>
    </w:p>
    <w:p>
      <w:pPr>
        <w:rPr>
          <w:rFonts w:asciiTheme="minorHAnsi" w:hAnsiTheme="minorHAnsi" w:cstheme="minorHAnsi"/>
        </w:rPr>
      </w:pPr>
      <w:r>
        <w:rPr>
          <w:rFonts w:asciiTheme="minorHAnsi" w:hAnsiTheme="minorHAnsi" w:cstheme="minorHAnsi"/>
        </w:rPr>
        <w:t xml:space="preserve">Contract length is not independent of quality. Better players sign longer contracts: the mean length is 1.5 years for players forecast below zero and 5.7 years for those forecast at two wins or more, and the correlation between length and the forecast is 0.54. Part of what the length term prices may therefore be quality the forecast does not capture, which clubs see and pay for with both money and years. If so, the line credits a long contract with value that belongs to the player, and long contracts for middling players look like bargains; in the current valuations, several of the highest contract values are long contracts for mid-level forwards. Whether the length premium should depend on the player’s quality is the next specification test, and values that depend on long contracts should be read with that test outstanding.</w:t>
      </w:r>
    </w:p>
    <w:p>
      <w:pPr>
        <w:pStyle w:val="Heading2"/>
        <w:rPr>
          <w:rFonts w:asciiTheme="minorHAnsi" w:hAnsiTheme="minorHAnsi" w:cstheme="minorHAnsi"/>
        </w:rPr>
      </w:pPr>
      <w:r>
        <w:rPr>
          <w:rFonts w:asciiTheme="minorHAnsi" w:hAnsiTheme="minorHAnsi" w:cstheme="minorHAnsi"/>
        </w:rPr>
        <w:t xml:space="preserve">The defence slope</w:t>
      </w:r>
    </w:p>
    <w:p>
      <w:pPr>
        <w:rPr>
          <w:rFonts w:asciiTheme="minorHAnsi" w:hAnsiTheme="minorHAnsi" w:cstheme="minorHAnsi"/>
        </w:rPr>
      </w:pPr>
      <w:r>
        <w:rPr>
          <w:rFonts w:asciiTheme="minorHAnsi" w:hAnsiTheme="minorHAnsi" w:cstheme="minorHAnsi"/>
        </w:rPr>
        <w:t xml:space="preserve">Clubs pay defencemen a premium per win: 20.6% per forecast win on the line in use, and 43.5% on the line without the length term. Defencemen’s production persists less from one season to the next, so the forecast pulls it further toward the average (0.67 × the trailing total for defencemen against 0.72 for forwards), and a smaller forecast must carry the same pay. There are two readings, and the line cannot separate them: clubs overpay defencemen for production that does not last, or WAR under-counts something defencemen provide and clubs pay for it. Because the line has a separate defence slope, it treats the premium as the market price, whatever its cause. A mispricing common to all defencemen therefore cannot appear in the back-test. Mispricing within defencemen, by age, contract length, or how the deal was struck, can still appear.</w:t>
      </w:r>
    </w:p>
    <w:p>
      <w:pPr>
        <w:pStyle w:val="Heading2"/>
        <w:rPr>
          <w:rFonts w:asciiTheme="minorHAnsi" w:hAnsiTheme="minorHAnsi" w:cstheme="minorHAnsi"/>
        </w:rPr>
      </w:pPr>
      <w:r>
        <w:rPr>
          <w:rFonts w:asciiTheme="minorHAnsi" w:hAnsiTheme="minorHAnsi" w:cstheme="minorHAnsi"/>
        </w:rPr>
        <w:t xml:space="preserve">Specification tests and their scope</w:t>
      </w:r>
    </w:p>
    <w:p>
      <w:pPr>
        <w:rPr>
          <w:rFonts w:asciiTheme="minorHAnsi" w:hAnsiTheme="minorHAnsi" w:cstheme="minorHAnsi"/>
        </w:rPr>
      </w:pPr>
      <w:r>
        <w:rPr>
          <w:rFonts w:asciiTheme="minorHAnsi" w:hAnsiTheme="minorHAnsi" w:cstheme="minorHAnsi"/>
        </w:rPr>
        <w:t xml:space="preserve">Four specification tests were run on an earlier version of the line, fitted to a 60/40 two-season trailing total without contract length. A nonlinear line, which let the price per win change with production level, fitted observed salaries better but predicted held-out salaries less accurately. Contract length did not predict production after signing: across 1,781 contracts, each additional contract year was associated with -0.0135 wins a season in the three seasons after signing (95% interval -0.0360 to +0.0089), with production measured by Game Value, which contains no WAR input. RFA and UFA contracts did not need separate lines (F = 0.12, p = 0.887). The 2018-2019 and 2020-2022 contracts showed no detectable change in the line (p = 0.75). None of these tests has been repeated on the line in use; they are the next step, together with the question of length and quality above.</w:t>
      </w:r>
    </w:p>
    <w:p>
      <w:pPr>
        <w:rPr>
          <w:rFonts w:asciiTheme="minorHAnsi" w:hAnsiTheme="minorHAnsi" w:cstheme="minorHAnsi"/>
        </w:rPr>
      </w:pPr>
      <w:r>
        <w:rPr>
          <w:rFonts w:asciiTheme="minorHAnsi" w:hAnsiTheme="minorHAnsi" w:cstheme="minorHAnsi"/>
        </w:rPr>
        <w:t xml:space="preserve">The line is dated at each contract’s signing. An earlier version dated it at the contract’s start, so an extension signed during a season was priced on a forecast that read the season still being played. In an audit of that sample, 30% of contracts were signed before the production they were priced on was complete, and 58% among players with three or more trailing wins. Dating at the signing removes that look-ahead.</w:t>
      </w:r>
    </w:p>
    <w:p>
      <w:pPr>
        <w:pStyle w:val="Heading1"/>
        <w:rPr>
          <w:rFonts w:asciiTheme="minorHAnsi" w:hAnsiTheme="minorHAnsi" w:cstheme="minorHAnsi"/>
        </w:rPr>
      </w:pPr>
      <w:r>
        <w:rPr>
          <w:rFonts w:asciiTheme="minorHAnsi" w:hAnsiTheme="minorHAnsi" w:cstheme="minorHAnsi"/>
        </w:rPr>
        <w:t xml:space="preserve">2. The Minimum and Forecast Uncertainty</w:t>
      </w:r>
    </w:p>
    <w:p>
      <w:pPr>
        <w:rPr>
          <w:rFonts w:asciiTheme="minorHAnsi" w:hAnsiTheme="minorHAnsi" w:cstheme="minorHAnsi"/>
        </w:rPr>
      </w:pPr>
      <w:r>
        <w:rPr>
          <w:rFonts w:asciiTheme="minorHAnsi" w:hAnsiTheme="minorHAnsi" w:cstheme="minorHAnsi"/>
        </w:rPr>
        <w:t xml:space="preserve">A skater’s value in a season cannot fall below the league minimum, because no club can pay him less. Applying the minimum to the single forecast would ignore the fact that the forecast is uncertain, and the minimum treats bad and good outcomes differently. Suppose the minimum is $800,000. A worse-than-forecast season priced at $400,000 is raised to $800,000, while a better-than-forecast season priced at $1.2 million keeps its full value. The minimum limits the downside without limiting the upside, so the average value across possible outcomes is higher than the value of the single forecast.</w:t>
      </w:r>
    </w:p>
    <w:p>
      <w:pPr>
        <w:rPr>
          <w:rFonts w:asciiTheme="minorHAnsi" w:hAnsiTheme="minorHAnsi" w:cstheme="minorHAnsi"/>
        </w:rPr>
      </w:pPr>
      <w:r>
        <w:rPr>
          <w:rFonts w:asciiTheme="minorHAnsi" w:hAnsiTheme="minorHAnsi" w:cstheme="minorHAnsi"/>
        </w:rPr>
        <w:t xml:space="preserve">The model therefore treats the season’s price as normally distributed around its point estimate and takes the expected value after the floor:</w:t>
      </w:r>
    </w:p>
    <w:p>
      <w:pPr>
        <w:spacing w:after="200"/>
        <w:ind w:left="720"/>
        <w:rPr>
          <w:rFonts w:asciiTheme="minorHAnsi" w:hAnsiTheme="minorHAnsi" w:cstheme="minorHAnsi"/>
        </w:rPr>
      </w:pPr>
      <w:r>
        <w:rPr>
          <w:rFonts w:asciiTheme="minorHAnsi" w:hAnsiTheme="minorHAnsi" w:cstheme="minorHAnsi"/>
          <w:i/>
        </w:rPr>
        <w:t xml:space="preserve">E[max(P, F)] = F × Φ(z) + p × (1 − Φ(z)) + s × φ(z),  z = (F − p) / s</w:t>
      </w:r>
    </w:p>
    <w:p>
      <w:pPr>
        <w:rPr>
          <w:rFonts w:asciiTheme="minorHAnsi" w:hAnsiTheme="minorHAnsi" w:cstheme="minorHAnsi"/>
        </w:rPr>
      </w:pPr>
      <w:r>
        <w:rPr>
          <w:rFonts w:asciiTheme="minorHAnsi" w:hAnsiTheme="minorHAnsi" w:cstheme="minorHAnsi"/>
        </w:rPr>
        <w:t xml:space="preserve">Here p is the point price, F the league minimum, s the price’s spread, and Φ and φ the standard normal distribution and density. The code’s validation checks this formula against four million simulated draws.</w:t>
      </w:r>
    </w:p>
    <w:p>
      <w:pPr>
        <w:rPr>
          <w:rFonts w:asciiTheme="minorHAnsi" w:hAnsiTheme="minorHAnsi" w:cstheme="minorHAnsi"/>
        </w:rPr>
      </w:pPr>
      <w:r>
        <w:rPr>
          <w:rFonts w:asciiTheme="minorHAnsi" w:hAnsiTheme="minorHAnsi" w:cstheme="minorHAnsi"/>
        </w:rPr>
        <w:t xml:space="preserve">The spread is the forecast’s own recorded miss, converted to dollars at the season’s price per win and cap. The mean absolute miss of the WAR-if-he-plays forecast was measured on 40,510 forecasts at development valuation dates. It is 0.677 WAR in the valuation season, rising to 0.755, 0.804, 0.852, 0.877, and 0.897 one to five seasons out, and it is held at 0.897 beyond. For a normal distribution, the standard deviation is the mean absolute miss times 1.2533. The valuation season carries a spread as well, because on the valuation date it has not been played. The length term adds no spread, because the length is known when the contract is signed.</w:t>
      </w:r>
    </w:p>
    <w:p>
      <w:pPr>
        <w:rPr>
          <w:rFonts w:asciiTheme="minorHAnsi" w:hAnsiTheme="minorHAnsi" w:cstheme="minorHAnsi"/>
        </w:rPr>
      </w:pPr>
      <w:r>
        <w:rPr>
          <w:rFonts w:asciiTheme="minorHAnsi" w:hAnsiTheme="minorHAnsi" w:cstheme="minorHAnsi"/>
        </w:rPr>
        <w:t xml:space="preserve">For most players the adjustment is small. In the worked example in Section 4 it adds less than $100 to the first season, priced at $6.454 million, and $5,900 to the last, priced at $5.425 million.</w:t>
      </w:r>
    </w:p>
    <w:p>
      <w:pPr>
        <w:pStyle w:val="Heading1"/>
        <w:rPr>
          <w:rFonts w:asciiTheme="minorHAnsi" w:hAnsiTheme="minorHAnsi" w:cstheme="minorHAnsi"/>
        </w:rPr>
      </w:pPr>
      <w:r>
        <w:rPr>
          <w:rFonts w:asciiTheme="minorHAnsi" w:hAnsiTheme="minorHAnsi" w:cstheme="minorHAnsi"/>
        </w:rPr>
        <w:t xml:space="preserve">3. The Chance of Playing</w:t>
      </w:r>
    </w:p>
    <w:p>
      <w:pPr>
        <w:rPr>
          <w:rFonts w:asciiTheme="minorHAnsi" w:hAnsiTheme="minorHAnsi" w:cstheme="minorHAnsi"/>
        </w:rPr>
      </w:pPr>
      <w:r>
        <w:rPr>
          <w:rFonts w:asciiTheme="minorHAnsi" w:hAnsiTheme="minorHAnsi" w:cstheme="minorHAnsi"/>
        </w:rPr>
        <w:t xml:space="preserve">Each season’s value is multiplied by the chance the player plays that season, from the production document. If he does not play, he produces nothing, but his cap hit still counts. The chance of playing therefore multiplies value only:</w:t>
      </w:r>
    </w:p>
    <w:p>
      <w:pPr>
        <w:spacing w:after="200"/>
        <w:ind w:left="720"/>
        <w:rPr>
          <w:rFonts w:asciiTheme="minorHAnsi" w:hAnsiTheme="minorHAnsi" w:cstheme="minorHAnsi"/>
        </w:rPr>
      </w:pPr>
      <w:r>
        <w:rPr>
          <w:rFonts w:asciiTheme="minorHAnsi" w:hAnsiTheme="minorHAnsi" w:cstheme="minorHAnsi"/>
          <w:i/>
        </w:rPr>
        <w:t xml:space="preserve">surplus in season k = chance of playing(k) × value(k) − cap hit(k)</w:t>
      </w:r>
    </w:p>
    <w:p>
      <w:pPr>
        <w:rPr>
          <w:rFonts w:asciiTheme="minorHAnsi" w:hAnsiTheme="minorHAnsi" w:cstheme="minorHAnsi"/>
        </w:rPr>
      </w:pPr>
      <w:r>
        <w:rPr>
          <w:rFonts w:asciiTheme="minorHAnsi" w:hAnsiTheme="minorHAnsi" w:cstheme="minorHAnsi"/>
        </w:rPr>
        <w:t xml:space="preserve">For example, $5 million of production value with a 90% chance of playing contributes $4.5 million. Against a $4 million cap hit, the surplus is $500,000. Multiplying the net $1 million by 90% would instead give $900,000, which would wrongly reduce the contract’s cost alongside its production.</w:t>
      </w:r>
    </w:p>
    <w:p>
      <w:pPr>
        <w:rPr>
          <w:rFonts w:asciiTheme="minorHAnsi" w:hAnsiTheme="minorHAnsi" w:cstheme="minorHAnsi"/>
        </w:rPr>
      </w:pPr>
      <w:r>
        <w:rPr>
          <w:rFonts w:asciiTheme="minorHAnsi" w:hAnsiTheme="minorHAnsi" w:cstheme="minorHAnsi"/>
        </w:rPr>
        <w:t xml:space="preserve">The valuation season is weighted the same way, because on July 1 it is not certain that the player will play it. Each season’s chance is its own probability from the valuation date, not a product of yearly survival rates.</w:t>
      </w:r>
    </w:p>
    <w:p>
      <w:pPr>
        <w:rPr>
          <w:rFonts w:asciiTheme="minorHAnsi" w:hAnsiTheme="minorHAnsi" w:cstheme="minorHAnsi"/>
        </w:rPr>
      </w:pPr>
      <w:r>
        <w:rPr>
          <w:rFonts w:asciiTheme="minorHAnsi" w:hAnsiTheme="minorHAnsi" w:cstheme="minorHAnsi"/>
        </w:rPr>
        <w:t xml:space="preserve">The chance of playing reads contract status as known on the valuation date, July 1, with one exception. A contract signed after July 1 of its first season is valued in that season at its signing date, so its own chance of playing sees the contract as signed. Only the chance of playing and the set of extensions counted read this date; the rate and games share are the valuation season’s. Of the 2,759 skater contracts priced in the current run, 1,504 are valued this way. The development tests compared the two dates on 884 contracts signed after July 1 (1,561 contract-seasons, 91.6% of them played). Reading status at the signing raised the mean chance of playing from 0.785 to 0.877 and lowered the log loss from 0.3309 to 0.2632, lower in each of 2,000 career resamples.</w:t>
      </w:r>
    </w:p>
    <w:p>
      <w:pPr>
        <w:rPr>
          <w:rFonts w:asciiTheme="minorHAnsi" w:hAnsiTheme="minorHAnsi" w:cstheme="minorHAnsi"/>
        </w:rPr>
      </w:pPr>
      <w:r>
        <w:rPr>
          <w:rFonts w:asciiTheme="minorHAnsi" w:hAnsiTheme="minorHAnsi" w:cstheme="minorHAnsi"/>
        </w:rPr>
        <w:t xml:space="preserve">The model keeps the full cap hit even if the player does not play. It does not calculate relief from retirement or long-term injury, so it overstates the cost where relief would apply.</w:t>
      </w:r>
    </w:p>
    <w:p>
      <w:pPr>
        <w:pStyle w:val="Heading1"/>
        <w:rPr>
          <w:rFonts w:asciiTheme="minorHAnsi" w:hAnsiTheme="minorHAnsi" w:cstheme="minorHAnsi"/>
        </w:rPr>
      </w:pPr>
      <w:r>
        <w:rPr>
          <w:rFonts w:asciiTheme="minorHAnsi" w:hAnsiTheme="minorHAnsi" w:cstheme="minorHAnsi"/>
        </w:rPr>
        <w:t xml:space="preserve">4. Adding the Contract Years</w:t>
      </w:r>
    </w:p>
    <w:p>
      <w:pPr>
        <w:pStyle w:val="Heading2"/>
        <w:rPr>
          <w:rFonts w:asciiTheme="minorHAnsi" w:hAnsiTheme="minorHAnsi" w:cstheme="minorHAnsi"/>
        </w:rPr>
      </w:pPr>
      <w:r>
        <w:rPr>
          <w:rFonts w:asciiTheme="minorHAnsi" w:hAnsiTheme="minorHAnsi" w:cstheme="minorHAnsi"/>
        </w:rPr>
        <w:t xml:space="preserve">Which contracts are counted</w:t>
      </w:r>
    </w:p>
    <w:p>
      <w:pPr>
        <w:rPr>
          <w:rFonts w:asciiTheme="minorHAnsi" w:hAnsiTheme="minorHAnsi" w:cstheme="minorHAnsi"/>
        </w:rPr>
      </w:pPr>
      <w:r>
        <w:rPr>
          <w:rFonts w:asciiTheme="minorHAnsi" w:hAnsiTheme="minorHAnsi" w:cstheme="minorHAnsi"/>
        </w:rPr>
        <w:t xml:space="preserve">The valuation covers the contract being played on the valuation date, plus each extension signed on or before that date. An extension enters the valuation only from the first valuation date after its signing, so a later extension never reaches back into an earlier valuation. An extension must start in the season after the previous contract ends.</w:t>
      </w:r>
    </w:p>
    <w:p>
      <w:pPr>
        <w:pStyle w:val="Heading2"/>
        <w:rPr>
          <w:rFonts w:asciiTheme="minorHAnsi" w:hAnsiTheme="minorHAnsi" w:cstheme="minorHAnsi"/>
        </w:rPr>
      </w:pPr>
      <w:r>
        <w:rPr>
          <w:rFonts w:asciiTheme="minorHAnsi" w:hAnsiTheme="minorHAnsi" w:cstheme="minorHAnsi"/>
        </w:rPr>
        <w:t xml:space="preserve">Cap growth and discounting</w:t>
      </w:r>
    </w:p>
    <w:p>
      <w:pPr>
        <w:rPr>
          <w:rFonts w:asciiTheme="minorHAnsi" w:hAnsiTheme="minorHAnsi" w:cstheme="minorHAnsi"/>
        </w:rPr>
      </w:pPr>
      <w:r>
        <w:rPr>
          <w:rFonts w:asciiTheme="minorHAnsi" w:hAnsiTheme="minorHAnsi" w:cstheme="minorHAnsi"/>
        </w:rPr>
        <w:t xml:space="preserve">Each future season’s price uses the cap ceiling known on the valuation date, grown at 3% a year. The league minimum follows the published schedule, and grows at 3% a year past its end. Each season’s surplus is discounted at the same 3% rate:</w:t>
      </w:r>
    </w:p>
    <w:p>
      <w:pPr>
        <w:spacing w:after="200"/>
        <w:ind w:left="720"/>
        <w:rPr>
          <w:rFonts w:asciiTheme="minorHAnsi" w:hAnsiTheme="minorHAnsi" w:cstheme="minorHAnsi"/>
        </w:rPr>
      </w:pPr>
      <w:r>
        <w:rPr>
          <w:rFonts w:asciiTheme="minorHAnsi" w:hAnsiTheme="minorHAnsi" w:cstheme="minorHAnsi"/>
          <w:i/>
        </w:rPr>
        <w:t xml:space="preserve">contract value = sum over seasons k of [chance of playing(k) × value(k) − cap hit(k)] / 1.03^k</w:t>
      </w:r>
    </w:p>
    <w:p>
      <w:pPr>
        <w:rPr>
          <w:rFonts w:asciiTheme="minorHAnsi" w:hAnsiTheme="minorHAnsi" w:cstheme="minorHAnsi"/>
        </w:rPr>
      </w:pPr>
      <w:r>
        <w:rPr>
          <w:rFonts w:asciiTheme="minorHAnsi" w:hAnsiTheme="minorHAnsi" w:cstheme="minorHAnsi"/>
        </w:rPr>
        <w:t xml:space="preserve">With cap growth and discounting at the same rate, a season’s value is constant in cap-share terms, while a fixed cap hit becomes relatively cheaper each year. The 3% rate is a planning assumption, and it uses no cap growth observed after the valuation date.</w:t>
      </w:r>
    </w:p>
    <w:p>
      <w:pPr>
        <w:rPr>
          <w:rFonts w:asciiTheme="minorHAnsi" w:hAnsiTheme="minorHAnsi" w:cstheme="minorHAnsi"/>
        </w:rPr>
      </w:pPr>
      <w:r>
        <w:rPr>
          <w:rFonts w:asciiTheme="minorHAnsi" w:hAnsiTheme="minorHAnsi" w:cstheme="minorHAnsi"/>
        </w:rPr>
        <w:t xml:space="preserve">The model adds no discount for managerial impatience, because the trade study is intended to investigate that behavior. A preference for near-term production would not establish impatience by itself: competitive position, uncertainty, and private information can also explain it.</w:t>
      </w:r>
    </w:p>
    <w:p>
      <w:pPr>
        <w:pStyle w:val="Heading2"/>
        <w:rPr>
          <w:rFonts w:asciiTheme="minorHAnsi" w:hAnsiTheme="minorHAnsi" w:cstheme="minorHAnsi"/>
        </w:rPr>
      </w:pPr>
      <w:r>
        <w:rPr>
          <w:rFonts w:asciiTheme="minorHAnsi" w:hAnsiTheme="minorHAnsi" w:cstheme="minorHAnsi"/>
        </w:rPr>
        <w:t xml:space="preserve">Contract length</w:t>
      </w:r>
    </w:p>
    <w:p>
      <w:pPr>
        <w:rPr>
          <w:rFonts w:asciiTheme="minorHAnsi" w:hAnsiTheme="minorHAnsi" w:cstheme="minorHAnsi"/>
        </w:rPr>
      </w:pPr>
      <w:r>
        <w:rPr>
          <w:rFonts w:asciiTheme="minorHAnsi" w:hAnsiTheme="minorHAnsi" w:cstheme="minorHAnsi"/>
        </w:rPr>
        <w:t xml:space="preserve">Each contract season is priced at the contract length remaining on the valuation date: the number of seasons from the valuation season to the end of the last contract counted, extensions signed by then included, the same for each remaining season. At a contract’s first season this is its full length. Each season’s length premium, gamma × years × that season’s cap, is recorded beside its value, and each contract is also valued on the line without the length term.</w:t>
      </w:r>
    </w:p>
    <w:p>
      <w:pPr>
        <w:pStyle w:val="Heading2"/>
        <w:rPr>
          <w:rFonts w:asciiTheme="minorHAnsi" w:hAnsiTheme="minorHAnsi" w:cstheme="minorHAnsi"/>
        </w:rPr>
      </w:pPr>
      <w:r>
        <w:rPr>
          <w:rFonts w:asciiTheme="minorHAnsi" w:hAnsiTheme="minorHAnsi" w:cstheme="minorHAnsi"/>
        </w:rPr>
        <w:t xml:space="preserve">A worked contract</w:t>
      </w:r>
    </w:p>
    <w:p>
      <w:pPr>
        <w:rPr>
          <w:rFonts w:asciiTheme="minorHAnsi" w:hAnsiTheme="minorHAnsi" w:cstheme="minorHAnsi"/>
        </w:rPr>
      </w:pPr>
      <w:r>
        <w:rPr>
          <w:rFonts w:asciiTheme="minorHAnsi" w:hAnsiTheme="minorHAnsi" w:cstheme="minorHAnsi"/>
        </w:rPr>
        <w:t xml:space="preserve">Jonathan Marchessault’s five-year contract, valued on July 1, 2024, carries a $5.5 million cap hit and five years of length. The 2024-25 ceiling was $88.0 million. Values are in millions of dollars.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1000"/>
        <w:gridCol w:w="450"/>
        <w:gridCol w:w="1130"/>
        <w:gridCol w:w="1130"/>
        <w:gridCol w:w="1130"/>
        <w:gridCol w:w="1130"/>
        <w:gridCol w:w="1130"/>
        <w:gridCol w:w="1130"/>
        <w:gridCol w:w="1130"/>
      </w:tblGrid>
      <w:tr>
        <w:trPr>
          <w:tblHeader/>
          <w:cantSplit/>
        </w:trPr>
        <w:tc>
          <w:tcPr>
            <w:tcW w:w="1000"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Season</w:t>
            </w:r>
          </w:p>
        </w:tc>
        <w:tc>
          <w:tcPr>
            <w:tcW w:w="45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k</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WAR if he plays</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Price</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Value, floor included</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Chance of playing</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Cap hit</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Discount</w:t>
            </w:r>
          </w:p>
        </w:tc>
        <w:tc>
          <w:tcPr>
            <w:tcW w:w="113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Present value</w:t>
            </w:r>
          </w:p>
        </w:tc>
      </w:tr>
      <w:tr>
        <w:trPr>
          <w:cantSplit/>
        </w:trPr>
        <w:tc>
          <w:tcPr>
            <w:tcW w:w="10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2024-25</w:t>
            </w:r>
          </w:p>
        </w:tc>
        <w:tc>
          <w:tcPr>
            <w:tcW w:w="4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1.891</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6.454</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6.454</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0.988</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5.500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1.000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+0.878</w:t>
            </w:r>
          </w:p>
        </w:tc>
      </w:tr>
      <w:tr>
        <w:trPr>
          <w:cantSplit/>
        </w:trPr>
        <w:tc>
          <w:tcPr>
            <w:tcW w:w="10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2025-26</w:t>
            </w:r>
          </w:p>
        </w:tc>
        <w:tc>
          <w:tcPr>
            <w:tcW w:w="4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1.604</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6.193</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6.193</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0.977</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5.500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0.971</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+0.531</w:t>
            </w:r>
          </w:p>
        </w:tc>
      </w:tr>
      <w:tr>
        <w:trPr>
          <w:cantSplit/>
        </w:trPr>
        <w:tc>
          <w:tcPr>
            <w:tcW w:w="10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2026-27</w:t>
            </w:r>
          </w:p>
        </w:tc>
        <w:tc>
          <w:tcPr>
            <w:tcW w:w="4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1.365</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5.988</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5.989</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0.947</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5.500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0.943</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+0.160</w:t>
            </w:r>
          </w:p>
        </w:tc>
      </w:tr>
      <w:tr>
        <w:trPr>
          <w:cantSplit/>
        </w:trPr>
        <w:tc>
          <w:tcPr>
            <w:tcW w:w="10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2027-28</w:t>
            </w:r>
          </w:p>
        </w:tc>
        <w:tc>
          <w:tcPr>
            <w:tcW w:w="4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1.168</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5.837</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5.838</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0.886</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5.500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0.915</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-0.301</w:t>
            </w:r>
          </w:p>
        </w:tc>
      </w:tr>
      <w:tr>
        <w:trPr>
          <w:cantSplit/>
        </w:trPr>
        <w:tc>
          <w:tcPr>
            <w:tcW w:w="10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2028-29</w:t>
            </w:r>
          </w:p>
        </w:tc>
        <w:tc>
          <w:tcPr>
            <w:tcW w:w="4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0.828</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5.425</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5.431</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0.785</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5.500</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0.888</w:t>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-1.098</w:t>
            </w:r>
          </w:p>
        </w:tc>
      </w:tr>
      <w:tr>
        <w:trPr>
          <w:cantSplit/>
        </w:trPr>
        <w:tc>
          <w:tcPr>
            <w:tcW w:w="10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Total</w:t>
            </w:r>
          </w:p>
        </w:tc>
        <w:tc>
          <w:tcPr>
            <w:tcW w:w="4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3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+0.170</w:t>
            </w:r>
          </w:p>
        </w:tc>
      </w:tr>
    </w:tbl>
    <w:p>
      <w:pPr>
        <w:spacing w:after="80"/>
      </w:pPr>
    </w:p>
    <w:p>
      <w:pPr>
        <w:rPr>
          <w:rFonts w:asciiTheme="minorHAnsi" w:hAnsiTheme="minorHAnsi" w:cstheme="minorHAnsi"/>
        </w:rPr>
      </w:pPr>
      <w:r>
        <w:rPr>
          <w:rFonts w:asciiTheme="minorHAnsi" w:hAnsiTheme="minorHAnsi" w:cstheme="minorHAnsi"/>
        </w:rPr>
        <w:t xml:space="preserve">For the first season, the price is (-0.436% + 1.747% × 1.891 + 0.893% × 5) × $88.0 million = $6.454 million, of which $3.930 million is the length premium. The floor adjustment adds less than $100, and a 0.988 chance of playing weights the value to $6.378 million. Less the $5.5 million cap hit, the surplus is $0.878 million, undiscounted because k is zero. The contract ends in unrestricted free agency, so there are no control years.</w:t>
      </w:r>
    </w:p>
    <w:p>
      <w:pPr>
        <w:rPr>
          <w:rFonts w:asciiTheme="minorHAnsi" w:hAnsiTheme="minorHAnsi" w:cstheme="minorHAnsi"/>
        </w:rPr>
      </w:pPr>
      <w:r>
        <w:rPr>
          <w:rFonts w:asciiTheme="minorHAnsi" w:hAnsiTheme="minorHAnsi" w:cstheme="minorHAnsi"/>
        </w:rPr>
        <w:t xml:space="preserve">The contract’s value is +$0.170 million: the expected value of his production exceeds the cap hit in the first three seasons and falls below it in the last two, as he ages. Without the length term its value is -$4.421 million; with the term but without the chance of playing and discounting, +$2.405 million. The length term alone moves this contract by $4.59 million, which is why the length question in Section 1 matters for the results.</w:t>
      </w:r>
    </w:p>
    <w:p>
      <w:pPr>
        <w:pStyle w:val="Heading2"/>
        <w:rPr>
          <w:rFonts w:asciiTheme="minorHAnsi" w:hAnsiTheme="minorHAnsi" w:cstheme="minorHAnsi"/>
        </w:rPr>
      </w:pPr>
      <w:r>
        <w:rPr>
          <w:rFonts w:asciiTheme="minorHAnsi" w:hAnsiTheme="minorHAnsi" w:cstheme="minorHAnsi"/>
        </w:rPr>
        <w:t xml:space="preserve">What a negative value means</w:t>
      </w:r>
    </w:p>
    <w:p>
      <w:pPr>
        <w:rPr>
          <w:rFonts w:asciiTheme="minorHAnsi" w:hAnsiTheme="minorHAnsi" w:cstheme="minorHAnsi"/>
        </w:rPr>
      </w:pPr>
      <w:r>
        <w:rPr>
          <w:rFonts w:asciiTheme="minorHAnsi" w:hAnsiTheme="minorHAnsi" w:cstheme="minorHAnsi"/>
        </w:rPr>
        <w:t xml:space="preserve">A negative value means the contract costs more than the market price of its expected production. Team fit, private information, and avoiding a future negotiation may explain why a club still accepts it. The model also omits the cost of losing cap flexibility through a long commitment; adding that cost would lower long-contract values further.</w:t>
      </w:r>
    </w:p>
    <w:p>
      <w:pPr>
        <w:rPr>
          <w:rFonts w:asciiTheme="minorHAnsi" w:hAnsiTheme="minorHAnsi" w:cstheme="minorHAnsi"/>
        </w:rPr>
      </w:pPr>
      <w:r>
        <w:rPr>
          <w:rFonts w:asciiTheme="minorHAnsi" w:hAnsiTheme="minorHAnsi" w:cstheme="minorHAnsi"/>
        </w:rPr>
        <w:t xml:space="preserve">Long contracts are where the forecast is weakest and where the length term matters most. In the development scoring of contract dollars, on an earlier version of the forecast and a line without contract length, the 41 contracts of six to eight years were under-valued by an average of $5.72 million. The length term raises long contracts’ values: across the skater contracts priced in the current run, the median seven-year contract is worth -$3.76 million with the term and -$18.63 million without it, and the median eight-year contract +$1.24 million and -$20.13 million. Whether it raises them for the right players is the open question of Section 1.</w:t>
      </w:r>
    </w:p>
    <w:p>
      <w:pPr>
        <w:pStyle w:val="Heading1"/>
        <w:rPr>
          <w:rFonts w:asciiTheme="minorHAnsi" w:hAnsiTheme="minorHAnsi" w:cstheme="minorHAnsi"/>
        </w:rPr>
      </w:pPr>
      <w:r>
        <w:rPr>
          <w:rFonts w:asciiTheme="minorHAnsi" w:hAnsiTheme="minorHAnsi" w:cstheme="minorHAnsi"/>
        </w:rPr>
        <w:t xml:space="preserve">5. Value after an RFA Contract Expires</w:t>
      </w:r>
    </w:p>
    <w:p>
      <w:pPr>
        <w:rPr>
          <w:rFonts w:asciiTheme="minorHAnsi" w:hAnsiTheme="minorHAnsi" w:cstheme="minorHAnsi"/>
        </w:rPr>
      </w:pPr>
      <w:r>
        <w:rPr>
          <w:rFonts w:asciiTheme="minorHAnsi" w:hAnsiTheme="minorHAnsi" w:cstheme="minorHAnsi"/>
        </w:rPr>
        <w:t xml:space="preserve">Terminal value is the expected surplus from team control after the contract expires. An expiry into unrestricted free agency receives zero, because the club keeps no rights. For an expiry into restricted free agency, the model values each remaining control year until the player reaches unrestricted free agency.</w:t>
      </w:r>
    </w:p>
    <w:p>
      <w:pPr>
        <w:pStyle w:val="Heading2"/>
        <w:rPr>
          <w:rFonts w:asciiTheme="minorHAnsi" w:hAnsiTheme="minorHAnsi" w:cstheme="minorHAnsi"/>
        </w:rPr>
      </w:pPr>
      <w:r>
        <w:rPr>
          <w:rFonts w:asciiTheme="minorHAnsi" w:hAnsiTheme="minorHAnsi" w:cstheme="minorHAnsi"/>
        </w:rPr>
        <w:t xml:space="preserve">Value and cost in a control year</w:t>
      </w:r>
    </w:p>
    <w:p>
      <w:pPr>
        <w:rPr>
          <w:rFonts w:asciiTheme="minorHAnsi" w:hAnsiTheme="minorHAnsi" w:cstheme="minorHAnsi"/>
        </w:rPr>
      </w:pPr>
      <w:r>
        <w:rPr>
          <w:rFonts w:asciiTheme="minorHAnsi" w:hAnsiTheme="minorHAnsi" w:cstheme="minorHAnsi"/>
        </w:rPr>
        <w:t xml:space="preserve">Each control year’s production is the same forecast’s WAR if he plays for that season, priced on the same line, cap path, and minimum. A qualifying offer is a one-year contract, so a control year is priced at one year of length. The control years apply the minimum directly to the point price, without the uncertainty adjustment of Section 2.</w:t>
      </w:r>
    </w:p>
    <w:p>
      <w:pPr>
        <w:rPr>
          <w:rFonts w:asciiTheme="minorHAnsi" w:hAnsiTheme="minorHAnsi" w:cstheme="minorHAnsi"/>
        </w:rPr>
      </w:pPr>
      <w:r>
        <w:rPr>
          <w:rFonts w:asciiTheme="minorHAnsi" w:hAnsiTheme="minorHAnsi" w:cstheme="minorHAnsi"/>
        </w:rPr>
        <w:t xml:space="preserve">The cost is the qualifying offer. The model assumes the player stays on successive one-year qualifying offers. Each offer starts from the previous year’s base salary and applies the relevant percentage, salary minimum, and cap for that collective agreement. For example, a $900,000 base salary produces a $945,000 offer before any minimum-salary adjustment. Later offers are calculated from the preceding modeled offer.</w:t>
      </w:r>
    </w:p>
    <w:p>
      <w:pPr>
        <w:rPr>
          <w:rFonts w:asciiTheme="minorHAnsi" w:hAnsiTheme="minorHAnsi" w:cstheme="minorHAnsi"/>
        </w:rPr>
      </w:pPr>
      <w:r>
        <w:rPr>
          <w:rFonts w:asciiTheme="minorHAnsi" w:hAnsiTheme="minorHAnsi" w:cstheme="minorHAnsi"/>
        </w:rPr>
        <w:t xml:space="preserve">If the expiring contract’s final-year base salary is missing, the model uses the highest recorded base salary on that contract, then average annual value if no base salary is available. These substitutes were needed in 355 of the 1,439 deals checked and may differ from the salary that should determine the offer. The model uses the contract’s starting season in place of its signing date when deciding whether the 120%-of-cap-hit limit applies.</w:t>
      </w:r>
    </w:p>
    <w:p>
      <w:pPr>
        <w:rPr>
          <w:rFonts w:asciiTheme="minorHAnsi" w:hAnsiTheme="minorHAnsi" w:cstheme="minorHAnsi"/>
        </w:rPr>
      </w:pPr>
      <w:r>
        <w:rPr>
          <w:rFonts w:asciiTheme="minorHAnsi" w:hAnsiTheme="minorHAnsi" w:cstheme="minorHAnsi"/>
        </w:rPr>
        <w:t xml:space="preserve">Actual renewals can involve arbitration or negotiated salaries and terms. Among 1,439 RFA-expiring deals with an observed next contract, the next cap hit equaled or exceeded the modeled offer in 48.3% of cases. The median difference was -$10,000 and the mean +$690,000: the typical renewal came close to the offer, but more expensive renewals raised the average substantially. Where retention costs exceed the offer, the model overstates surplus.</w:t>
      </w:r>
    </w:p>
    <w:p>
      <w:pPr>
        <w:pStyle w:val="Heading2"/>
        <w:rPr>
          <w:rFonts w:asciiTheme="minorHAnsi" w:hAnsiTheme="minorHAnsi" w:cstheme="minorHAnsi"/>
        </w:rPr>
      </w:pPr>
      <w:r>
        <w:rPr>
          <w:rFonts w:asciiTheme="minorHAnsi" w:hAnsiTheme="minorHAnsi" w:cstheme="minorHAnsi"/>
        </w:rPr>
        <w:t xml:space="preserve">Players the club lets go</w:t>
      </w:r>
    </w:p>
    <w:p>
      <w:pPr>
        <w:rPr>
          <w:rFonts w:asciiTheme="minorHAnsi" w:hAnsiTheme="minorHAnsi" w:cstheme="minorHAnsi"/>
        </w:rPr>
      </w:pPr>
      <w:r>
        <w:rPr>
          <w:rFonts w:asciiTheme="minorHAnsi" w:hAnsiTheme="minorHAnsi" w:cstheme="minorHAnsi"/>
        </w:rPr>
        <w:t xml:space="preserve">A club qualifies a player only while he is worth more than the offer. The model stops counting control years at the first year in which his projected value falls below the qualifying offer, because once a club lets a player go, a later improvement cannot restore the lost rights. In the validation run, this rule binds for 0.6% of the RFA-expiring contracts valued.</w:t>
      </w:r>
    </w:p>
    <w:p>
      <w:pPr>
        <w:rPr>
          <w:rFonts w:asciiTheme="minorHAnsi" w:hAnsiTheme="minorHAnsi" w:cstheme="minorHAnsi"/>
        </w:rPr>
      </w:pPr>
      <w:r>
        <w:rPr>
          <w:rFonts w:asciiTheme="minorHAnsi" w:hAnsiTheme="minorHAnsi" w:cstheme="minorHAnsi"/>
        </w:rPr>
        <w:t xml:space="preserve">Positive modeled surplus does not guarantee that the club keeps the player; the line by itself makes many marginal players look worth retaining when clubs let them go. A qualifying offer also does not guarantee that he plays. The model therefore weights each control year by two observed rates: the rate at which clubs qualified players of similar quality, and the rate at which qualified players of that quality played in the NHL the next season. Both come from the 2,270 qualify-or-walk decisions on contracts ending from 2018 to 2024. Each decision is grouped by the forecast of the player’s WAR if he plays in the season after the contract ended, the same quantity the rates are later applied to: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182"/>
        <w:gridCol w:w="2059"/>
        <w:gridCol w:w="2059"/>
        <w:gridCol w:w="2060"/>
      </w:tblGrid>
      <w:tr>
        <w:trPr>
          <w:tblHeader/>
          <w:cantSplit/>
        </w:trPr>
        <w:tc>
          <w:tcPr>
            <w:tcW w:w="3182"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Group</w:t>
            </w:r>
          </w:p>
        </w:tc>
        <w:tc>
          <w:tcPr>
            <w:tcW w:w="2059"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Forecast WAR</w:t>
            </w:r>
          </w:p>
        </w:tc>
        <w:tc>
          <w:tcPr>
            <w:tcW w:w="2059"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Qualified</w:t>
            </w:r>
          </w:p>
        </w:tc>
        <w:tc>
          <w:tcPr>
            <w:tcW w:w="206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Decisions</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Star</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 or more</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100.0%</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Regular</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 to 3</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95.2%</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167</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Fringe</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 to 1</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77.9%</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893</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Below replacement, or no forecast</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below 0</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65.9%</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1,200</w:t>
            </w:r>
          </w:p>
        </w:tc>
      </w:tr>
    </w:tbl>
    <w:p>
      <w:pPr>
        <w:spacing w:after="80"/>
      </w:pPr>
    </w:p>
    <w:p>
      <w:pPr>
        <w:rPr>
          <w:rFonts w:asciiTheme="minorHAnsi" w:hAnsiTheme="minorHAnsi" w:cstheme="minorHAnsi"/>
        </w:rPr>
      </w:pPr>
      <w:r>
        <w:rPr>
          <w:rFonts w:asciiTheme="minorHAnsi" w:hAnsiTheme="minorHAnsi" w:cstheme="minorHAnsi"/>
        </w:rPr>
        <w:t xml:space="preserve">A player with no forecast had no qualifying NHL season in the three before the decision, which is evidence that he could not hold an NHL job, so he is grouped with the players below replacement. Across all decisions, clubs walked away from 27.0% of players. The 100% star rate rests on ten decisions and treats that small sample’s outcome as certain.</w:t>
      </w:r>
    </w:p>
    <w:p>
      <w:pPr>
        <w:rPr>
          <w:rFonts w:asciiTheme="minorHAnsi" w:hAnsiTheme="minorHAnsi" w:cstheme="minorHAnsi"/>
        </w:rPr>
      </w:pPr>
      <w:r>
        <w:rPr>
          <w:rFonts w:asciiTheme="minorHAnsi" w:hAnsiTheme="minorHAnsi" w:cstheme="minorHAnsi"/>
        </w:rPr>
        <w:t xml:space="preserve">The second rate is measured among qualified players who played at least one NHL game in the contract’s final season, and counts a player as playing if he appears in at least one game the next season. The condition matters because the chain of control years starts from his chance of playing that final season: a player who was already gone is charged there, and counting him again here would charge his absence twice. A year’s weight is the product of the two rates: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182"/>
        <w:gridCol w:w="2059"/>
        <w:gridCol w:w="2059"/>
        <w:gridCol w:w="2060"/>
      </w:tblGrid>
      <w:tr>
        <w:trPr>
          <w:tblHeader/>
          <w:cantSplit/>
        </w:trPr>
        <w:tc>
          <w:tcPr>
            <w:tcW w:w="3182"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Group</w:t>
            </w:r>
          </w:p>
        </w:tc>
        <w:tc>
          <w:tcPr>
            <w:tcW w:w="2059"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Played next season, if qualified</w:t>
            </w:r>
          </w:p>
        </w:tc>
        <w:tc>
          <w:tcPr>
            <w:tcW w:w="2059"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Qualified players</w:t>
            </w:r>
          </w:p>
        </w:tc>
        <w:tc>
          <w:tcPr>
            <w:tcW w:w="206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Weight a year</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Star</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100.0%</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1.000</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Regular</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100.0%</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157</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0.952</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Fringe</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88.2%</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646</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0.688</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Below replacement, or no forecast</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67.8%</w:t>
            </w:r>
          </w:p>
        </w:tc>
        <w:tc>
          <w:tcPr>
            <w:tcW w:w="2059"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323</w:t>
            </w:r>
          </w:p>
        </w:tc>
        <w:tc>
          <w:tcPr>
            <w:tcW w:w="206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0.447</w:t>
            </w:r>
          </w:p>
        </w:tc>
      </w:tr>
    </w:tbl>
    <w:p>
      <w:pPr>
        <w:spacing w:after="80"/>
      </w:pPr>
    </w:p>
    <w:p>
      <w:pPr>
        <w:rPr>
          <w:rFonts w:asciiTheme="minorHAnsi" w:hAnsiTheme="minorHAnsi" w:cstheme="minorHAnsi"/>
        </w:rPr>
      </w:pPr>
      <w:r>
        <w:rPr>
          <w:rFonts w:asciiTheme="minorHAnsi" w:hAnsiTheme="minorHAnsi" w:cstheme="minorHAnsi"/>
        </w:rPr>
        <w:t xml:space="preserve">Each control year’s weight is chosen by that year’s forecast, and the weights compound: with $1 million of annual surplus and a weight of 0.8, the model counts $800,000 in the first control year and $640,000 in the second, before discounting. Reaching the second year requires retention, and play, in both. The chain starts from his forecast chance of playing the contract’s final season rather than from certainty, because a player who is not there at the expiry cannot be qualified.</w:t>
      </w:r>
    </w:p>
    <w:p>
      <w:pPr>
        <w:rPr>
          <w:rFonts w:asciiTheme="minorHAnsi" w:hAnsiTheme="minorHAnsi" w:cstheme="minorHAnsi"/>
        </w:rPr>
      </w:pPr>
      <w:r>
        <w:rPr>
          <w:rFonts w:asciiTheme="minorHAnsi" w:hAnsiTheme="minorHAnsi" w:cstheme="minorHAnsi"/>
        </w:rPr>
        <w:t xml:space="preserve">Matvei Michkov’s contract, valued on July 1, 2025, ends after 2026-27 with four control years before unrestricted free agency. His chance of playing the final season is 0.995, and each control year’s forecast places him in the regular group, with a weight of 0.952 a year. The offer column is the modeled qualifying offer; values are in millions of dollars.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1100"/>
        <w:gridCol w:w="1000"/>
        <w:gridCol w:w="950"/>
        <w:gridCol w:w="950"/>
        <w:gridCol w:w="1050"/>
        <w:gridCol w:w="1000"/>
        <w:gridCol w:w="950"/>
        <w:gridCol w:w="1150"/>
        <w:gridCol w:w="1210"/>
      </w:tblGrid>
      <w:tr>
        <w:trPr>
          <w:tblHeader/>
          <w:cantSplit/>
        </w:trPr>
        <w:tc>
          <w:tcPr>
            <w:tcW w:w="1100"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Season</w:t>
            </w:r>
          </w:p>
        </w:tc>
        <w:tc>
          <w:tcPr>
            <w:tcW w:w="100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WAR if he plays</w:t>
            </w:r>
          </w:p>
        </w:tc>
        <w:tc>
          <w:tcPr>
            <w:tcW w:w="95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Value</w:t>
            </w:r>
          </w:p>
        </w:tc>
        <w:tc>
          <w:tcPr>
            <w:tcW w:w="95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Offer</w:t>
            </w:r>
          </w:p>
        </w:tc>
        <w:tc>
          <w:tcPr>
            <w:tcW w:w="105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Surplus</w:t>
            </w:r>
          </w:p>
        </w:tc>
        <w:tc>
          <w:tcPr>
            <w:tcW w:w="100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Weight</w:t>
            </w:r>
          </w:p>
        </w:tc>
        <w:tc>
          <w:tcPr>
            <w:tcW w:w="95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Chain</w:t>
            </w:r>
          </w:p>
        </w:tc>
        <w:tc>
          <w:tcPr>
            <w:tcW w:w="115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Discount</w:t>
            </w:r>
          </w:p>
        </w:tc>
        <w:tc>
          <w:tcPr>
            <w:tcW w:w="1210"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Present value</w:t>
            </w:r>
          </w:p>
        </w:tc>
      </w:tr>
      <w:tr>
        <w:trPr>
          <w:cantSplit/>
        </w:trPr>
        <w:tc>
          <w:tcPr>
            <w:tcW w:w="11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2027-28</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2.470</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4.836</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1.140</w:t>
            </w:r>
          </w:p>
        </w:tc>
        <w:tc>
          <w:tcPr>
            <w:tcW w:w="10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+3.696</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0.952</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0.947</w:t>
            </w:r>
          </w:p>
        </w:tc>
        <w:tc>
          <w:tcPr>
            <w:tcW w:w="11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0.943</w:t>
            </w:r>
          </w:p>
        </w:tc>
        <w:tc>
          <w:tcPr>
            <w:tcW w:w="121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+3.300</w:t>
            </w:r>
          </w:p>
        </w:tc>
      </w:tr>
      <w:tr>
        <w:trPr>
          <w:cantSplit/>
        </w:trPr>
        <w:tc>
          <w:tcPr>
            <w:tcW w:w="11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2028-29</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2.517</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5.066</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1.254</w:t>
            </w:r>
          </w:p>
        </w:tc>
        <w:tc>
          <w:tcPr>
            <w:tcW w:w="10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+3.812</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0.952</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0.902</w:t>
            </w:r>
          </w:p>
        </w:tc>
        <w:tc>
          <w:tcPr>
            <w:tcW w:w="11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0.915</w:t>
            </w:r>
          </w:p>
        </w:tc>
        <w:tc>
          <w:tcPr>
            <w:tcW w:w="121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+3.146</w:t>
            </w:r>
          </w:p>
        </w:tc>
      </w:tr>
      <w:tr>
        <w:trPr>
          <w:cantSplit/>
        </w:trPr>
        <w:tc>
          <w:tcPr>
            <w:tcW w:w="11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2029-30</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2.589</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5.353</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1.317</w:t>
            </w:r>
          </w:p>
        </w:tc>
        <w:tc>
          <w:tcPr>
            <w:tcW w:w="10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+4.037</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0.952</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0.859</w:t>
            </w:r>
          </w:p>
        </w:tc>
        <w:tc>
          <w:tcPr>
            <w:tcW w:w="11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0.888</w:t>
            </w:r>
          </w:p>
        </w:tc>
        <w:tc>
          <w:tcPr>
            <w:tcW w:w="121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+3.080</w:t>
            </w:r>
          </w:p>
        </w:tc>
      </w:tr>
      <w:tr>
        <w:trPr>
          <w:cantSplit/>
        </w:trPr>
        <w:tc>
          <w:tcPr>
            <w:tcW w:w="11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2030-31</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2.744</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5.813</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1.383</w:t>
            </w:r>
          </w:p>
        </w:tc>
        <w:tc>
          <w:tcPr>
            <w:tcW w:w="10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+4.430</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0.952</w:t>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0.818</w:t>
            </w:r>
          </w:p>
        </w:tc>
        <w:tc>
          <w:tcPr>
            <w:tcW w:w="11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0.863</w:t>
            </w:r>
          </w:p>
        </w:tc>
        <w:tc>
          <w:tcPr>
            <w:tcW w:w="121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+3.124</w:t>
            </w:r>
          </w:p>
        </w:tc>
      </w:tr>
      <w:tr>
        <w:trPr>
          <w:cantSplit/>
        </w:trPr>
        <w:tc>
          <w:tcPr>
            <w:tcW w:w="1100"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Total</w:t>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0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00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9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15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210"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+12.651</w:t>
            </w:r>
          </w:p>
        </w:tc>
      </w:tr>
    </w:tbl>
    <w:p>
      <w:pPr>
        <w:spacing w:after="80"/>
      </w:pPr>
    </w:p>
    <w:p>
      <w:pPr>
        <w:rPr>
          <w:rFonts w:asciiTheme="minorHAnsi" w:hAnsiTheme="minorHAnsi" w:cstheme="minorHAnsi"/>
        </w:rPr>
      </w:pPr>
      <w:r>
        <w:rPr>
          <w:rFonts w:asciiTheme="minorHAnsi" w:hAnsiTheme="minorHAnsi" w:cstheme="minorHAnsi"/>
        </w:rPr>
        <w:t xml:space="preserve">His control years add $12.651 million. Priced on the line without contract length, they would add $25.657 million: that line does not distinguish a one-year contract from a long one, while clubs pay much less for the same production on a one-year contract. For Michkov the length term roughly halves the value of his control years.</w:t>
      </w:r>
    </w:p>
    <w:p>
      <w:pPr>
        <w:pStyle w:val="Heading1"/>
        <w:rPr>
          <w:rFonts w:asciiTheme="minorHAnsi" w:hAnsiTheme="minorHAnsi" w:cstheme="minorHAnsi"/>
        </w:rPr>
      </w:pPr>
      <w:r>
        <w:rPr>
          <w:rFonts w:asciiTheme="minorHAnsi" w:hAnsiTheme="minorHAnsi" w:cstheme="minorHAnsi"/>
        </w:rPr>
        <w:t xml:space="preserve">6. Goaltenders</w:t>
      </w:r>
    </w:p>
    <w:p>
      <w:pPr>
        <w:rPr>
          <w:rFonts w:asciiTheme="minorHAnsi" w:hAnsiTheme="minorHAnsi" w:cstheme="minorHAnsi"/>
        </w:rPr>
      </w:pPr>
      <w:r>
        <w:rPr>
          <w:rFonts w:asciiTheme="minorHAnsi" w:hAnsiTheme="minorHAnsi" w:cstheme="minorHAnsi"/>
        </w:rPr>
        <w:t xml:space="preserve">Goalie performance is much less stable from year to year than skater performance, and goalies have a separate, simpler model. It has not been rebuilt with the skater forecast.</w:t>
      </w:r>
    </w:p>
    <w:p>
      <w:pPr>
        <w:rPr>
          <w:rFonts w:asciiTheme="minorHAnsi" w:hAnsiTheme="minorHAnsi" w:cstheme="minorHAnsi"/>
        </w:rPr>
      </w:pPr>
      <w:r>
        <w:rPr>
          <w:rFonts w:asciiTheme="minorHAnsi" w:hAnsiTheme="minorHAnsi" w:cstheme="minorHAnsi"/>
        </w:rPr>
        <w:t xml:space="preserve">The calculation starts with a weighted average of the goalie’s previous three seasons: 50% on the most recent, 30% on the second, and 20% on the third. With only two seasons, the weights become 60% and 40%; with only the preceding season, that season supplies the baseline. These calculations require the immediately preceding season, although a separate carry-back rule can recover an older baseline, within three seasons, when recent history is missing. A goalie on a carried-back baseline is pulled toward 0.65 WAR, the average of such goalies who played again, and his value is weighted by 0.312, the share of them who did. The skater requirement of at least ten games does not apply.</w:t>
      </w:r>
    </w:p>
    <w:p>
      <w:pPr>
        <w:rPr>
          <w:rFonts w:asciiTheme="minorHAnsi" w:hAnsiTheme="minorHAnsi" w:cstheme="minorHAnsi"/>
        </w:rPr>
      </w:pPr>
      <w:r>
        <w:rPr>
          <w:rFonts w:asciiTheme="minorHAnsi" w:hAnsiTheme="minorHAnsi" w:cstheme="minorHAnsi"/>
        </w:rPr>
        <w:t xml:space="preserve">The projection then combines 35% of the goalie’s own baseline with 65% of the league mean, approximately 2.19 goalie WAR. For example, a goalie with a baseline of 4.0 wins receives a projection of 0.35 × 4.0 + 0.65 × 2.19 = 2.82 wins. Validation kept each goalie’s records together when separating training and test samples, and it supported placing 65% of the projection on the league mean. The projection stays constant through the contract because the model has no fitted goalie aging curve. Validation supports the blend, not the choice to hold production constant.</w:t>
      </w:r>
    </w:p>
    <w:p>
      <w:pPr>
        <w:rPr>
          <w:rFonts w:asciiTheme="minorHAnsi" w:hAnsiTheme="minorHAnsi" w:cstheme="minorHAnsi"/>
        </w:rPr>
      </w:pPr>
      <w:r>
        <w:rPr>
          <w:rFonts w:asciiTheme="minorHAnsi" w:hAnsiTheme="minorHAnsi" w:cstheme="minorHAnsi"/>
        </w:rPr>
        <w:t xml:space="preserve">A goalie’s chance of reaching each future season is a chained exit probability by quality and age, estimated once on 2018-2024 transitions. Unlike the skater forecast, these rates include seasons after some valuation dates, and the valuation season is treated as certain. A goalie with no usable history is left unpriced.</w:t>
      </w:r>
    </w:p>
    <w:p>
      <w:pPr>
        <w:rPr>
          <w:rFonts w:asciiTheme="minorHAnsi" w:hAnsiTheme="minorHAnsi" w:cstheme="minorHAnsi"/>
        </w:rPr>
      </w:pPr>
      <w:r>
        <w:rPr>
          <w:rFonts w:asciiTheme="minorHAnsi" w:hAnsiTheme="minorHAnsi" w:cstheme="minorHAnsi"/>
        </w:rPr>
        <w:t xml:space="preserve">The goalie price line assigns 1.391% of the cap at zero WAR, plus 1.059% of the cap per goalie WAR. It uses an ordinary least-squares regression, which fits salary to production without the skater line’s treatment of minimum-salary contracts, and it has no contract-length term. Goalie values apply the minimum without the uncertainty adjustment. Goalie control years are weighted by one pooled rate, measured as for skaters on goaltenders who played in the contract’s final season. Of 102 decisions, clubs qualified 90.2%, and 85.9% of those qualified played the next season, for a weight of 0.775 a year. The chain starts from his chance of reaching the contract’s final season. These differences limit comparability, even though both models express surplus in dollars.</w:t>
      </w:r>
    </w:p>
    <w:sectPr w:rsidR="00112D33" w:rsidRPr="00DB35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761"/>
    <w:multiLevelType w:val="hybridMultilevel"/>
    <w:tmpl w:val="4A842726"/>
    <w:lvl w:ilvl="0" w:tplc="56C09BFC">
      <w:start w:val="1"/>
      <w:numFmt w:val="bullet"/>
      <w:lvlText w:val="●"/>
      <w:lvlJc w:val="left"/>
      <w:pPr>
        <w:ind w:left="720" w:hanging="360"/>
      </w:pPr>
    </w:lvl>
    <w:lvl w:ilvl="1" w:tplc="A78AC8D8">
      <w:start w:val="1"/>
      <w:numFmt w:val="bullet"/>
      <w:lvlText w:val="○"/>
      <w:lvlJc w:val="left"/>
      <w:pPr>
        <w:ind w:left="1440" w:hanging="360"/>
      </w:pPr>
    </w:lvl>
    <w:lvl w:ilvl="2" w:tplc="AFDAB022">
      <w:start w:val="1"/>
      <w:numFmt w:val="bullet"/>
      <w:lvlText w:val="■"/>
      <w:lvlJc w:val="left"/>
      <w:pPr>
        <w:ind w:left="2160" w:hanging="360"/>
      </w:pPr>
    </w:lvl>
    <w:lvl w:ilvl="3" w:tplc="A664C3AC">
      <w:start w:val="1"/>
      <w:numFmt w:val="bullet"/>
      <w:lvlText w:val="●"/>
      <w:lvlJc w:val="left"/>
      <w:pPr>
        <w:ind w:left="2880" w:hanging="360"/>
      </w:pPr>
    </w:lvl>
    <w:lvl w:ilvl="4" w:tplc="26B43ECE">
      <w:start w:val="1"/>
      <w:numFmt w:val="bullet"/>
      <w:lvlText w:val="○"/>
      <w:lvlJc w:val="left"/>
      <w:pPr>
        <w:ind w:left="3600" w:hanging="360"/>
      </w:pPr>
    </w:lvl>
    <w:lvl w:ilvl="5" w:tplc="CD224704">
      <w:start w:val="1"/>
      <w:numFmt w:val="bullet"/>
      <w:lvlText w:val="■"/>
      <w:lvlJc w:val="left"/>
      <w:pPr>
        <w:ind w:left="4320" w:hanging="360"/>
      </w:pPr>
    </w:lvl>
    <w:lvl w:ilvl="6" w:tplc="B546D15E">
      <w:start w:val="1"/>
      <w:numFmt w:val="bullet"/>
      <w:lvlText w:val="●"/>
      <w:lvlJc w:val="left"/>
      <w:pPr>
        <w:ind w:left="5040" w:hanging="360"/>
      </w:pPr>
    </w:lvl>
    <w:lvl w:ilvl="7" w:tplc="ABF8CE32">
      <w:start w:val="1"/>
      <w:numFmt w:val="bullet"/>
      <w:lvlText w:val="●"/>
      <w:lvlJc w:val="left"/>
      <w:pPr>
        <w:ind w:left="5760" w:hanging="360"/>
      </w:pPr>
    </w:lvl>
    <w:lvl w:ilvl="8" w:tplc="D2CA3600">
      <w:start w:val="1"/>
      <w:numFmt w:val="bullet"/>
      <w:lvlText w:val="●"/>
      <w:lvlJc w:val="left"/>
      <w:pPr>
        <w:ind w:left="6480" w:hanging="360"/>
      </w:pPr>
    </w:lvl>
  </w:abstractNum>
  <w:num w:numId="1" w16cid:durableId="1016349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4"/>
    <w:rsid w:val="0009126F"/>
    <w:rsid w:val="00112D33"/>
    <w:rsid w:val="00240904"/>
    <w:rsid w:val="002F0D96"/>
    <w:rsid w:val="004341A2"/>
    <w:rsid w:val="004F5377"/>
    <w:rsid w:val="00532929"/>
    <w:rsid w:val="00563F95"/>
    <w:rsid w:val="00590D4F"/>
    <w:rsid w:val="005C0F74"/>
    <w:rsid w:val="006034F5"/>
    <w:rsid w:val="00636594"/>
    <w:rsid w:val="006406F0"/>
    <w:rsid w:val="00660853"/>
    <w:rsid w:val="00775321"/>
    <w:rsid w:val="007E751A"/>
    <w:rsid w:val="00831EFC"/>
    <w:rsid w:val="0091049F"/>
    <w:rsid w:val="009105B3"/>
    <w:rsid w:val="00B229B1"/>
    <w:rsid w:val="00C444E1"/>
    <w:rsid w:val="00C97F34"/>
    <w:rsid w:val="00CD25AD"/>
    <w:rsid w:val="00DB35A9"/>
    <w:rsid w:val="00DE0F1A"/>
    <w:rsid w:val="00E20E0A"/>
    <w:rsid w:val="00E23368"/>
    <w:rsid w:val="00FD10A4"/>
    <w:rsid w:val="00FE2E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F19C"/>
  <w15:docId w15:val="{173A5462-0475-469F-8A75-9FA89289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sz w:val="22"/>
      <w:szCs w:val="22"/>
    </w:rPr>
  </w:style>
  <w:style w:type="paragraph" w:styleId="Heading1">
    <w:name w:val="heading 1"/>
    <w:uiPriority w:val="9"/>
    <w:qFormat/>
    <w:pPr>
      <w:keepNext/>
      <w:keepLines/>
      <w:spacing w:before="280" w:after="140" w:line="276" w:lineRule="auto"/>
      <w:outlineLvl w:val="0"/>
    </w:pPr>
    <w:rPr>
      <w:b/>
      <w:color w:val="2E74B5"/>
      <w:sz w:val="26"/>
      <w:szCs w:val="26"/>
    </w:rPr>
  </w:style>
  <w:style w:type="paragraph" w:styleId="Heading2">
    <w:name w:val="heading 2"/>
    <w:uiPriority w:val="9"/>
    <w:unhideWhenUsed/>
    <w:qFormat/>
    <w:pPr>
      <w:keepNext/>
      <w:keepLines/>
      <w:spacing w:before="200" w:after="140" w:line="276" w:lineRule="auto"/>
      <w:outlineLvl w:val="1"/>
    </w:pPr>
    <w:rPr>
      <w:b/>
      <w:color w:val="1F4D78"/>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pPr>
    <w:rPr>
      <w:b/>
      <w:color w:val="000000"/>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Mihaljevic</cp:lastModifiedBy>
  <cp:revision>19</cp:revision>
  <dcterms:created xsi:type="dcterms:W3CDTF">2026-09-09T20:55:00Z</dcterms:created>
  <dcterms:modified xsi:type="dcterms:W3CDTF">2026-09-11T18:10:00Z</dcterms:modified>
</cp:coreProperties>
</file>