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left"/>
      </w:pPr>
      <w:r>
        <w:rPr>
          <w:rFonts w:ascii="Calibri" w:cs="Calibri" w:eastAsia="Calibri" w:hAnsi="Calibri"/>
          <w:b/>
          <w:bCs/>
          <w:sz w:val="40"/>
          <w:szCs w:val="40"/>
        </w:rPr>
        <w:t xml:space="preserve">Valuing Draft Picks</w:t>
      </w:r>
    </w:p>
    <w:p>
      <w:pPr>
        <w:spacing w:after="120" w:before="60" w:line="276"/>
        <w:jc w:val="left"/>
      </w:pPr>
      <w:r>
        <w:rPr>
          <w:rFonts w:ascii="Calibri" w:cs="Calibri" w:eastAsia="Calibri" w:hAnsi="Calibri"/>
          <w:color w:val="52514E"/>
        </w:rPr>
        <w:t xml:space="preserve">The problem, the approach, and where the work stands. October 2026.</w:t>
      </w:r>
    </w:p>
    <w:p>
      <w:pPr>
        <w:pStyle w:val="Heading1"/>
        <w:spacing w:after="120" w:before="280"/>
      </w:pPr>
      <w:r>
        <w:rPr>
          <w:rFonts w:ascii="Calibri" w:cs="Calibri" w:eastAsia="Calibri" w:hAnsi="Calibri"/>
        </w:rPr>
        <w:t xml:space="preserve">1. The Problem</w:t>
      </w:r>
    </w:p>
    <w:p>
      <w:pPr>
        <w:spacing w:after="120" w:before="60" w:line="276"/>
        <w:jc w:val="left"/>
      </w:pPr>
      <w:r>
        <w:rPr>
          <w:rFonts w:ascii="Calibri" w:cs="Calibri" w:eastAsia="Calibri" w:hAnsi="Calibri"/>
        </w:rPr>
        <w:t xml:space="preserve">The trade study compares what each club gave and received in a trade, and it needs each asset on one scale. Players are valued from their contracts: the surplus a club expects from a player is the market price of the wins he is forecast to deliver, less his cap hit, summed over the seasons the club controls him. A draft pick has no contract and no player yet. It is a claim on whoever the club selects at a slot, so its value has to come from what selections at that slot have delivered in the past.</w:t>
      </w:r>
    </w:p>
    <w:p>
      <w:pPr>
        <w:spacing w:after="120" w:before="60" w:line="276"/>
        <w:jc w:val="left"/>
      </w:pPr>
      <w:r>
        <w:rPr>
          <w:rFonts w:ascii="Calibri" w:cs="Calibri" w:eastAsia="Calibri" w:hAnsi="Calibri"/>
        </w:rPr>
        <w:t xml:space="preserve">Two features of the draft make this hard. First, outcomes are very uneven: 1,155 of the 2,322 players drafted from 2007 to 2017 never played an NHL game, while a few became stars who returned tens of millions of dollars in surplus. Second, a pick's outcome takes about nine seasons to arrive. The drafts that can be measured completely are, therefore, years older than the trades being priced, and a curve built from all of the history available today uses information that no club had at the time of most trades. This is look-ahead bias, and the design below is built to keep it out of the value of a pick at the moment it is traded.</w:t>
      </w:r>
    </w:p>
    <w:p>
      <w:pPr>
        <w:spacing w:after="120" w:before="60" w:line="276"/>
        <w:jc w:val="left"/>
      </w:pPr>
      <w:r>
        <w:rPr>
          <w:rFonts w:ascii="Calibri" w:cs="Calibri" w:eastAsia="Calibri" w:hAnsi="Calibri"/>
        </w:rPr>
        <w:t xml:space="preserve">The document follows the build in order: pricing each drafted player in the player model's currency (Section 3), turning those prices into a value for each draft slot (Section 4), limiting that value to what was knowable at each trade (Section 5), and valuing the picks that changed hands (Section 6). Section 7 tests the cost side, Section 8 outlines the prospect model, which is not yet built, and Section 9 lists the limits and the remaining work.</w:t>
      </w:r>
    </w:p>
    <w:p>
      <w:pPr>
        <w:pStyle w:val="Heading1"/>
        <w:spacing w:after="120" w:before="280"/>
      </w:pPr>
      <w:r>
        <w:rPr>
          <w:rFonts w:ascii="Calibri" w:cs="Calibri" w:eastAsia="Calibri" w:hAnsi="Calibri"/>
        </w:rPr>
        <w:t xml:space="preserve">2. The Approach in Brief</w:t>
      </w:r>
    </w:p>
    <w:p>
      <w:pPr>
        <w:spacing w:after="120" w:before="60" w:line="276"/>
        <w:jc w:val="left"/>
      </w:pPr>
      <w:r>
        <w:rPr>
          <w:rFonts w:ascii="Calibri" w:cs="Calibri" w:eastAsia="Calibri" w:hAnsi="Calibri"/>
        </w:rPr>
        <w:t xml:space="preserve">A pick's value is a dollar scale for the trade season times the probability that a player taken at that slot becomes a star:</w:t>
      </w:r>
    </w:p>
    <w:p>
      <w:pPr>
        <w:spacing w:after="120" w:before="60"/>
        <w:jc w:val="center"/>
      </w:pPr>
      <w:r>
        <w:rPr>
          <w:rFonts w:ascii="Cambria Math" w:cs="Cambria Math" w:eastAsia="Cambria Math" w:hAnsi="Cambria Math"/>
          <w:i/>
          <w:iCs/>
        </w:rPr>
        <w:t xml:space="preserve">value of a pick at slot k, traded in season T  =  b(T) × P(star | slot k)</w:t>
      </w:r>
    </w:p>
    <w:p>
      <w:pPr>
        <w:spacing w:after="120" w:before="60" w:line="276"/>
        <w:jc w:val="left"/>
      </w:pPr>
      <w:r>
        <w:rPr>
          <w:rFonts w:ascii="Calibri" w:cs="Calibri" w:eastAsia="Calibri" w:hAnsi="Calibri"/>
        </w:rPr>
        <w:t xml:space="preserve">The probability comes from Patrick Bacon's draft baseline, the same provider as the WAR used throughout the model. A star is a player whose career WAR per 82 games is 1.8 or more for a forward, or 1.23 or more for a defenceman, which Bacon describes as roughly the top 20% of forwards and top 15% of defencemen. The scale b(T) is estimated from our own data: it is the surplus, in dollars at the 2025-26 cap, that one unit of star probability has historically delivered, fitted only on drafts that had played out before trade season T. For example, a #1 pick (star probability 74.8%) traded in 2019-20 is worth $20.3M, and a #32 pick (7.4%) is worth $2.02M.</w:t>
      </w:r>
    </w:p>
    <w:p>
      <w:pPr>
        <w:spacing w:after="120" w:before="60" w:line="276"/>
        <w:jc w:val="left"/>
      </w:pPr>
      <w:r>
        <w:rPr>
          <w:rFonts w:ascii="Calibri" w:cs="Calibri" w:eastAsia="Calibri" w:hAnsi="Calibri"/>
        </w:rPr>
        <w:t xml:space="preserve">Table 1 lists each decision, what it was chosen over, and the evidence. The sections that follow walk through them in order.</w:t>
      </w:r>
    </w:p>
    <w:p>
      <w:pPr>
        <w:keepNext/>
        <w:spacing w:after="60" w:before="160"/>
      </w:pPr>
      <w:r>
        <w:rPr>
          <w:rFonts w:ascii="Calibri" w:cs="Calibri" w:eastAsia="Calibri" w:hAnsi="Calibri"/>
          <w:b/>
          <w:bCs/>
          <w:sz w:val="20"/>
          <w:szCs w:val="20"/>
        </w:rPr>
        <w:t xml:space="preserve">Table 1. Decisions behind the pick curve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2700"/>
        <w:gridCol w:w="2400"/>
        <w:gridCol w:w="2660"/>
      </w:tblGrid>
      <w:tr>
        <w:trPr>
          <w:tblHeader/>
        </w:trPr>
        <w:tc>
          <w:tcPr>
            <w:tcW w:type="dxa" w:w="1600"/>
            <w:tcBorders>
              <w:top w:val="single" w:color="C9C8C3" w:sz="4"/>
              <w:left w:val="single" w:color="C9C8C3" w:sz="4"/>
              <w:bottom w:val="single" w:color="C9C8C3" w:sz="4"/>
              <w:right w:val="single" w:color="C9C8C3" w:sz="4"/>
            </w:tcBorders>
            <w:shd w:fill="EFEEEA" w:color="auto" w:val="clear"/>
            <w:tcMar>
              <w:top w:type="dxa" w:w="50"/>
              <w:left w:type="dxa" w:w="90"/>
              <w:bottom w:type="dxa" w:w="50"/>
              <w:right w:type="dxa" w:w="90"/>
            </w:tcMar>
          </w:tcPr>
          <w:p>
            <w:pPr>
              <w:keepNext/>
              <w:jc w:val="left"/>
            </w:pPr>
            <w:r>
              <w:rPr>
                <w:rFonts w:ascii="Calibri" w:cs="Calibri" w:eastAsia="Calibri" w:hAnsi="Calibri"/>
                <w:b/>
                <w:bCs/>
                <w:sz w:val="18"/>
                <w:szCs w:val="18"/>
              </w:rPr>
              <w:t xml:space="preserve">Step</w:t>
            </w:r>
          </w:p>
        </w:tc>
        <w:tc>
          <w:tcPr>
            <w:tcW w:type="dxa" w:w="2700"/>
            <w:tcBorders>
              <w:top w:val="single" w:color="C9C8C3" w:sz="4"/>
              <w:left w:val="single" w:color="C9C8C3" w:sz="4"/>
              <w:bottom w:val="single" w:color="C9C8C3" w:sz="4"/>
              <w:right w:val="single" w:color="C9C8C3" w:sz="4"/>
            </w:tcBorders>
            <w:shd w:fill="EFEEEA" w:color="auto" w:val="clear"/>
            <w:tcMar>
              <w:top w:type="dxa" w:w="50"/>
              <w:left w:type="dxa" w:w="90"/>
              <w:bottom w:type="dxa" w:w="50"/>
              <w:right w:type="dxa" w:w="90"/>
            </w:tcMar>
          </w:tcPr>
          <w:p>
            <w:pPr>
              <w:keepNext/>
              <w:jc w:val="left"/>
            </w:pPr>
            <w:r>
              <w:rPr>
                <w:rFonts w:ascii="Calibri" w:cs="Calibri" w:eastAsia="Calibri" w:hAnsi="Calibri"/>
                <w:b/>
                <w:bCs/>
                <w:sz w:val="18"/>
                <w:szCs w:val="18"/>
              </w:rPr>
              <w:t xml:space="preserve">Chosen</w:t>
            </w:r>
          </w:p>
        </w:tc>
        <w:tc>
          <w:tcPr>
            <w:tcW w:type="dxa" w:w="2400"/>
            <w:tcBorders>
              <w:top w:val="single" w:color="C9C8C3" w:sz="4"/>
              <w:left w:val="single" w:color="C9C8C3" w:sz="4"/>
              <w:bottom w:val="single" w:color="C9C8C3" w:sz="4"/>
              <w:right w:val="single" w:color="C9C8C3" w:sz="4"/>
            </w:tcBorders>
            <w:shd w:fill="EFEEEA" w:color="auto" w:val="clear"/>
            <w:tcMar>
              <w:top w:type="dxa" w:w="50"/>
              <w:left w:type="dxa" w:w="90"/>
              <w:bottom w:type="dxa" w:w="50"/>
              <w:right w:type="dxa" w:w="90"/>
            </w:tcMar>
          </w:tcPr>
          <w:p>
            <w:pPr>
              <w:keepNext/>
              <w:jc w:val="left"/>
            </w:pPr>
            <w:r>
              <w:rPr>
                <w:rFonts w:ascii="Calibri" w:cs="Calibri" w:eastAsia="Calibri" w:hAnsi="Calibri"/>
                <w:b/>
                <w:bCs/>
                <w:sz w:val="18"/>
                <w:szCs w:val="18"/>
              </w:rPr>
              <w:t xml:space="preserve">Tested against</w:t>
            </w:r>
          </w:p>
        </w:tc>
        <w:tc>
          <w:tcPr>
            <w:tcW w:type="dxa" w:w="2660"/>
            <w:tcBorders>
              <w:top w:val="single" w:color="C9C8C3" w:sz="4"/>
              <w:left w:val="single" w:color="C9C8C3" w:sz="4"/>
              <w:bottom w:val="single" w:color="C9C8C3" w:sz="4"/>
              <w:right w:val="single" w:color="C9C8C3" w:sz="4"/>
            </w:tcBorders>
            <w:shd w:fill="EFEEEA" w:color="auto" w:val="clear"/>
            <w:tcMar>
              <w:top w:type="dxa" w:w="50"/>
              <w:left w:type="dxa" w:w="90"/>
              <w:bottom w:type="dxa" w:w="50"/>
              <w:right w:type="dxa" w:w="90"/>
            </w:tcMar>
          </w:tcPr>
          <w:p>
            <w:pPr>
              <w:keepNext/>
              <w:jc w:val="left"/>
            </w:pPr>
            <w:r>
              <w:rPr>
                <w:rFonts w:ascii="Calibri" w:cs="Calibri" w:eastAsia="Calibri" w:hAnsi="Calibri"/>
                <w:b/>
                <w:bCs/>
                <w:sz w:val="18"/>
                <w:szCs w:val="18"/>
              </w:rPr>
              <w:t xml:space="preserve">Evidence</w:t>
            </w:r>
          </w:p>
        </w:tc>
      </w:tr>
      <w:tr>
        <w:trPr>
          <w:cantSplit/>
        </w:trPr>
        <w:tc>
          <w:tcPr>
            <w:tcW w:type="dxa" w:w="1600"/>
            <w:tcBorders>
              <w:top w:val="single" w:color="C9C8C3" w:sz="4"/>
              <w:left w:val="single" w:color="C9C8C3" w:sz="4"/>
              <w:bottom w:val="single" w:color="C9C8C3" w:sz="4"/>
              <w:right w:val="single" w:color="C9C8C3" w:sz="4"/>
            </w:tcBorders>
            <w:tcMar>
              <w:top w:type="dxa" w:w="50"/>
              <w:left w:type="dxa" w:w="90"/>
              <w:bottom w:type="dxa" w:w="50"/>
              <w:right w:type="dxa" w:w="90"/>
            </w:tcMar>
          </w:tcPr>
          <w:p>
            <w:pPr>
              <w:keepNext/>
              <w:jc w:val="left"/>
            </w:pPr>
            <w:r>
              <w:rPr>
                <w:rFonts w:ascii="Calibri" w:cs="Calibri" w:eastAsia="Calibri" w:hAnsi="Calibri"/>
                <w:b w:val="false"/>
                <w:bCs w:val="false"/>
                <w:sz w:val="18"/>
                <w:szCs w:val="18"/>
              </w:rPr>
              <w:t xml:space="preserve">Control window</w:t>
            </w:r>
          </w:p>
        </w:tc>
        <w:tc>
          <w:tcPr>
            <w:tcW w:type="dxa" w:w="2700"/>
            <w:tcBorders>
              <w:top w:val="single" w:color="C9C8C3" w:sz="4"/>
              <w:left w:val="single" w:color="C9C8C3" w:sz="4"/>
              <w:bottom w:val="single" w:color="C9C8C3" w:sz="4"/>
              <w:right w:val="single" w:color="C9C8C3" w:sz="4"/>
            </w:tcBorders>
            <w:tcMar>
              <w:top w:type="dxa" w:w="50"/>
              <w:left w:type="dxa" w:w="90"/>
              <w:bottom w:type="dxa" w:w="50"/>
              <w:right w:type="dxa" w:w="90"/>
            </w:tcMar>
          </w:tcPr>
          <w:p>
            <w:pPr>
              <w:keepNext/>
              <w:jc w:val="left"/>
            </w:pPr>
            <w:r>
              <w:rPr>
                <w:rFonts w:ascii="Calibri" w:cs="Calibri" w:eastAsia="Calibri" w:hAnsi="Calibri"/>
                <w:b w:val="false"/>
                <w:bCs w:val="false"/>
                <w:sz w:val="18"/>
                <w:szCs w:val="18"/>
              </w:rPr>
              <w:t xml:space="preserve">Draft to free agency under CBA Group 3 (27, or seven accrued seasons)</w:t>
            </w:r>
          </w:p>
        </w:tc>
        <w:tc>
          <w:tcPr>
            <w:tcW w:type="dxa" w:w="2400"/>
            <w:tcBorders>
              <w:top w:val="single" w:color="C9C8C3" w:sz="4"/>
              <w:left w:val="single" w:color="C9C8C3" w:sz="4"/>
              <w:bottom w:val="single" w:color="C9C8C3" w:sz="4"/>
              <w:right w:val="single" w:color="C9C8C3" w:sz="4"/>
            </w:tcBorders>
            <w:tcMar>
              <w:top w:type="dxa" w:w="50"/>
              <w:left w:type="dxa" w:w="90"/>
              <w:bottom w:type="dxa" w:w="50"/>
              <w:right w:type="dxa" w:w="90"/>
            </w:tcMar>
          </w:tcPr>
          <w:p>
            <w:pPr>
              <w:keepNext/>
              <w:jc w:val="left"/>
            </w:pPr>
            <w:r>
              <w:rPr>
                <w:rFonts w:ascii="Calibri" w:cs="Calibri" w:eastAsia="Calibri" w:hAnsi="Calibri"/>
                <w:b w:val="false"/>
                <w:bCs w:val="false"/>
                <w:sz w:val="18"/>
                <w:szCs w:val="18"/>
              </w:rPr>
              <w:t xml:space="preserve">A fixed nine seasons</w:t>
            </w:r>
          </w:p>
        </w:tc>
        <w:tc>
          <w:tcPr>
            <w:tcW w:type="dxa" w:w="2660"/>
            <w:tcBorders>
              <w:top w:val="single" w:color="C9C8C3" w:sz="4"/>
              <w:left w:val="single" w:color="C9C8C3" w:sz="4"/>
              <w:bottom w:val="single" w:color="C9C8C3" w:sz="4"/>
              <w:right w:val="single" w:color="C9C8C3" w:sz="4"/>
            </w:tcBorders>
            <w:tcMar>
              <w:top w:type="dxa" w:w="50"/>
              <w:left w:type="dxa" w:w="90"/>
              <w:bottom w:type="dxa" w:w="50"/>
              <w:right w:type="dxa" w:w="90"/>
            </w:tcMar>
          </w:tcPr>
          <w:p>
            <w:pPr>
              <w:keepNext/>
              <w:jc w:val="left"/>
            </w:pPr>
            <w:r>
              <w:rPr>
                <w:rFonts w:ascii="Calibri" w:cs="Calibri" w:eastAsia="Calibri" w:hAnsi="Calibri"/>
                <w:b w:val="false"/>
                <w:bCs w:val="false"/>
                <w:sz w:val="18"/>
                <w:szCs w:val="18"/>
              </w:rPr>
              <w:t xml:space="preserve">Section 3; matches PuckPedia's free-agency year for 1,151 of 1,183 players</w:t>
            </w:r>
          </w:p>
        </w:tc>
      </w:tr>
      <w:tr>
        <w:trPr>
          <w:cantSplit/>
        </w:trPr>
        <w:tc>
          <w:tcPr>
            <w:tcW w:type="dxa" w:w="1600"/>
            <w:tcBorders>
              <w:top w:val="single" w:color="C9C8C3" w:sz="4"/>
              <w:left w:val="single" w:color="C9C8C3" w:sz="4"/>
              <w:bottom w:val="single" w:color="C9C8C3" w:sz="4"/>
              <w:right w:val="single" w:color="C9C8C3" w:sz="4"/>
            </w:tcBorders>
            <w:tcMar>
              <w:top w:type="dxa" w:w="50"/>
              <w:left w:type="dxa" w:w="90"/>
              <w:bottom w:type="dxa" w:w="50"/>
              <w:right w:type="dxa" w:w="90"/>
            </w:tcMar>
          </w:tcPr>
          <w:p>
            <w:pPr>
              <w:keepNext/>
              <w:jc w:val="left"/>
            </w:pPr>
            <w:r>
              <w:rPr>
                <w:rFonts w:ascii="Calibri" w:cs="Calibri" w:eastAsia="Calibri" w:hAnsi="Calibri"/>
                <w:b w:val="false"/>
                <w:bCs w:val="false"/>
                <w:sz w:val="18"/>
                <w:szCs w:val="18"/>
              </w:rPr>
              <w:t xml:space="preserve">Value of a season</w:t>
            </w:r>
          </w:p>
        </w:tc>
        <w:tc>
          <w:tcPr>
            <w:tcW w:type="dxa" w:w="2700"/>
            <w:tcBorders>
              <w:top w:val="single" w:color="C9C8C3" w:sz="4"/>
              <w:left w:val="single" w:color="C9C8C3" w:sz="4"/>
              <w:bottom w:val="single" w:color="C9C8C3" w:sz="4"/>
              <w:right w:val="single" w:color="C9C8C3" w:sz="4"/>
            </w:tcBorders>
            <w:tcMar>
              <w:top w:type="dxa" w:w="50"/>
              <w:left w:type="dxa" w:w="90"/>
              <w:bottom w:type="dxa" w:w="50"/>
              <w:right w:type="dxa" w:w="90"/>
            </w:tcMar>
          </w:tcPr>
          <w:p>
            <w:pPr>
              <w:keepNext/>
              <w:jc w:val="left"/>
            </w:pPr>
            <w:r>
              <w:rPr>
                <w:rFonts w:ascii="Calibri" w:cs="Calibri" w:eastAsia="Calibri" w:hAnsi="Calibri"/>
                <w:b w:val="false"/>
                <w:bCs w:val="false"/>
                <w:sz w:val="18"/>
                <w:szCs w:val="18"/>
              </w:rPr>
              <w:t xml:space="preserve">Wins delivered, on the player contracts' price line, as a one-year deal</w:t>
            </w:r>
          </w:p>
        </w:tc>
        <w:tc>
          <w:tcPr>
            <w:tcW w:type="dxa" w:w="2400"/>
            <w:tcBorders>
              <w:top w:val="single" w:color="C9C8C3" w:sz="4"/>
              <w:left w:val="single" w:color="C9C8C3" w:sz="4"/>
              <w:bottom w:val="single" w:color="C9C8C3" w:sz="4"/>
              <w:right w:val="single" w:color="C9C8C3" w:sz="4"/>
            </w:tcBorders>
            <w:tcMar>
              <w:top w:type="dxa" w:w="50"/>
              <w:left w:type="dxa" w:w="90"/>
              <w:bottom w:type="dxa" w:w="50"/>
              <w:right w:type="dxa" w:w="90"/>
            </w:tcMar>
          </w:tcPr>
          <w:p>
            <w:pPr>
              <w:keepNext/>
              <w:jc w:val="left"/>
            </w:pPr>
            <w:r>
              <w:rPr>
                <w:rFonts w:ascii="Calibri" w:cs="Calibri" w:eastAsia="Calibri" w:hAnsi="Calibri"/>
                <w:b w:val="false"/>
                <w:bCs w:val="false"/>
                <w:sz w:val="18"/>
                <w:szCs w:val="18"/>
              </w:rPr>
              <w:t xml:space="preserve">The entry-level deal's remaining term</w:t>
            </w:r>
          </w:p>
        </w:tc>
        <w:tc>
          <w:tcPr>
            <w:tcW w:type="dxa" w:w="2660"/>
            <w:tcBorders>
              <w:top w:val="single" w:color="C9C8C3" w:sz="4"/>
              <w:left w:val="single" w:color="C9C8C3" w:sz="4"/>
              <w:bottom w:val="single" w:color="C9C8C3" w:sz="4"/>
              <w:right w:val="single" w:color="C9C8C3" w:sz="4"/>
            </w:tcBorders>
            <w:tcMar>
              <w:top w:type="dxa" w:w="50"/>
              <w:left w:type="dxa" w:w="90"/>
              <w:bottom w:type="dxa" w:w="50"/>
              <w:right w:type="dxa" w:w="90"/>
            </w:tcMar>
          </w:tcPr>
          <w:p>
            <w:pPr>
              <w:keepNext/>
              <w:jc w:val="left"/>
            </w:pPr>
            <w:r>
              <w:rPr>
                <w:rFonts w:ascii="Calibri" w:cs="Calibri" w:eastAsia="Calibri" w:hAnsi="Calibri"/>
                <w:b w:val="false"/>
                <w:bCs w:val="false"/>
                <w:sz w:val="18"/>
                <w:szCs w:val="18"/>
              </w:rPr>
              <w:t xml:space="preserve">One currency for picks and players</w:t>
            </w:r>
          </w:p>
        </w:tc>
      </w:tr>
      <w:tr>
        <w:trPr>
          <w:cantSplit/>
        </w:trPr>
        <w:tc>
          <w:tcPr>
            <w:tcW w:type="dxa" w:w="1600"/>
            <w:tcBorders>
              <w:top w:val="single" w:color="C9C8C3" w:sz="4"/>
              <w:left w:val="single" w:color="C9C8C3" w:sz="4"/>
              <w:bottom w:val="single" w:color="C9C8C3" w:sz="4"/>
              <w:right w:val="single" w:color="C9C8C3" w:sz="4"/>
            </w:tcBorders>
            <w:tcMar>
              <w:top w:type="dxa" w:w="50"/>
              <w:left w:type="dxa" w:w="90"/>
              <w:bottom w:type="dxa" w:w="50"/>
              <w:right w:type="dxa" w:w="90"/>
            </w:tcMar>
          </w:tcPr>
          <w:p>
            <w:pPr>
              <w:keepNext/>
              <w:jc w:val="left"/>
            </w:pPr>
            <w:r>
              <w:rPr>
                <w:rFonts w:ascii="Calibri" w:cs="Calibri" w:eastAsia="Calibri" w:hAnsi="Calibri"/>
                <w:b w:val="false"/>
                <w:bCs w:val="false"/>
                <w:sz w:val="18"/>
                <w:szCs w:val="18"/>
              </w:rPr>
              <w:t xml:space="preserve">Cost</w:t>
            </w:r>
          </w:p>
        </w:tc>
        <w:tc>
          <w:tcPr>
            <w:tcW w:type="dxa" w:w="2700"/>
            <w:tcBorders>
              <w:top w:val="single" w:color="C9C8C3" w:sz="4"/>
              <w:left w:val="single" w:color="C9C8C3" w:sz="4"/>
              <w:bottom w:val="single" w:color="C9C8C3" w:sz="4"/>
              <w:right w:val="single" w:color="C9C8C3" w:sz="4"/>
            </w:tcBorders>
            <w:tcMar>
              <w:top w:type="dxa" w:w="50"/>
              <w:left w:type="dxa" w:w="90"/>
              <w:bottom w:type="dxa" w:w="50"/>
              <w:right w:type="dxa" w:w="90"/>
            </w:tcMar>
          </w:tcPr>
          <w:p>
            <w:pPr>
              <w:keepNext/>
              <w:jc w:val="left"/>
            </w:pPr>
            <w:r>
              <w:rPr>
                <w:rFonts w:ascii="Calibri" w:cs="Calibri" w:eastAsia="Calibri" w:hAnsi="Calibri"/>
                <w:b w:val="false"/>
                <w:bCs w:val="false"/>
                <w:sz w:val="18"/>
                <w:szCs w:val="18"/>
              </w:rPr>
              <w:t xml:space="preserve">Entry-level maximum, then one-year qualifying offers</w:t>
            </w:r>
          </w:p>
        </w:tc>
        <w:tc>
          <w:tcPr>
            <w:tcW w:type="dxa" w:w="2400"/>
            <w:tcBorders>
              <w:top w:val="single" w:color="C9C8C3" w:sz="4"/>
              <w:left w:val="single" w:color="C9C8C3" w:sz="4"/>
              <w:bottom w:val="single" w:color="C9C8C3" w:sz="4"/>
              <w:right w:val="single" w:color="C9C8C3" w:sz="4"/>
            </w:tcBorders>
            <w:tcMar>
              <w:top w:type="dxa" w:w="50"/>
              <w:left w:type="dxa" w:w="90"/>
              <w:bottom w:type="dxa" w:w="50"/>
              <w:right w:type="dxa" w:w="90"/>
            </w:tcMar>
          </w:tcPr>
          <w:p>
            <w:pPr>
              <w:keepNext/>
              <w:jc w:val="left"/>
            </w:pPr>
            <w:r>
              <w:rPr>
                <w:rFonts w:ascii="Calibri" w:cs="Calibri" w:eastAsia="Calibri" w:hAnsi="Calibri"/>
                <w:b w:val="false"/>
                <w:bCs w:val="false"/>
                <w:sz w:val="18"/>
                <w:szCs w:val="18"/>
              </w:rPr>
              <w:t xml:space="preserve">Actual cap hits; market cost once arbitration-eligible</w:t>
            </w:r>
          </w:p>
        </w:tc>
        <w:tc>
          <w:tcPr>
            <w:tcW w:type="dxa" w:w="2660"/>
            <w:tcBorders>
              <w:top w:val="single" w:color="C9C8C3" w:sz="4"/>
              <w:left w:val="single" w:color="C9C8C3" w:sz="4"/>
              <w:bottom w:val="single" w:color="C9C8C3" w:sz="4"/>
              <w:right w:val="single" w:color="C9C8C3" w:sz="4"/>
            </w:tcBorders>
            <w:tcMar>
              <w:top w:type="dxa" w:w="50"/>
              <w:left w:type="dxa" w:w="90"/>
              <w:bottom w:type="dxa" w:w="50"/>
              <w:right w:type="dxa" w:w="90"/>
            </w:tcMar>
          </w:tcPr>
          <w:p>
            <w:pPr>
              <w:keepNext/>
              <w:jc w:val="left"/>
            </w:pPr>
            <w:r>
              <w:rPr>
                <w:rFonts w:ascii="Calibri" w:cs="Calibri" w:eastAsia="Calibri" w:hAnsi="Calibri"/>
                <w:b w:val="false"/>
                <w:bCs w:val="false"/>
                <w:sz w:val="18"/>
                <w:szCs w:val="18"/>
              </w:rPr>
              <w:t xml:space="preserve">Section 7, Figure 5</w:t>
            </w:r>
          </w:p>
        </w:tc>
      </w:tr>
      <w:tr>
        <w:trPr>
          <w:cantSplit/>
        </w:trPr>
        <w:tc>
          <w:tcPr>
            <w:tcW w:type="dxa" w:w="1600"/>
            <w:tcBorders>
              <w:top w:val="single" w:color="C9C8C3" w:sz="4"/>
              <w:left w:val="single" w:color="C9C8C3" w:sz="4"/>
              <w:bottom w:val="single" w:color="C9C8C3" w:sz="4"/>
              <w:right w:val="single" w:color="C9C8C3" w:sz="4"/>
            </w:tcBorders>
            <w:tcMar>
              <w:top w:type="dxa" w:w="50"/>
              <w:left w:type="dxa" w:w="90"/>
              <w:bottom w:type="dxa" w:w="50"/>
              <w:right w:type="dxa" w:w="90"/>
            </w:tcMar>
          </w:tcPr>
          <w:p>
            <w:pPr>
              <w:keepNext/>
              <w:jc w:val="left"/>
            </w:pPr>
            <w:r>
              <w:rPr>
                <w:rFonts w:ascii="Calibri" w:cs="Calibri" w:eastAsia="Calibri" w:hAnsi="Calibri"/>
                <w:b w:val="false"/>
                <w:bCs w:val="false"/>
                <w:sz w:val="18"/>
                <w:szCs w:val="18"/>
              </w:rPr>
              <w:t xml:space="preserve">Shape across picks</w:t>
            </w:r>
          </w:p>
        </w:tc>
        <w:tc>
          <w:tcPr>
            <w:tcW w:type="dxa" w:w="2700"/>
            <w:tcBorders>
              <w:top w:val="single" w:color="C9C8C3" w:sz="4"/>
              <w:left w:val="single" w:color="C9C8C3" w:sz="4"/>
              <w:bottom w:val="single" w:color="C9C8C3" w:sz="4"/>
              <w:right w:val="single" w:color="C9C8C3" w:sz="4"/>
            </w:tcBorders>
            <w:tcMar>
              <w:top w:type="dxa" w:w="50"/>
              <w:left w:type="dxa" w:w="90"/>
              <w:bottom w:type="dxa" w:w="50"/>
              <w:right w:type="dxa" w:w="90"/>
            </w:tcMar>
          </w:tcPr>
          <w:p>
            <w:pPr>
              <w:keepNext/>
              <w:jc w:val="left"/>
            </w:pPr>
            <w:r>
              <w:rPr>
                <w:rFonts w:ascii="Calibri" w:cs="Calibri" w:eastAsia="Calibri" w:hAnsi="Calibri"/>
                <w:b w:val="false"/>
                <w:bCs w:val="false"/>
                <w:sz w:val="18"/>
                <w:szCs w:val="18"/>
              </w:rPr>
              <w:t xml:space="preserve">Bacon's star probability</w:t>
            </w:r>
          </w:p>
        </w:tc>
        <w:tc>
          <w:tcPr>
            <w:tcW w:type="dxa" w:w="2400"/>
            <w:tcBorders>
              <w:top w:val="single" w:color="C9C8C3" w:sz="4"/>
              <w:left w:val="single" w:color="C9C8C3" w:sz="4"/>
              <w:bottom w:val="single" w:color="C9C8C3" w:sz="4"/>
              <w:right w:val="single" w:color="C9C8C3" w:sz="4"/>
            </w:tcBorders>
            <w:tcMar>
              <w:top w:type="dxa" w:w="50"/>
              <w:left w:type="dxa" w:w="90"/>
              <w:bottom w:type="dxa" w:w="50"/>
              <w:right w:type="dxa" w:w="90"/>
            </w:tcMar>
          </w:tcPr>
          <w:p>
            <w:pPr>
              <w:keepNext/>
              <w:jc w:val="left"/>
            </w:pPr>
            <w:r>
              <w:rPr>
                <w:rFonts w:ascii="Calibri" w:cs="Calibri" w:eastAsia="Calibri" w:hAnsi="Calibri"/>
                <w:b w:val="false"/>
                <w:bCs w:val="false"/>
                <w:sz w:val="18"/>
                <w:szCs w:val="18"/>
              </w:rPr>
              <w:t xml:space="preserve">Straight line, log, bendable curve, log squared, two-part model</w:t>
            </w:r>
          </w:p>
        </w:tc>
        <w:tc>
          <w:tcPr>
            <w:tcW w:type="dxa" w:w="2660"/>
            <w:tcBorders>
              <w:top w:val="single" w:color="C9C8C3" w:sz="4"/>
              <w:left w:val="single" w:color="C9C8C3" w:sz="4"/>
              <w:bottom w:val="single" w:color="C9C8C3" w:sz="4"/>
              <w:right w:val="single" w:color="C9C8C3" w:sz="4"/>
            </w:tcBorders>
            <w:tcMar>
              <w:top w:type="dxa" w:w="50"/>
              <w:left w:type="dxa" w:w="90"/>
              <w:bottom w:type="dxa" w:w="50"/>
              <w:right w:type="dxa" w:w="90"/>
            </w:tcMar>
          </w:tcPr>
          <w:p>
            <w:pPr>
              <w:keepNext/>
              <w:jc w:val="left"/>
            </w:pPr>
            <w:r>
              <w:rPr>
                <w:rFonts w:ascii="Calibri" w:cs="Calibri" w:eastAsia="Calibri" w:hAnsi="Calibri"/>
                <w:b w:val="false"/>
                <w:bCs w:val="false"/>
                <w:sz w:val="18"/>
                <w:szCs w:val="18"/>
              </w:rPr>
              <w:t xml:space="preserve">Table 3, Figures 1 and 2</w:t>
            </w:r>
          </w:p>
        </w:tc>
      </w:tr>
      <w:tr>
        <w:trPr>
          <w:cantSplit/>
        </w:trPr>
        <w:tc>
          <w:tcPr>
            <w:tcW w:type="dxa" w:w="1600"/>
            <w:tcBorders>
              <w:top w:val="single" w:color="C9C8C3" w:sz="4"/>
              <w:left w:val="single" w:color="C9C8C3" w:sz="4"/>
              <w:bottom w:val="single" w:color="C9C8C3" w:sz="4"/>
              <w:right w:val="single" w:color="C9C8C3" w:sz="4"/>
            </w:tcBorders>
            <w:tcMar>
              <w:top w:type="dxa" w:w="50"/>
              <w:left w:type="dxa" w:w="90"/>
              <w:bottom w:type="dxa" w:w="50"/>
              <w:right w:type="dxa" w:w="90"/>
            </w:tcMar>
          </w:tcPr>
          <w:p>
            <w:pPr>
              <w:keepNext/>
              <w:jc w:val="left"/>
            </w:pPr>
            <w:r>
              <w:rPr>
                <w:rFonts w:ascii="Calibri" w:cs="Calibri" w:eastAsia="Calibri" w:hAnsi="Calibri"/>
                <w:b w:val="false"/>
                <w:bCs w:val="false"/>
                <w:sz w:val="18"/>
                <w:szCs w:val="18"/>
              </w:rPr>
              <w:t xml:space="preserve">Form on the probability</w:t>
            </w:r>
          </w:p>
        </w:tc>
        <w:tc>
          <w:tcPr>
            <w:tcW w:type="dxa" w:w="2700"/>
            <w:tcBorders>
              <w:top w:val="single" w:color="C9C8C3" w:sz="4"/>
              <w:left w:val="single" w:color="C9C8C3" w:sz="4"/>
              <w:bottom w:val="single" w:color="C9C8C3" w:sz="4"/>
              <w:right w:val="single" w:color="C9C8C3" w:sz="4"/>
            </w:tcBorders>
            <w:tcMar>
              <w:top w:type="dxa" w:w="50"/>
              <w:left w:type="dxa" w:w="90"/>
              <w:bottom w:type="dxa" w:w="50"/>
              <w:right w:type="dxa" w:w="90"/>
            </w:tcMar>
          </w:tcPr>
          <w:p>
            <w:pPr>
              <w:keepNext/>
              <w:jc w:val="left"/>
            </w:pPr>
            <w:r>
              <w:rPr>
                <w:rFonts w:ascii="Calibri" w:cs="Calibri" w:eastAsia="Calibri" w:hAnsi="Calibri"/>
                <w:b w:val="false"/>
                <w:bCs w:val="false"/>
                <w:sz w:val="18"/>
                <w:szCs w:val="18"/>
              </w:rPr>
              <w:t xml:space="preserve">Straight line through zero</w:t>
            </w:r>
          </w:p>
        </w:tc>
        <w:tc>
          <w:tcPr>
            <w:tcW w:type="dxa" w:w="2400"/>
            <w:tcBorders>
              <w:top w:val="single" w:color="C9C8C3" w:sz="4"/>
              <w:left w:val="single" w:color="C9C8C3" w:sz="4"/>
              <w:bottom w:val="single" w:color="C9C8C3" w:sz="4"/>
              <w:right w:val="single" w:color="C9C8C3" w:sz="4"/>
            </w:tcBorders>
            <w:tcMar>
              <w:top w:type="dxa" w:w="50"/>
              <w:left w:type="dxa" w:w="90"/>
              <w:bottom w:type="dxa" w:w="50"/>
              <w:right w:type="dxa" w:w="90"/>
            </w:tcMar>
          </w:tcPr>
          <w:p>
            <w:pPr>
              <w:keepNext/>
              <w:jc w:val="left"/>
            </w:pPr>
            <w:r>
              <w:rPr>
                <w:rFonts w:ascii="Calibri" w:cs="Calibri" w:eastAsia="Calibri" w:hAnsi="Calibri"/>
                <w:b w:val="false"/>
                <w:bCs w:val="false"/>
                <w:sz w:val="18"/>
                <w:szCs w:val="18"/>
              </w:rPr>
              <w:t xml:space="preserve">Intercept, squared term, power curve</w:t>
            </w:r>
          </w:p>
        </w:tc>
        <w:tc>
          <w:tcPr>
            <w:tcW w:type="dxa" w:w="2660"/>
            <w:tcBorders>
              <w:top w:val="single" w:color="C9C8C3" w:sz="4"/>
              <w:left w:val="single" w:color="C9C8C3" w:sz="4"/>
              <w:bottom w:val="single" w:color="C9C8C3" w:sz="4"/>
              <w:right w:val="single" w:color="C9C8C3" w:sz="4"/>
            </w:tcBorders>
            <w:tcMar>
              <w:top w:type="dxa" w:w="50"/>
              <w:left w:type="dxa" w:w="90"/>
              <w:bottom w:type="dxa" w:w="50"/>
              <w:right w:type="dxa" w:w="90"/>
            </w:tcMar>
          </w:tcPr>
          <w:p>
            <w:pPr>
              <w:keepNext/>
              <w:jc w:val="left"/>
            </w:pPr>
            <w:r>
              <w:rPr>
                <w:rFonts w:ascii="Calibri" w:cs="Calibri" w:eastAsia="Calibri" w:hAnsi="Calibri"/>
                <w:b w:val="false"/>
                <w:bCs w:val="false"/>
                <w:sz w:val="18"/>
                <w:szCs w:val="18"/>
              </w:rPr>
              <w:t xml:space="preserve">Table 4</w:t>
            </w:r>
          </w:p>
        </w:tc>
      </w:tr>
      <w:tr>
        <w:trPr>
          <w:cantSplit/>
        </w:trPr>
        <w:tc>
          <w:tcPr>
            <w:tcW w:type="dxa" w:w="1600"/>
            <w:tcBorders>
              <w:top w:val="single" w:color="C9C8C3" w:sz="4"/>
              <w:left w:val="single" w:color="C9C8C3" w:sz="4"/>
              <w:bottom w:val="single" w:color="C9C8C3" w:sz="4"/>
              <w:right w:val="single" w:color="C9C8C3" w:sz="4"/>
            </w:tcBorders>
            <w:tcMar>
              <w:top w:type="dxa" w:w="50"/>
              <w:left w:type="dxa" w:w="90"/>
              <w:bottom w:type="dxa" w:w="50"/>
              <w:right w:type="dxa" w:w="90"/>
            </w:tcMar>
          </w:tcPr>
          <w:p>
            <w:pPr>
              <w:keepNext/>
              <w:jc w:val="left"/>
            </w:pPr>
            <w:r>
              <w:rPr>
                <w:rFonts w:ascii="Calibri" w:cs="Calibri" w:eastAsia="Calibri" w:hAnsi="Calibri"/>
                <w:b w:val="false"/>
                <w:bCs w:val="false"/>
                <w:sz w:val="18"/>
                <w:szCs w:val="18"/>
              </w:rPr>
              <w:t xml:space="preserve">Scale</w:t>
            </w:r>
          </w:p>
        </w:tc>
        <w:tc>
          <w:tcPr>
            <w:tcW w:type="dxa" w:w="2700"/>
            <w:tcBorders>
              <w:top w:val="single" w:color="C9C8C3" w:sz="4"/>
              <w:left w:val="single" w:color="C9C8C3" w:sz="4"/>
              <w:bottom w:val="single" w:color="C9C8C3" w:sz="4"/>
              <w:right w:val="single" w:color="C9C8C3" w:sz="4"/>
            </w:tcBorders>
            <w:tcMar>
              <w:top w:type="dxa" w:w="50"/>
              <w:left w:type="dxa" w:w="90"/>
              <w:bottom w:type="dxa" w:w="50"/>
              <w:right w:type="dxa" w:w="90"/>
            </w:tcMar>
          </w:tcPr>
          <w:p>
            <w:pPr>
              <w:keepNext/>
              <w:jc w:val="left"/>
            </w:pPr>
            <w:r>
              <w:rPr>
                <w:rFonts w:ascii="Calibri" w:cs="Calibri" w:eastAsia="Calibri" w:hAnsi="Calibri"/>
                <w:b w:val="false"/>
                <w:bCs w:val="false"/>
                <w:sz w:val="18"/>
                <w:szCs w:val="18"/>
              </w:rPr>
              <w:t xml:space="preserve">Fitted on drafts complete by the trade</w:t>
            </w:r>
          </w:p>
        </w:tc>
        <w:tc>
          <w:tcPr>
            <w:tcW w:type="dxa" w:w="2400"/>
            <w:tcBorders>
              <w:top w:val="single" w:color="C9C8C3" w:sz="4"/>
              <w:left w:val="single" w:color="C9C8C3" w:sz="4"/>
              <w:bottom w:val="single" w:color="C9C8C3" w:sz="4"/>
              <w:right w:val="single" w:color="C9C8C3" w:sz="4"/>
            </w:tcBorders>
            <w:tcMar>
              <w:top w:type="dxa" w:w="50"/>
              <w:left w:type="dxa" w:w="90"/>
              <w:bottom w:type="dxa" w:w="50"/>
              <w:right w:type="dxa" w:w="90"/>
            </w:tcMar>
          </w:tcPr>
          <w:p>
            <w:pPr>
              <w:keepNext/>
              <w:jc w:val="left"/>
            </w:pPr>
            <w:r>
              <w:rPr>
                <w:rFonts w:ascii="Calibri" w:cs="Calibri" w:eastAsia="Calibri" w:hAnsi="Calibri"/>
                <w:b w:val="false"/>
                <w:bCs w:val="false"/>
                <w:sz w:val="18"/>
                <w:szCs w:val="18"/>
              </w:rPr>
              <w:t xml:space="preserve">All drafts pooled (kept as sensitivity)</w:t>
            </w:r>
          </w:p>
        </w:tc>
        <w:tc>
          <w:tcPr>
            <w:tcW w:type="dxa" w:w="2660"/>
            <w:tcBorders>
              <w:top w:val="single" w:color="C9C8C3" w:sz="4"/>
              <w:left w:val="single" w:color="C9C8C3" w:sz="4"/>
              <w:bottom w:val="single" w:color="C9C8C3" w:sz="4"/>
              <w:right w:val="single" w:color="C9C8C3" w:sz="4"/>
            </w:tcBorders>
            <w:tcMar>
              <w:top w:type="dxa" w:w="50"/>
              <w:left w:type="dxa" w:w="90"/>
              <w:bottom w:type="dxa" w:w="50"/>
              <w:right w:type="dxa" w:w="90"/>
            </w:tcMar>
          </w:tcPr>
          <w:p>
            <w:pPr>
              <w:keepNext/>
              <w:jc w:val="left"/>
            </w:pPr>
            <w:r>
              <w:rPr>
                <w:rFonts w:ascii="Calibri" w:cs="Calibri" w:eastAsia="Calibri" w:hAnsi="Calibri"/>
                <w:b w:val="false"/>
                <w:bCs w:val="false"/>
                <w:sz w:val="18"/>
                <w:szCs w:val="18"/>
              </w:rPr>
              <w:t xml:space="preserve">Section 5, Figures 3 and 4</w:t>
            </w:r>
          </w:p>
        </w:tc>
      </w:tr>
      <w:tr>
        <w:trPr>
          <w:cantSplit/>
        </w:trPr>
        <w:tc>
          <w:tcPr>
            <w:tcW w:type="dxa" w:w="1600"/>
            <w:tcBorders>
              <w:top w:val="single" w:color="C9C8C3" w:sz="4"/>
              <w:left w:val="single" w:color="C9C8C3" w:sz="4"/>
              <w:bottom w:val="single" w:color="C9C8C3" w:sz="4"/>
              <w:right w:val="single" w:color="C9C8C3" w:sz="4"/>
            </w:tcBorders>
            <w:tcMar>
              <w:top w:type="dxa" w:w="50"/>
              <w:left w:type="dxa" w:w="90"/>
              <w:bottom w:type="dxa" w:w="50"/>
              <w:right w:type="dxa" w:w="90"/>
            </w:tcMar>
          </w:tcPr>
          <w:p>
            <w:pPr>
              <w:keepNext/>
              <w:jc w:val="left"/>
            </w:pPr>
            <w:r>
              <w:rPr>
                <w:rFonts w:ascii="Calibri" w:cs="Calibri" w:eastAsia="Calibri" w:hAnsi="Calibri"/>
                <w:b w:val="false"/>
                <w:bCs w:val="false"/>
                <w:sz w:val="18"/>
                <w:szCs w:val="18"/>
              </w:rPr>
              <w:t xml:space="preserve">Entry-level slides</w:t>
            </w:r>
          </w:p>
        </w:tc>
        <w:tc>
          <w:tcPr>
            <w:tcW w:type="dxa" w:w="2700"/>
            <w:tcBorders>
              <w:top w:val="single" w:color="C9C8C3" w:sz="4"/>
              <w:left w:val="single" w:color="C9C8C3" w:sz="4"/>
              <w:bottom w:val="single" w:color="C9C8C3" w:sz="4"/>
              <w:right w:val="single" w:color="C9C8C3" w:sz="4"/>
            </w:tcBorders>
            <w:tcMar>
              <w:top w:type="dxa" w:w="50"/>
              <w:left w:type="dxa" w:w="90"/>
              <w:bottom w:type="dxa" w:w="50"/>
              <w:right w:type="dxa" w:w="90"/>
            </w:tcMar>
          </w:tcPr>
          <w:p>
            <w:pPr>
              <w:keepNext/>
              <w:jc w:val="left"/>
            </w:pPr>
            <w:r>
              <w:rPr>
                <w:rFonts w:ascii="Calibri" w:cs="Calibri" w:eastAsia="Calibri" w:hAnsi="Calibri"/>
                <w:b w:val="false"/>
                <w:bCs w:val="false"/>
                <w:sz w:val="18"/>
                <w:szCs w:val="18"/>
              </w:rPr>
              <w:t xml:space="preserve">None</w:t>
            </w:r>
          </w:p>
        </w:tc>
        <w:tc>
          <w:tcPr>
            <w:tcW w:type="dxa" w:w="2400"/>
            <w:tcBorders>
              <w:top w:val="single" w:color="C9C8C3" w:sz="4"/>
              <w:left w:val="single" w:color="C9C8C3" w:sz="4"/>
              <w:bottom w:val="single" w:color="C9C8C3" w:sz="4"/>
              <w:right w:val="single" w:color="C9C8C3" w:sz="4"/>
            </w:tcBorders>
            <w:tcMar>
              <w:top w:type="dxa" w:w="50"/>
              <w:left w:type="dxa" w:w="90"/>
              <w:bottom w:type="dxa" w:w="50"/>
              <w:right w:type="dxa" w:w="90"/>
            </w:tcMar>
          </w:tcPr>
          <w:p>
            <w:pPr>
              <w:keepNext/>
              <w:jc w:val="left"/>
            </w:pPr>
            <w:r>
              <w:rPr>
                <w:rFonts w:ascii="Calibri" w:cs="Calibri" w:eastAsia="Calibri" w:hAnsi="Calibri"/>
                <w:b w:val="false"/>
                <w:bCs w:val="false"/>
                <w:sz w:val="18"/>
                <w:szCs w:val="18"/>
              </w:rPr>
              <w:t xml:space="preserve">CBA slides; slides at any age</w:t>
            </w:r>
          </w:p>
        </w:tc>
        <w:tc>
          <w:tcPr>
            <w:tcW w:type="dxa" w:w="2660"/>
            <w:tcBorders>
              <w:top w:val="single" w:color="C9C8C3" w:sz="4"/>
              <w:left w:val="single" w:color="C9C8C3" w:sz="4"/>
              <w:bottom w:val="single" w:color="C9C8C3" w:sz="4"/>
              <w:right w:val="single" w:color="C9C8C3" w:sz="4"/>
            </w:tcBorders>
            <w:tcMar>
              <w:top w:type="dxa" w:w="50"/>
              <w:left w:type="dxa" w:w="90"/>
              <w:bottom w:type="dxa" w:w="50"/>
              <w:right w:type="dxa" w:w="90"/>
            </w:tcMar>
          </w:tcPr>
          <w:p>
            <w:pPr>
              <w:keepNext/>
              <w:jc w:val="left"/>
            </w:pPr>
            <w:r>
              <w:rPr>
                <w:rFonts w:ascii="Calibri" w:cs="Calibri" w:eastAsia="Calibri" w:hAnsi="Calibri"/>
                <w:b w:val="false"/>
                <w:bCs w:val="false"/>
                <w:sz w:val="18"/>
                <w:szCs w:val="18"/>
              </w:rPr>
              <w:t xml:space="preserve">Scale moves under 0.5%</w:t>
            </w:r>
          </w:p>
        </w:tc>
      </w:tr>
      <w:tr>
        <w:trPr>
          <w:cantSplit/>
        </w:trPr>
        <w:tc>
          <w:tcPr>
            <w:tcW w:type="dxa" w:w="1600"/>
            <w:tcBorders>
              <w:top w:val="single" w:color="C9C8C3" w:sz="4"/>
              <w:left w:val="single" w:color="C9C8C3" w:sz="4"/>
              <w:bottom w:val="single" w:color="C9C8C3" w:sz="4"/>
              <w:right w:val="single" w:color="C9C8C3" w:sz="4"/>
            </w:tcBorders>
            <w:tcMar>
              <w:top w:type="dxa" w:w="50"/>
              <w:left w:type="dxa" w:w="90"/>
              <w:bottom w:type="dxa" w:w="50"/>
              <w:right w:type="dxa" w:w="90"/>
            </w:tcMar>
          </w:tcPr>
          <w:p>
            <w:pPr>
              <w:keepNext/>
              <w:jc w:val="left"/>
            </w:pPr>
            <w:r>
              <w:rPr>
                <w:rFonts w:ascii="Calibri" w:cs="Calibri" w:eastAsia="Calibri" w:hAnsi="Calibri"/>
                <w:b w:val="false"/>
                <w:bCs w:val="false"/>
                <w:sz w:val="18"/>
                <w:szCs w:val="18"/>
              </w:rPr>
              <w:t xml:space="preserve">Negative careers</w:t>
            </w:r>
          </w:p>
        </w:tc>
        <w:tc>
          <w:tcPr>
            <w:tcW w:type="dxa" w:w="2700"/>
            <w:tcBorders>
              <w:top w:val="single" w:color="C9C8C3" w:sz="4"/>
              <w:left w:val="single" w:color="C9C8C3" w:sz="4"/>
              <w:bottom w:val="single" w:color="C9C8C3" w:sz="4"/>
              <w:right w:val="single" w:color="C9C8C3" w:sz="4"/>
            </w:tcBorders>
            <w:tcMar>
              <w:top w:type="dxa" w:w="50"/>
              <w:left w:type="dxa" w:w="90"/>
              <w:bottom w:type="dxa" w:w="50"/>
              <w:right w:type="dxa" w:w="90"/>
            </w:tcMar>
          </w:tcPr>
          <w:p>
            <w:pPr>
              <w:keepNext/>
              <w:jc w:val="left"/>
            </w:pPr>
            <w:r>
              <w:rPr>
                <w:rFonts w:ascii="Calibri" w:cs="Calibri" w:eastAsia="Calibri" w:hAnsi="Calibri"/>
                <w:b w:val="false"/>
                <w:bCs w:val="false"/>
                <w:sz w:val="18"/>
                <w:szCs w:val="18"/>
              </w:rPr>
              <w:t xml:space="preserve">Counted as negative</w:t>
            </w:r>
          </w:p>
        </w:tc>
        <w:tc>
          <w:tcPr>
            <w:tcW w:type="dxa" w:w="2400"/>
            <w:tcBorders>
              <w:top w:val="single" w:color="C9C8C3" w:sz="4"/>
              <w:left w:val="single" w:color="C9C8C3" w:sz="4"/>
              <w:bottom w:val="single" w:color="C9C8C3" w:sz="4"/>
              <w:right w:val="single" w:color="C9C8C3" w:sz="4"/>
            </w:tcBorders>
            <w:tcMar>
              <w:top w:type="dxa" w:w="50"/>
              <w:left w:type="dxa" w:w="90"/>
              <w:bottom w:type="dxa" w:w="50"/>
              <w:right w:type="dxa" w:w="90"/>
            </w:tcMar>
          </w:tcPr>
          <w:p>
            <w:pPr>
              <w:keepNext/>
              <w:jc w:val="left"/>
            </w:pPr>
            <w:r>
              <w:rPr>
                <w:rFonts w:ascii="Calibri" w:cs="Calibri" w:eastAsia="Calibri" w:hAnsi="Calibri"/>
                <w:b w:val="false"/>
                <w:bCs w:val="false"/>
                <w:sz w:val="18"/>
                <w:szCs w:val="18"/>
              </w:rPr>
              <w:t xml:space="preserve">Floored at zero</w:t>
            </w:r>
          </w:p>
        </w:tc>
        <w:tc>
          <w:tcPr>
            <w:tcW w:type="dxa" w:w="2660"/>
            <w:tcBorders>
              <w:top w:val="single" w:color="C9C8C3" w:sz="4"/>
              <w:left w:val="single" w:color="C9C8C3" w:sz="4"/>
              <w:bottom w:val="single" w:color="C9C8C3" w:sz="4"/>
              <w:right w:val="single" w:color="C9C8C3" w:sz="4"/>
            </w:tcBorders>
            <w:tcMar>
              <w:top w:type="dxa" w:w="50"/>
              <w:left w:type="dxa" w:w="90"/>
              <w:bottom w:type="dxa" w:w="50"/>
              <w:right w:type="dxa" w:w="90"/>
            </w:tcMar>
          </w:tcPr>
          <w:p>
            <w:pPr>
              <w:keepNext/>
              <w:jc w:val="left"/>
            </w:pPr>
            <w:r>
              <w:rPr>
                <w:rFonts w:ascii="Calibri" w:cs="Calibri" w:eastAsia="Calibri" w:hAnsi="Calibri"/>
                <w:b w:val="false"/>
                <w:bCs w:val="false"/>
                <w:sz w:val="18"/>
                <w:szCs w:val="18"/>
              </w:rPr>
              <w:t xml:space="preserve">Floor raises the scale 4.1%</w:t>
            </w:r>
          </w:p>
        </w:tc>
      </w:tr>
      <w:tr>
        <w:trPr>
          <w:cantSplit/>
        </w:trPr>
        <w:tc>
          <w:tcPr>
            <w:tcW w:type="dxa" w:w="1600"/>
            <w:tcBorders>
              <w:top w:val="single" w:color="C9C8C3" w:sz="4"/>
              <w:left w:val="single" w:color="C9C8C3" w:sz="4"/>
              <w:bottom w:val="single" w:color="C9C8C3" w:sz="4"/>
              <w:right w:val="single" w:color="C9C8C3" w:sz="4"/>
            </w:tcBorders>
            <w:tcMar>
              <w:top w:type="dxa" w:w="50"/>
              <w:left w:type="dxa" w:w="90"/>
              <w:bottom w:type="dxa" w:w="50"/>
              <w:right w:type="dxa" w:w="90"/>
            </w:tcMar>
          </w:tcPr>
          <w:p>
            <w:pPr>
              <w:keepNext/>
              <w:jc w:val="left"/>
            </w:pPr>
            <w:r>
              <w:rPr>
                <w:rFonts w:ascii="Calibri" w:cs="Calibri" w:eastAsia="Calibri" w:hAnsi="Calibri"/>
                <w:b w:val="false"/>
                <w:bCs w:val="false"/>
                <w:sz w:val="18"/>
                <w:szCs w:val="18"/>
              </w:rPr>
              <w:t xml:space="preserve">Goalies</w:t>
            </w:r>
          </w:p>
        </w:tc>
        <w:tc>
          <w:tcPr>
            <w:tcW w:type="dxa" w:w="2700"/>
            <w:tcBorders>
              <w:top w:val="single" w:color="C9C8C3" w:sz="4"/>
              <w:left w:val="single" w:color="C9C8C3" w:sz="4"/>
              <w:bottom w:val="single" w:color="C9C8C3" w:sz="4"/>
              <w:right w:val="single" w:color="C9C8C3" w:sz="4"/>
            </w:tcBorders>
            <w:tcMar>
              <w:top w:type="dxa" w:w="50"/>
              <w:left w:type="dxa" w:w="90"/>
              <w:bottom w:type="dxa" w:w="50"/>
              <w:right w:type="dxa" w:w="90"/>
            </w:tcMar>
          </w:tcPr>
          <w:p>
            <w:pPr>
              <w:keepNext/>
              <w:jc w:val="left"/>
            </w:pPr>
            <w:r>
              <w:rPr>
                <w:rFonts w:ascii="Calibri" w:cs="Calibri" w:eastAsia="Calibri" w:hAnsi="Calibri"/>
                <w:b w:val="false"/>
                <w:bCs w:val="false"/>
                <w:sz w:val="18"/>
                <w:szCs w:val="18"/>
              </w:rPr>
              <w:t xml:space="preserve">Pooled with skaters</w:t>
            </w:r>
          </w:p>
        </w:tc>
        <w:tc>
          <w:tcPr>
            <w:tcW w:type="dxa" w:w="2400"/>
            <w:tcBorders>
              <w:top w:val="single" w:color="C9C8C3" w:sz="4"/>
              <w:left w:val="single" w:color="C9C8C3" w:sz="4"/>
              <w:bottom w:val="single" w:color="C9C8C3" w:sz="4"/>
              <w:right w:val="single" w:color="C9C8C3" w:sz="4"/>
            </w:tcBorders>
            <w:tcMar>
              <w:top w:type="dxa" w:w="50"/>
              <w:left w:type="dxa" w:w="90"/>
              <w:bottom w:type="dxa" w:w="50"/>
              <w:right w:type="dxa" w:w="90"/>
            </w:tcMar>
          </w:tcPr>
          <w:p>
            <w:pPr>
              <w:keepNext/>
              <w:jc w:val="left"/>
            </w:pPr>
            <w:r>
              <w:rPr>
                <w:rFonts w:ascii="Calibri" w:cs="Calibri" w:eastAsia="Calibri" w:hAnsi="Calibri"/>
                <w:b w:val="false"/>
                <w:bCs w:val="false"/>
                <w:sz w:val="18"/>
                <w:szCs w:val="18"/>
              </w:rPr>
              <w:t xml:space="preserve">Skaters only; separate goalie scale</w:t>
            </w:r>
          </w:p>
        </w:tc>
        <w:tc>
          <w:tcPr>
            <w:tcW w:type="dxa" w:w="2660"/>
            <w:tcBorders>
              <w:top w:val="single" w:color="C9C8C3" w:sz="4"/>
              <w:left w:val="single" w:color="C9C8C3" w:sz="4"/>
              <w:bottom w:val="single" w:color="C9C8C3" w:sz="4"/>
              <w:right w:val="single" w:color="C9C8C3" w:sz="4"/>
            </w:tcBorders>
            <w:tcMar>
              <w:top w:type="dxa" w:w="50"/>
              <w:left w:type="dxa" w:w="90"/>
              <w:bottom w:type="dxa" w:w="50"/>
              <w:right w:type="dxa" w:w="90"/>
            </w:tcMar>
          </w:tcPr>
          <w:p>
            <w:pPr>
              <w:keepNext/>
              <w:jc w:val="left"/>
            </w:pPr>
            <w:r>
              <w:rPr>
                <w:rFonts w:ascii="Calibri" w:cs="Calibri" w:eastAsia="Calibri" w:hAnsi="Calibri"/>
                <w:b w:val="false"/>
                <w:bCs w:val="false"/>
                <w:sz w:val="18"/>
                <w:szCs w:val="18"/>
              </w:rPr>
              <w:t xml:space="preserve">Pooling moves the scale 2%</w:t>
            </w:r>
          </w:p>
        </w:tc>
      </w:tr>
      <w:tr>
        <w:trPr>
          <w:cantSplit/>
        </w:trPr>
        <w:tc>
          <w:tcPr>
            <w:tcW w:type="dxa" w:w="1600"/>
            <w:tcBorders>
              <w:top w:val="single" w:color="C9C8C3" w:sz="4"/>
              <w:left w:val="single" w:color="C9C8C3" w:sz="4"/>
              <w:bottom w:val="single" w:color="C9C8C3" w:sz="4"/>
              <w:right w:val="single" w:color="C9C8C3" w:sz="4"/>
            </w:tcBorders>
            <w:tcMar>
              <w:top w:type="dxa" w:w="50"/>
              <w:left w:type="dxa" w:w="90"/>
              <w:bottom w:type="dxa" w:w="50"/>
              <w:right w:type="dxa" w:w="90"/>
            </w:tcMar>
          </w:tcPr>
          <w:p>
            <w:pPr>
              <w:keepNext/>
              <w:jc w:val="left"/>
            </w:pPr>
            <w:r>
              <w:rPr>
                <w:rFonts w:ascii="Calibri" w:cs="Calibri" w:eastAsia="Calibri" w:hAnsi="Calibri"/>
                <w:b w:val="false"/>
                <w:bCs w:val="false"/>
                <w:sz w:val="18"/>
                <w:szCs w:val="18"/>
              </w:rPr>
              <w:t xml:space="preserve">Rights that lapsed</w:t>
            </w:r>
          </w:p>
        </w:tc>
        <w:tc>
          <w:tcPr>
            <w:tcW w:type="dxa" w:w="2700"/>
            <w:tcBorders>
              <w:top w:val="single" w:color="C9C8C3" w:sz="4"/>
              <w:left w:val="single" w:color="C9C8C3" w:sz="4"/>
              <w:bottom w:val="single" w:color="C9C8C3" w:sz="4"/>
              <w:right w:val="single" w:color="C9C8C3" w:sz="4"/>
            </w:tcBorders>
            <w:tcMar>
              <w:top w:type="dxa" w:w="50"/>
              <w:left w:type="dxa" w:w="90"/>
              <w:bottom w:type="dxa" w:w="50"/>
              <w:right w:type="dxa" w:w="90"/>
            </w:tcMar>
          </w:tcPr>
          <w:p>
            <w:pPr>
              <w:keepNext/>
              <w:jc w:val="left"/>
            </w:pPr>
            <w:r>
              <w:rPr>
                <w:rFonts w:ascii="Calibri" w:cs="Calibri" w:eastAsia="Calibri" w:hAnsi="Calibri"/>
                <w:b w:val="false"/>
                <w:bCs w:val="false"/>
                <w:sz w:val="18"/>
                <w:szCs w:val="18"/>
              </w:rPr>
              <w:t xml:space="preserve">Worth zero to the pick</w:t>
            </w:r>
          </w:p>
        </w:tc>
        <w:tc>
          <w:tcPr>
            <w:tcW w:type="dxa" w:w="2400"/>
            <w:tcBorders>
              <w:top w:val="single" w:color="C9C8C3" w:sz="4"/>
              <w:left w:val="single" w:color="C9C8C3" w:sz="4"/>
              <w:bottom w:val="single" w:color="C9C8C3" w:sz="4"/>
              <w:right w:val="single" w:color="C9C8C3" w:sz="4"/>
            </w:tcBorders>
            <w:tcMar>
              <w:top w:type="dxa" w:w="50"/>
              <w:left w:type="dxa" w:w="90"/>
              <w:bottom w:type="dxa" w:w="50"/>
              <w:right w:type="dxa" w:w="90"/>
            </w:tcMar>
          </w:tcPr>
          <w:p>
            <w:pPr>
              <w:keepNext/>
              <w:jc w:val="left"/>
            </w:pPr>
            <w:r>
              <w:rPr>
                <w:rFonts w:ascii="Calibri" w:cs="Calibri" w:eastAsia="Calibri" w:hAnsi="Calibri"/>
                <w:b w:val="false"/>
                <w:bCs w:val="false"/>
                <w:sz w:val="18"/>
                <w:szCs w:val="18"/>
              </w:rPr>
              <w:t xml:space="preserve">Credited to the pick</w:t>
            </w:r>
          </w:p>
        </w:tc>
        <w:tc>
          <w:tcPr>
            <w:tcW w:type="dxa" w:w="2660"/>
            <w:tcBorders>
              <w:top w:val="single" w:color="C9C8C3" w:sz="4"/>
              <w:left w:val="single" w:color="C9C8C3" w:sz="4"/>
              <w:bottom w:val="single" w:color="C9C8C3" w:sz="4"/>
              <w:right w:val="single" w:color="C9C8C3" w:sz="4"/>
            </w:tcBorders>
            <w:tcMar>
              <w:top w:type="dxa" w:w="50"/>
              <w:left w:type="dxa" w:w="90"/>
              <w:bottom w:type="dxa" w:w="50"/>
              <w:right w:type="dxa" w:w="90"/>
            </w:tcMar>
          </w:tcPr>
          <w:p>
            <w:pPr>
              <w:keepNext/>
              <w:jc w:val="left"/>
            </w:pPr>
            <w:r>
              <w:rPr>
                <w:rFonts w:ascii="Calibri" w:cs="Calibri" w:eastAsia="Calibri" w:hAnsi="Calibri"/>
                <w:b w:val="false"/>
                <w:bCs w:val="false"/>
                <w:sz w:val="18"/>
                <w:szCs w:val="18"/>
              </w:rPr>
              <w:t xml:space="preserve">2.6% of surplus; scale moves under 1%</w:t>
            </w:r>
          </w:p>
        </w:tc>
      </w:tr>
      <w:tr>
        <w:trPr>
          <w:cantSplit/>
        </w:trPr>
        <w:tc>
          <w:tcPr>
            <w:tcW w:type="dxa" w:w="1600"/>
            <w:tcBorders>
              <w:top w:val="single" w:color="C9C8C3" w:sz="4"/>
              <w:left w:val="single" w:color="C9C8C3" w:sz="4"/>
              <w:bottom w:val="single" w:color="C9C8C3" w:sz="4"/>
              <w:right w:val="single" w:color="C9C8C3" w:sz="4"/>
            </w:tcBorders>
            <w:tcMar>
              <w:top w:type="dxa" w:w="50"/>
              <w:left w:type="dxa" w:w="90"/>
              <w:bottom w:type="dxa" w:w="50"/>
              <w:right w:type="dxa" w:w="90"/>
            </w:tcMar>
          </w:tcPr>
          <w:p>
            <w:pPr>
              <w:keepNext w:val="false"/>
              <w:jc w:val="left"/>
            </w:pPr>
            <w:r>
              <w:rPr>
                <w:rFonts w:ascii="Calibri" w:cs="Calibri" w:eastAsia="Calibri" w:hAnsi="Calibri"/>
                <w:b w:val="false"/>
                <w:bCs w:val="false"/>
                <w:sz w:val="18"/>
                <w:szCs w:val="18"/>
              </w:rPr>
              <w:t xml:space="preserve">Future picks</w:t>
            </w:r>
          </w:p>
        </w:tc>
        <w:tc>
          <w:tcPr>
            <w:tcW w:type="dxa" w:w="2700"/>
            <w:tcBorders>
              <w:top w:val="single" w:color="C9C8C3" w:sz="4"/>
              <w:left w:val="single" w:color="C9C8C3" w:sz="4"/>
              <w:bottom w:val="single" w:color="C9C8C3" w:sz="4"/>
              <w:right w:val="single" w:color="C9C8C3" w:sz="4"/>
            </w:tcBorders>
            <w:tcMar>
              <w:top w:type="dxa" w:w="50"/>
              <w:left w:type="dxa" w:w="90"/>
              <w:bottom w:type="dxa" w:w="50"/>
              <w:right w:type="dxa" w:w="90"/>
            </w:tcMar>
          </w:tcPr>
          <w:p>
            <w:pPr>
              <w:keepNext w:val="false"/>
              <w:jc w:val="left"/>
            </w:pPr>
            <w:r>
              <w:rPr>
                <w:rFonts w:ascii="Calibri" w:cs="Calibri" w:eastAsia="Calibri" w:hAnsi="Calibri"/>
                <w:b w:val="false"/>
                <w:bCs w:val="false"/>
                <w:sz w:val="18"/>
                <w:szCs w:val="18"/>
              </w:rPr>
              <w:t xml:space="preserve">Round average</w:t>
            </w:r>
          </w:p>
        </w:tc>
        <w:tc>
          <w:tcPr>
            <w:tcW w:type="dxa" w:w="2400"/>
            <w:tcBorders>
              <w:top w:val="single" w:color="C9C8C3" w:sz="4"/>
              <w:left w:val="single" w:color="C9C8C3" w:sz="4"/>
              <w:bottom w:val="single" w:color="C9C8C3" w:sz="4"/>
              <w:right w:val="single" w:color="C9C8C3" w:sz="4"/>
            </w:tcBorders>
            <w:tcMar>
              <w:top w:type="dxa" w:w="50"/>
              <w:left w:type="dxa" w:w="90"/>
              <w:bottom w:type="dxa" w:w="50"/>
              <w:right w:type="dxa" w:w="90"/>
            </w:tcMar>
          </w:tcPr>
          <w:p>
            <w:pPr>
              <w:keepNext w:val="false"/>
              <w:jc w:val="left"/>
            </w:pPr>
            <w:r>
              <w:rPr>
                <w:rFonts w:ascii="Calibri" w:cs="Calibri" w:eastAsia="Calibri" w:hAnsi="Calibri"/>
                <w:b w:val="false"/>
                <w:bCs w:val="false"/>
                <w:sz w:val="18"/>
                <w:szCs w:val="18"/>
              </w:rPr>
              <w:t xml:space="preserve">Last draft's slot</w:t>
            </w:r>
          </w:p>
        </w:tc>
        <w:tc>
          <w:tcPr>
            <w:tcW w:type="dxa" w:w="2660"/>
            <w:tcBorders>
              <w:top w:val="single" w:color="C9C8C3" w:sz="4"/>
              <w:left w:val="single" w:color="C9C8C3" w:sz="4"/>
              <w:bottom w:val="single" w:color="C9C8C3" w:sz="4"/>
              <w:right w:val="single" w:color="C9C8C3" w:sz="4"/>
            </w:tcBorders>
            <w:tcMar>
              <w:top w:type="dxa" w:w="50"/>
              <w:left w:type="dxa" w:w="90"/>
              <w:bottom w:type="dxa" w:w="50"/>
              <w:right w:type="dxa" w:w="90"/>
            </w:tcMar>
          </w:tcPr>
          <w:p>
            <w:pPr>
              <w:keepNext w:val="false"/>
              <w:jc w:val="left"/>
            </w:pPr>
            <w:r>
              <w:rPr>
                <w:rFonts w:ascii="Calibri" w:cs="Calibri" w:eastAsia="Calibri" w:hAnsi="Calibri"/>
                <w:b w:val="false"/>
                <w:bCs w:val="false"/>
                <w:sz w:val="18"/>
                <w:szCs w:val="18"/>
              </w:rPr>
              <w:t xml:space="preserve">A slot a year or more ahead is not known</w:t>
            </w:r>
          </w:p>
        </w:tc>
      </w:tr>
    </w:tbl>
    <w:p>
      <w:pPr>
        <w:pStyle w:val="Heading1"/>
        <w:spacing w:after="120" w:before="280"/>
      </w:pPr>
      <w:r>
        <w:rPr>
          <w:rFonts w:ascii="Calibri" w:cs="Calibri" w:eastAsia="Calibri" w:hAnsi="Calibri"/>
        </w:rPr>
        <w:t xml:space="preserve">3. Pricing One Drafted Player</w:t>
      </w:r>
    </w:p>
    <w:p>
      <w:pPr>
        <w:spacing w:after="120" w:before="60" w:line="276"/>
        <w:jc w:val="left"/>
      </w:pPr>
      <w:r>
        <w:rPr>
          <w:rFonts w:ascii="Calibri" w:cs="Calibri" w:eastAsia="Calibri" w:hAnsi="Calibri"/>
        </w:rPr>
        <w:t xml:space="preserve">The curve starts from what each drafted player delivered to the club that held his rights, priced the same way the player model prices a contract. Each selection in the 2007-2017 drafts enters, 2,322 picks in all (233 goalies), including the 1,155 who never played an NHL game. Those players are a large part of what a pick is, and leaving them out would value a pick as if it always produced an NHL player.</w:t>
      </w:r>
    </w:p>
    <w:p>
      <w:pPr>
        <w:pStyle w:val="Heading2"/>
        <w:spacing w:after="80" w:before="200"/>
      </w:pPr>
      <w:r>
        <w:rPr>
          <w:rFonts w:ascii="Calibri" w:cs="Calibri" w:eastAsia="Calibri" w:hAnsi="Calibri"/>
        </w:rPr>
        <w:t xml:space="preserve">The window: the seasons of club control</w:t>
      </w:r>
    </w:p>
    <w:p>
      <w:pPr>
        <w:spacing w:after="120" w:before="60" w:line="276"/>
        <w:jc w:val="left"/>
      </w:pPr>
      <w:r>
        <w:rPr>
          <w:rFonts w:ascii="Calibri" w:cs="Calibri" w:eastAsia="Calibri" w:hAnsi="Calibri"/>
        </w:rPr>
        <w:t xml:space="preserve">A pick buys a club the exclusive right to sign and retain a player until he reaches unrestricted free agency. After that he is paid a market salary, so the surplus a pick can deliver ends there. The window, therefore, runs from the draft to free agency under the collective agreement's Group 3 rule (Section 10.1(a)): a player becomes free once his contract has expired and he is 27 as of June 30, or has seven accrued seasons. An accrued season is a league year with 40 or more games on an NHL active roster, 30 for a goalie (Article 1).</w:t>
      </w:r>
    </w:p>
    <w:p>
      <w:pPr>
        <w:spacing w:after="120" w:before="60" w:line="276"/>
        <w:jc w:val="left"/>
      </w:pPr>
      <w:r>
        <w:rPr>
          <w:rFonts w:ascii="Calibri" w:cs="Calibri" w:eastAsia="Calibri" w:hAnsi="Calibri"/>
        </w:rPr>
        <w:t xml:space="preserve">The data has games played, not roster games, so games played stand in. That under-counts accrued seasons for injured players and backup goalies. As a check, the rule's free-agency year matches PuckPedia's for 1,151 of the 1,183 drafted players PuckPedia covers; PuckPedia is earlier for 19 (injured players and backup goalies) and later for 13. The data ends with 2025-26, which cuts short 29 of the 217 windows in the 2017 class by one season. These are kept and stated as a limitation. Under the scale adopted in Section 5 they touch no trade studied here, since the 2017 draft enters that scale only for trades from 2026-27 on; in the pooled sensitivity, leaving the 2017 draft out moved the log curve of Section 4 by at most $0.35M, at the first overall pick.</w:t>
      </w:r>
    </w:p>
    <w:p>
      <w:pPr>
        <w:pStyle w:val="Heading2"/>
        <w:spacing w:after="80" w:before="200"/>
      </w:pPr>
      <w:r>
        <w:rPr>
          <w:rFonts w:ascii="Calibri" w:cs="Calibri" w:eastAsia="Calibri" w:hAnsi="Calibri"/>
        </w:rPr>
        <w:t xml:space="preserve">Value: wins delivered, on the contracts' price line</w:t>
      </w:r>
    </w:p>
    <w:p>
      <w:pPr>
        <w:spacing w:after="120" w:before="60" w:line="276"/>
        <w:jc w:val="left"/>
      </w:pPr>
      <w:r>
        <w:rPr>
          <w:rFonts w:ascii="Calibri" w:cs="Calibri" w:eastAsia="Calibri" w:hAnsi="Calibri"/>
        </w:rPr>
        <w:t xml:space="preserve">Each season the player spends in the NHL is valued at the market price of the wins he delivered, on the same price line that values player contracts. On that line, at the 2025-26 cap, a forward's season is priced at -$0.416M, plus $1.668M per win ($2.012M for a defenceman), plus $0.853M for each year of contract length, and never below the league minimum. Each drafted player's season is priced as a one-year deal, so it carries one year of the length term. Goalies are priced on the goalie line in the same way. Two adjustments keep the seasons comparable:</w:t>
      </w:r>
    </w:p>
    <w:p>
      <w:pPr>
        <w:pStyle w:val="ListParagraph"/>
        <w:numPr>
          <w:ilvl w:val="0"/>
          <w:numId w:val="2"/>
        </w:numPr>
        <w:spacing w:after="60"/>
      </w:pPr>
      <w:r>
        <w:rPr>
          <w:rFonts w:ascii="Calibri" w:cs="Calibri" w:eastAsia="Calibri" w:hAnsi="Calibri"/>
          <w:b/>
          <w:bCs/>
        </w:rPr>
        <w:t xml:space="preserve">Short seasons.</w:t>
      </w:r>
      <w:r>
        <w:rPr>
          <w:rFonts w:ascii="Calibri" w:cs="Calibri" w:eastAsia="Calibri" w:hAnsi="Calibri"/>
        </w:rPr>
        <w:t xml:space="preserve"> WAR in 2012-13, 2019-20, and 2020-21 is scaled to 82 games (by 82/48, 82/70, and 82/56), because a shortened schedule deflates each season's total without saying anything about the player.</w:t>
      </w:r>
    </w:p>
    <w:p>
      <w:pPr>
        <w:pStyle w:val="ListParagraph"/>
        <w:numPr>
          <w:ilvl w:val="0"/>
          <w:numId w:val="2"/>
        </w:numPr>
        <w:spacing w:after="60"/>
      </w:pPr>
      <w:r>
        <w:rPr>
          <w:rFonts w:ascii="Calibri" w:cs="Calibri" w:eastAsia="Calibri" w:hAnsi="Calibri"/>
          <w:b/>
          <w:bCs/>
        </w:rPr>
        <w:t xml:space="preserve">Brief call-ups.</w:t>
      </w:r>
      <w:r>
        <w:rPr>
          <w:rFonts w:ascii="Calibri" w:cs="Calibri" w:eastAsia="Calibri" w:hAnsi="Calibri"/>
        </w:rPr>
        <w:t xml:space="preserve"> A season under 10 NHL games has its value and cost scaled by games over 82, because the club carries his cap hit only for the days he is on the roster.</w:t>
      </w:r>
    </w:p>
    <w:p>
      <w:pPr>
        <w:pStyle w:val="Heading2"/>
        <w:spacing w:after="80" w:before="200"/>
      </w:pPr>
      <w:r>
        <w:rPr>
          <w:rFonts w:ascii="Calibri" w:cs="Calibri" w:eastAsia="Calibri" w:hAnsi="Calibri"/>
        </w:rPr>
        <w:t xml:space="preserve">Cost: what the club had to pay to keep him</w:t>
      </w:r>
    </w:p>
    <w:p>
      <w:pPr>
        <w:spacing w:after="120" w:before="60" w:line="276"/>
        <w:jc w:val="left"/>
      </w:pPr>
      <w:r>
        <w:rPr>
          <w:rFonts w:ascii="Calibri" w:cs="Calibri" w:eastAsia="Calibri" w:hAnsi="Calibri"/>
        </w:rPr>
        <w:t xml:space="preserve">While his entry-level contract runs, the player costs the maximum entry-level salary for his draft class ($875K for 2007-08, $900K for 2009-10, and $925K for 2011-2017). The contract lasts three seasons if he is 18 to 21 at his first NHL season, two at 22 or 23, and one at 24 or older (CBA Section 9.1(b)), counted by calendar from that season. After it, the club holds his rights by offering a one-year qualifying offer each summer: for salaries under $1M, 105% or 110% of the prior salary under the agreement's bands, capped at $1M, and never below the league minimum. A season he spends outside the NHL is worth nothing and costs nothing, since a minor-league salary does not count against the cap.</w:t>
      </w:r>
    </w:p>
    <w:p>
      <w:pPr>
        <w:spacing w:after="120" w:before="60" w:line="276"/>
        <w:jc w:val="left"/>
      </w:pPr>
      <w:r>
        <w:rPr>
          <w:rFonts w:ascii="Calibri" w:cs="Calibri" w:eastAsia="Calibri" w:hAnsi="Calibri"/>
        </w:rPr>
        <w:t xml:space="preserve">The qualifying-offer chain prices the club's right, which is what the club can compel. In practice, clubs often pay more, either through salary arbitration or by signing a star to a long contract early. Section 7 measures that gap and keeps the alternatives as sensitivities.</w:t>
      </w:r>
    </w:p>
    <w:p>
      <w:pPr>
        <w:pStyle w:val="Heading2"/>
        <w:spacing w:after="80" w:before="200"/>
      </w:pPr>
      <w:r>
        <w:rPr>
          <w:rFonts w:ascii="Calibri" w:cs="Calibri" w:eastAsia="Calibri" w:hAnsi="Calibri"/>
        </w:rPr>
        <w:t xml:space="preserve">Three rules about whose surplus counts</w:t>
      </w:r>
    </w:p>
    <w:p>
      <w:pPr>
        <w:pStyle w:val="ListParagraph"/>
        <w:numPr>
          <w:ilvl w:val="0"/>
          <w:numId w:val="2"/>
        </w:numPr>
        <w:spacing w:after="60"/>
      </w:pPr>
      <w:r>
        <w:rPr>
          <w:rFonts w:ascii="Calibri" w:cs="Calibri" w:eastAsia="Calibri" w:hAnsi="Calibri"/>
          <w:b/>
          <w:bCs/>
        </w:rPr>
        <w:t xml:space="preserve">Negative careers stay negative.</w:t>
      </w:r>
      <w:r>
        <w:rPr>
          <w:rFonts w:ascii="Calibri" w:cs="Calibri" w:eastAsia="Calibri" w:hAnsi="Calibri"/>
        </w:rPr>
        <w:t xml:space="preserve"> A player who holds a roster spot while delivering less than his cost was a loss to the club. Flooring each career at zero would raise the scale by 4.1%.</w:t>
      </w:r>
    </w:p>
    <w:p>
      <w:pPr>
        <w:pStyle w:val="ListParagraph"/>
        <w:numPr>
          <w:ilvl w:val="0"/>
          <w:numId w:val="2"/>
        </w:numPr>
        <w:spacing w:after="60"/>
      </w:pPr>
      <w:r>
        <w:rPr>
          <w:rFonts w:ascii="Calibri" w:cs="Calibri" w:eastAsia="Calibri" w:hAnsi="Calibri"/>
          <w:b/>
          <w:bCs/>
        </w:rPr>
        <w:t xml:space="preserve">Rights that lapsed are worth zero to the pick.</w:t>
      </w:r>
      <w:r>
        <w:rPr>
          <w:rFonts w:ascii="Calibri" w:cs="Calibri" w:eastAsia="Calibri" w:hAnsi="Calibri"/>
        </w:rPr>
        <w:t xml:space="preserve"> A club that never signs its pick loses him. 68 picks played their first NHL season for another club without being traded (for example, Jared Spurgeon, drafted by the Islanders and signed by Minnesota). Their $104.6M of surplus never reached the club holding the pick, of $4022.2M in all.</w:t>
      </w:r>
    </w:p>
    <w:p>
      <w:pPr>
        <w:pStyle w:val="ListParagraph"/>
        <w:numPr>
          <w:ilvl w:val="0"/>
          <w:numId w:val="2"/>
        </w:numPr>
        <w:spacing w:after="60"/>
      </w:pPr>
      <w:r>
        <w:rPr>
          <w:rFonts w:ascii="Calibri" w:cs="Calibri" w:eastAsia="Calibri" w:hAnsi="Calibri"/>
          <w:b/>
          <w:bCs/>
        </w:rPr>
        <w:t xml:space="preserve">Goalies are pooled with skaters.</w:t>
      </w:r>
      <w:r>
        <w:rPr>
          <w:rFonts w:ascii="Calibri" w:cs="Calibri" w:eastAsia="Calibri" w:hAnsi="Calibri"/>
        </w:rPr>
        <w:t xml:space="preserve"> When a pick is traded, nobody knows whether it will become a goalie, so its value averages over everyone drafted at that slot.</w:t>
      </w:r>
    </w:p>
    <w:p>
      <w:pPr>
        <w:pStyle w:val="Heading2"/>
        <w:spacing w:after="80" w:before="200"/>
      </w:pPr>
      <w:r>
        <w:rPr>
          <w:rFonts w:ascii="Calibri" w:cs="Calibri" w:eastAsia="Calibri" w:hAnsi="Calibri"/>
        </w:rPr>
        <w:t xml:space="preserve">A worked case</w:t>
      </w:r>
    </w:p>
    <w:p>
      <w:pPr>
        <w:spacing w:after="120" w:before="60" w:line="276"/>
        <w:jc w:val="left"/>
      </w:pPr>
      <w:r>
        <w:rPr>
          <w:rFonts w:ascii="Calibri" w:cs="Calibri" w:eastAsia="Calibri" w:hAnsi="Calibri"/>
        </w:rPr>
        <w:t xml:space="preserve">Table 2 prices Brayden Point, drafted 79th in 2014. He played junior hockey for two seasons, which count as zero, and reached free agency after 2022-23. He delivered $50.9M of value for $8.1M of cost, a surplus of $42.8M, one of the largest in the sample. His slot's star probability was 3.0%, so the curve values a #79 pick at about $0.96M on the pooled scale. Point is one of the few draws that pays off at that slot; the curve averages him with the many that do not.</w:t>
      </w:r>
    </w:p>
    <w:p>
      <w:pPr>
        <w:keepNext/>
        <w:spacing w:after="60" w:before="160"/>
      </w:pPr>
      <w:r>
        <w:rPr>
          <w:rFonts w:ascii="Calibri" w:cs="Calibri" w:eastAsia="Calibri" w:hAnsi="Calibri"/>
          <w:b/>
          <w:bCs/>
          <w:sz w:val="20"/>
          <w:szCs w:val="20"/>
        </w:rPr>
        <w:t xml:space="preserve">Table 2. Brayden Point (2014, #79), season by season ($M at the 2025-26 cap)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50"/>
        <w:gridCol w:w="1100"/>
        <w:gridCol w:w="1500"/>
        <w:gridCol w:w="1700"/>
        <w:gridCol w:w="1300"/>
        <w:gridCol w:w="1300"/>
        <w:gridCol w:w="1310"/>
      </w:tblGrid>
      <w:tr>
        <w:trPr>
          <w:tblHeader/>
        </w:trPr>
        <w:tc>
          <w:tcPr>
            <w:tcW w:type="dxa" w:w="1150"/>
            <w:tcBorders>
              <w:top w:val="single" w:color="C9C8C3" w:sz="4"/>
              <w:left w:val="single" w:color="C9C8C3" w:sz="4"/>
              <w:bottom w:val="single" w:color="C9C8C3" w:sz="4"/>
              <w:right w:val="single" w:color="C9C8C3" w:sz="4"/>
            </w:tcBorders>
            <w:shd w:fill="EFEEEA" w:color="auto" w:val="clear"/>
            <w:tcMar>
              <w:top w:type="dxa" w:w="50"/>
              <w:left w:type="dxa" w:w="90"/>
              <w:bottom w:type="dxa" w:w="50"/>
              <w:right w:type="dxa" w:w="90"/>
            </w:tcMar>
          </w:tcPr>
          <w:p>
            <w:pPr>
              <w:keepNext/>
              <w:jc w:val="left"/>
            </w:pPr>
            <w:r>
              <w:rPr>
                <w:rFonts w:ascii="Calibri" w:cs="Calibri" w:eastAsia="Calibri" w:hAnsi="Calibri"/>
                <w:b/>
                <w:bCs/>
                <w:sz w:val="18"/>
                <w:szCs w:val="18"/>
              </w:rPr>
              <w:t xml:space="preserve">Season</w:t>
            </w:r>
          </w:p>
        </w:tc>
        <w:tc>
          <w:tcPr>
            <w:tcW w:type="dxa" w:w="1100"/>
            <w:tcBorders>
              <w:top w:val="single" w:color="C9C8C3" w:sz="4"/>
              <w:left w:val="single" w:color="C9C8C3" w:sz="4"/>
              <w:bottom w:val="single" w:color="C9C8C3" w:sz="4"/>
              <w:right w:val="single" w:color="C9C8C3" w:sz="4"/>
            </w:tcBorders>
            <w:shd w:fill="EFEEEA" w:color="auto" w:val="clear"/>
            <w:tcMar>
              <w:top w:type="dxa" w:w="50"/>
              <w:left w:type="dxa" w:w="90"/>
              <w:bottom w:type="dxa" w:w="50"/>
              <w:right w:type="dxa" w:w="90"/>
            </w:tcMar>
          </w:tcPr>
          <w:p>
            <w:pPr>
              <w:keepNext/>
              <w:jc w:val="right"/>
            </w:pPr>
            <w:r>
              <w:rPr>
                <w:rFonts w:ascii="Calibri" w:cs="Calibri" w:eastAsia="Calibri" w:hAnsi="Calibri"/>
                <w:b/>
                <w:bCs/>
                <w:sz w:val="18"/>
                <w:szCs w:val="18"/>
              </w:rPr>
              <w:t xml:space="preserve">NHL games</w:t>
            </w:r>
          </w:p>
        </w:tc>
        <w:tc>
          <w:tcPr>
            <w:tcW w:type="dxa" w:w="1500"/>
            <w:tcBorders>
              <w:top w:val="single" w:color="C9C8C3" w:sz="4"/>
              <w:left w:val="single" w:color="C9C8C3" w:sz="4"/>
              <w:bottom w:val="single" w:color="C9C8C3" w:sz="4"/>
              <w:right w:val="single" w:color="C9C8C3" w:sz="4"/>
            </w:tcBorders>
            <w:shd w:fill="EFEEEA" w:color="auto" w:val="clear"/>
            <w:tcMar>
              <w:top w:type="dxa" w:w="50"/>
              <w:left w:type="dxa" w:w="90"/>
              <w:bottom w:type="dxa" w:w="50"/>
              <w:right w:type="dxa" w:w="90"/>
            </w:tcMar>
          </w:tcPr>
          <w:p>
            <w:pPr>
              <w:keepNext/>
              <w:jc w:val="right"/>
            </w:pPr>
            <w:r>
              <w:rPr>
                <w:rFonts w:ascii="Calibri" w:cs="Calibri" w:eastAsia="Calibri" w:hAnsi="Calibri"/>
                <w:b/>
                <w:bCs/>
                <w:sz w:val="18"/>
                <w:szCs w:val="18"/>
              </w:rPr>
              <w:t xml:space="preserve">Season WAR</w:t>
            </w:r>
          </w:p>
        </w:tc>
        <w:tc>
          <w:tcPr>
            <w:tcW w:type="dxa" w:w="1700"/>
            <w:tcBorders>
              <w:top w:val="single" w:color="C9C8C3" w:sz="4"/>
              <w:left w:val="single" w:color="C9C8C3" w:sz="4"/>
              <w:bottom w:val="single" w:color="C9C8C3" w:sz="4"/>
              <w:right w:val="single" w:color="C9C8C3" w:sz="4"/>
            </w:tcBorders>
            <w:shd w:fill="EFEEEA" w:color="auto" w:val="clear"/>
            <w:tcMar>
              <w:top w:type="dxa" w:w="50"/>
              <w:left w:type="dxa" w:w="90"/>
              <w:bottom w:type="dxa" w:w="50"/>
              <w:right w:type="dxa" w:w="90"/>
            </w:tcMar>
          </w:tcPr>
          <w:p>
            <w:pPr>
              <w:keepNext/>
              <w:jc w:val="left"/>
            </w:pPr>
            <w:r>
              <w:rPr>
                <w:rFonts w:ascii="Calibri" w:cs="Calibri" w:eastAsia="Calibri" w:hAnsi="Calibri"/>
                <w:b/>
                <w:bCs/>
                <w:sz w:val="18"/>
                <w:szCs w:val="18"/>
              </w:rPr>
              <w:t xml:space="preserve">Contract</w:t>
            </w:r>
          </w:p>
        </w:tc>
        <w:tc>
          <w:tcPr>
            <w:tcW w:type="dxa" w:w="1300"/>
            <w:tcBorders>
              <w:top w:val="single" w:color="C9C8C3" w:sz="4"/>
              <w:left w:val="single" w:color="C9C8C3" w:sz="4"/>
              <w:bottom w:val="single" w:color="C9C8C3" w:sz="4"/>
              <w:right w:val="single" w:color="C9C8C3" w:sz="4"/>
            </w:tcBorders>
            <w:shd w:fill="EFEEEA" w:color="auto" w:val="clear"/>
            <w:tcMar>
              <w:top w:type="dxa" w:w="50"/>
              <w:left w:type="dxa" w:w="90"/>
              <w:bottom w:type="dxa" w:w="50"/>
              <w:right w:type="dxa" w:w="90"/>
            </w:tcMar>
          </w:tcPr>
          <w:p>
            <w:pPr>
              <w:keepNext/>
              <w:jc w:val="right"/>
            </w:pPr>
            <w:r>
              <w:rPr>
                <w:rFonts w:ascii="Calibri" w:cs="Calibri" w:eastAsia="Calibri" w:hAnsi="Calibri"/>
                <w:b/>
                <w:bCs/>
                <w:sz w:val="18"/>
                <w:szCs w:val="18"/>
              </w:rPr>
              <w:t xml:space="preserve">Value</w:t>
            </w:r>
          </w:p>
        </w:tc>
        <w:tc>
          <w:tcPr>
            <w:tcW w:type="dxa" w:w="1300"/>
            <w:tcBorders>
              <w:top w:val="single" w:color="C9C8C3" w:sz="4"/>
              <w:left w:val="single" w:color="C9C8C3" w:sz="4"/>
              <w:bottom w:val="single" w:color="C9C8C3" w:sz="4"/>
              <w:right w:val="single" w:color="C9C8C3" w:sz="4"/>
            </w:tcBorders>
            <w:shd w:fill="EFEEEA" w:color="auto" w:val="clear"/>
            <w:tcMar>
              <w:top w:type="dxa" w:w="50"/>
              <w:left w:type="dxa" w:w="90"/>
              <w:bottom w:type="dxa" w:w="50"/>
              <w:right w:type="dxa" w:w="90"/>
            </w:tcMar>
          </w:tcPr>
          <w:p>
            <w:pPr>
              <w:keepNext/>
              <w:jc w:val="right"/>
            </w:pPr>
            <w:r>
              <w:rPr>
                <w:rFonts w:ascii="Calibri" w:cs="Calibri" w:eastAsia="Calibri" w:hAnsi="Calibri"/>
                <w:b/>
                <w:bCs/>
                <w:sz w:val="18"/>
                <w:szCs w:val="18"/>
              </w:rPr>
              <w:t xml:space="preserve">Cost</w:t>
            </w:r>
          </w:p>
        </w:tc>
        <w:tc>
          <w:tcPr>
            <w:tcW w:type="dxa" w:w="1310"/>
            <w:tcBorders>
              <w:top w:val="single" w:color="C9C8C3" w:sz="4"/>
              <w:left w:val="single" w:color="C9C8C3" w:sz="4"/>
              <w:bottom w:val="single" w:color="C9C8C3" w:sz="4"/>
              <w:right w:val="single" w:color="C9C8C3" w:sz="4"/>
            </w:tcBorders>
            <w:shd w:fill="EFEEEA" w:color="auto" w:val="clear"/>
            <w:tcMar>
              <w:top w:type="dxa" w:w="50"/>
              <w:left w:type="dxa" w:w="90"/>
              <w:bottom w:type="dxa" w:w="50"/>
              <w:right w:type="dxa" w:w="90"/>
            </w:tcMar>
          </w:tcPr>
          <w:p>
            <w:pPr>
              <w:keepNext/>
              <w:jc w:val="right"/>
            </w:pPr>
            <w:r>
              <w:rPr>
                <w:rFonts w:ascii="Calibri" w:cs="Calibri" w:eastAsia="Calibri" w:hAnsi="Calibri"/>
                <w:b/>
                <w:bCs/>
                <w:sz w:val="18"/>
                <w:szCs w:val="18"/>
              </w:rPr>
              <w:t xml:space="preserve">Surplus</w:t>
            </w:r>
          </w:p>
        </w:tc>
      </w:tr>
      <w:tr>
        <w:trPr>
          <w:cantSplit/>
        </w:trPr>
        <w:tc>
          <w:tcPr>
            <w:tcW w:type="dxa" w:w="1150"/>
            <w:tcBorders>
              <w:top w:val="single" w:color="C9C8C3" w:sz="4"/>
              <w:left w:val="single" w:color="C9C8C3" w:sz="4"/>
              <w:bottom w:val="single" w:color="C9C8C3" w:sz="4"/>
              <w:right w:val="single" w:color="C9C8C3" w:sz="4"/>
            </w:tcBorders>
            <w:tcMar>
              <w:top w:type="dxa" w:w="50"/>
              <w:left w:type="dxa" w:w="90"/>
              <w:bottom w:type="dxa" w:w="50"/>
              <w:right w:type="dxa" w:w="90"/>
            </w:tcMar>
          </w:tcPr>
          <w:p>
            <w:pPr>
              <w:keepNext/>
              <w:jc w:val="left"/>
            </w:pPr>
            <w:r>
              <w:rPr>
                <w:rFonts w:ascii="Calibri" w:cs="Calibri" w:eastAsia="Calibri" w:hAnsi="Calibri"/>
                <w:b w:val="false"/>
                <w:bCs w:val="false"/>
                <w:sz w:val="18"/>
                <w:szCs w:val="18"/>
              </w:rPr>
              <w:t xml:space="preserve">2016-17</w:t>
            </w:r>
          </w:p>
        </w:tc>
        <w:tc>
          <w:tcPr>
            <w:tcW w:type="dxa" w:w="1100"/>
            <w:tcBorders>
              <w:top w:val="single" w:color="C9C8C3" w:sz="4"/>
              <w:left w:val="single" w:color="C9C8C3" w:sz="4"/>
              <w:bottom w:val="single" w:color="C9C8C3" w:sz="4"/>
              <w:right w:val="single" w:color="C9C8C3" w:sz="4"/>
            </w:tcBorders>
            <w:tcMar>
              <w:top w:type="dxa" w:w="50"/>
              <w:left w:type="dxa" w:w="90"/>
              <w:bottom w:type="dxa" w:w="50"/>
              <w:right w:type="dxa" w:w="90"/>
            </w:tcMar>
          </w:tcPr>
          <w:p>
            <w:pPr>
              <w:keepNext/>
              <w:jc w:val="right"/>
            </w:pPr>
            <w:r>
              <w:rPr>
                <w:rFonts w:ascii="Calibri" w:cs="Calibri" w:eastAsia="Calibri" w:hAnsi="Calibri"/>
                <w:b w:val="false"/>
                <w:bCs w:val="false"/>
                <w:sz w:val="18"/>
                <w:szCs w:val="18"/>
              </w:rPr>
              <w:t xml:space="preserve">68</w:t>
            </w:r>
          </w:p>
        </w:tc>
        <w:tc>
          <w:tcPr>
            <w:tcW w:type="dxa" w:w="1500"/>
            <w:tcBorders>
              <w:top w:val="single" w:color="C9C8C3" w:sz="4"/>
              <w:left w:val="single" w:color="C9C8C3" w:sz="4"/>
              <w:bottom w:val="single" w:color="C9C8C3" w:sz="4"/>
              <w:right w:val="single" w:color="C9C8C3" w:sz="4"/>
            </w:tcBorders>
            <w:tcMar>
              <w:top w:type="dxa" w:w="50"/>
              <w:left w:type="dxa" w:w="90"/>
              <w:bottom w:type="dxa" w:w="50"/>
              <w:right w:type="dxa" w:w="90"/>
            </w:tcMar>
          </w:tcPr>
          <w:p>
            <w:pPr>
              <w:keepNext/>
              <w:jc w:val="right"/>
            </w:pPr>
            <w:r>
              <w:rPr>
                <w:rFonts w:ascii="Calibri" w:cs="Calibri" w:eastAsia="Calibri" w:hAnsi="Calibri"/>
                <w:b w:val="false"/>
                <w:bCs w:val="false"/>
                <w:sz w:val="18"/>
                <w:szCs w:val="18"/>
              </w:rPr>
              <w:t xml:space="preserve">1.73</w:t>
            </w:r>
          </w:p>
        </w:tc>
        <w:tc>
          <w:tcPr>
            <w:tcW w:type="dxa" w:w="1700"/>
            <w:tcBorders>
              <w:top w:val="single" w:color="C9C8C3" w:sz="4"/>
              <w:left w:val="single" w:color="C9C8C3" w:sz="4"/>
              <w:bottom w:val="single" w:color="C9C8C3" w:sz="4"/>
              <w:right w:val="single" w:color="C9C8C3" w:sz="4"/>
            </w:tcBorders>
            <w:tcMar>
              <w:top w:type="dxa" w:w="50"/>
              <w:left w:type="dxa" w:w="90"/>
              <w:bottom w:type="dxa" w:w="50"/>
              <w:right w:type="dxa" w:w="90"/>
            </w:tcMar>
          </w:tcPr>
          <w:p>
            <w:pPr>
              <w:keepNext/>
              <w:jc w:val="left"/>
            </w:pPr>
            <w:r>
              <w:rPr>
                <w:rFonts w:ascii="Calibri" w:cs="Calibri" w:eastAsia="Calibri" w:hAnsi="Calibri"/>
                <w:b w:val="false"/>
                <w:bCs w:val="false"/>
                <w:sz w:val="18"/>
                <w:szCs w:val="18"/>
              </w:rPr>
              <w:t xml:space="preserve">Entry-level</w:t>
            </w:r>
          </w:p>
        </w:tc>
        <w:tc>
          <w:tcPr>
            <w:tcW w:type="dxa" w:w="1300"/>
            <w:tcBorders>
              <w:top w:val="single" w:color="C9C8C3" w:sz="4"/>
              <w:left w:val="single" w:color="C9C8C3" w:sz="4"/>
              <w:bottom w:val="single" w:color="C9C8C3" w:sz="4"/>
              <w:right w:val="single" w:color="C9C8C3" w:sz="4"/>
            </w:tcBorders>
            <w:tcMar>
              <w:top w:type="dxa" w:w="50"/>
              <w:left w:type="dxa" w:w="90"/>
              <w:bottom w:type="dxa" w:w="50"/>
              <w:right w:type="dxa" w:w="90"/>
            </w:tcMar>
          </w:tcPr>
          <w:p>
            <w:pPr>
              <w:keepNext/>
              <w:jc w:val="right"/>
            </w:pPr>
            <w:r>
              <w:rPr>
                <w:rFonts w:ascii="Calibri" w:cs="Calibri" w:eastAsia="Calibri" w:hAnsi="Calibri"/>
                <w:b w:val="false"/>
                <w:bCs w:val="false"/>
                <w:sz w:val="18"/>
                <w:szCs w:val="18"/>
              </w:rPr>
              <w:t xml:space="preserve">3.33</w:t>
            </w:r>
          </w:p>
        </w:tc>
        <w:tc>
          <w:tcPr>
            <w:tcW w:type="dxa" w:w="1300"/>
            <w:tcBorders>
              <w:top w:val="single" w:color="C9C8C3" w:sz="4"/>
              <w:left w:val="single" w:color="C9C8C3" w:sz="4"/>
              <w:bottom w:val="single" w:color="C9C8C3" w:sz="4"/>
              <w:right w:val="single" w:color="C9C8C3" w:sz="4"/>
            </w:tcBorders>
            <w:tcMar>
              <w:top w:type="dxa" w:w="50"/>
              <w:left w:type="dxa" w:w="90"/>
              <w:bottom w:type="dxa" w:w="50"/>
              <w:right w:type="dxa" w:w="90"/>
            </w:tcMar>
          </w:tcPr>
          <w:p>
            <w:pPr>
              <w:keepNext/>
              <w:jc w:val="right"/>
            </w:pPr>
            <w:r>
              <w:rPr>
                <w:rFonts w:ascii="Calibri" w:cs="Calibri" w:eastAsia="Calibri" w:hAnsi="Calibri"/>
                <w:b w:val="false"/>
                <w:bCs w:val="false"/>
                <w:sz w:val="18"/>
                <w:szCs w:val="18"/>
              </w:rPr>
              <w:t xml:space="preserve">1.21</w:t>
            </w:r>
          </w:p>
        </w:tc>
        <w:tc>
          <w:tcPr>
            <w:tcW w:type="dxa" w:w="1310"/>
            <w:tcBorders>
              <w:top w:val="single" w:color="C9C8C3" w:sz="4"/>
              <w:left w:val="single" w:color="C9C8C3" w:sz="4"/>
              <w:bottom w:val="single" w:color="C9C8C3" w:sz="4"/>
              <w:right w:val="single" w:color="C9C8C3" w:sz="4"/>
            </w:tcBorders>
            <w:tcMar>
              <w:top w:type="dxa" w:w="50"/>
              <w:left w:type="dxa" w:w="90"/>
              <w:bottom w:type="dxa" w:w="50"/>
              <w:right w:type="dxa" w:w="90"/>
            </w:tcMar>
          </w:tcPr>
          <w:p>
            <w:pPr>
              <w:keepNext/>
              <w:jc w:val="right"/>
            </w:pPr>
            <w:r>
              <w:rPr>
                <w:rFonts w:ascii="Calibri" w:cs="Calibri" w:eastAsia="Calibri" w:hAnsi="Calibri"/>
                <w:b w:val="false"/>
                <w:bCs w:val="false"/>
                <w:sz w:val="18"/>
                <w:szCs w:val="18"/>
              </w:rPr>
              <w:t xml:space="preserve">2.12</w:t>
            </w:r>
          </w:p>
        </w:tc>
      </w:tr>
      <w:tr>
        <w:trPr>
          <w:cantSplit/>
        </w:trPr>
        <w:tc>
          <w:tcPr>
            <w:tcW w:type="dxa" w:w="1150"/>
            <w:tcBorders>
              <w:top w:val="single" w:color="C9C8C3" w:sz="4"/>
              <w:left w:val="single" w:color="C9C8C3" w:sz="4"/>
              <w:bottom w:val="single" w:color="C9C8C3" w:sz="4"/>
              <w:right w:val="single" w:color="C9C8C3" w:sz="4"/>
            </w:tcBorders>
            <w:tcMar>
              <w:top w:type="dxa" w:w="50"/>
              <w:left w:type="dxa" w:w="90"/>
              <w:bottom w:type="dxa" w:w="50"/>
              <w:right w:type="dxa" w:w="90"/>
            </w:tcMar>
          </w:tcPr>
          <w:p>
            <w:pPr>
              <w:keepNext/>
              <w:jc w:val="left"/>
            </w:pPr>
            <w:r>
              <w:rPr>
                <w:rFonts w:ascii="Calibri" w:cs="Calibri" w:eastAsia="Calibri" w:hAnsi="Calibri"/>
                <w:b w:val="false"/>
                <w:bCs w:val="false"/>
                <w:sz w:val="18"/>
                <w:szCs w:val="18"/>
              </w:rPr>
              <w:t xml:space="preserve">2017-18</w:t>
            </w:r>
          </w:p>
        </w:tc>
        <w:tc>
          <w:tcPr>
            <w:tcW w:type="dxa" w:w="1100"/>
            <w:tcBorders>
              <w:top w:val="single" w:color="C9C8C3" w:sz="4"/>
              <w:left w:val="single" w:color="C9C8C3" w:sz="4"/>
              <w:bottom w:val="single" w:color="C9C8C3" w:sz="4"/>
              <w:right w:val="single" w:color="C9C8C3" w:sz="4"/>
            </w:tcBorders>
            <w:tcMar>
              <w:top w:type="dxa" w:w="50"/>
              <w:left w:type="dxa" w:w="90"/>
              <w:bottom w:type="dxa" w:w="50"/>
              <w:right w:type="dxa" w:w="90"/>
            </w:tcMar>
          </w:tcPr>
          <w:p>
            <w:pPr>
              <w:keepNext/>
              <w:jc w:val="right"/>
            </w:pPr>
            <w:r>
              <w:rPr>
                <w:rFonts w:ascii="Calibri" w:cs="Calibri" w:eastAsia="Calibri" w:hAnsi="Calibri"/>
                <w:b w:val="false"/>
                <w:bCs w:val="false"/>
                <w:sz w:val="18"/>
                <w:szCs w:val="18"/>
              </w:rPr>
              <w:t xml:space="preserve">82</w:t>
            </w:r>
          </w:p>
        </w:tc>
        <w:tc>
          <w:tcPr>
            <w:tcW w:type="dxa" w:w="1500"/>
            <w:tcBorders>
              <w:top w:val="single" w:color="C9C8C3" w:sz="4"/>
              <w:left w:val="single" w:color="C9C8C3" w:sz="4"/>
              <w:bottom w:val="single" w:color="C9C8C3" w:sz="4"/>
              <w:right w:val="single" w:color="C9C8C3" w:sz="4"/>
            </w:tcBorders>
            <w:tcMar>
              <w:top w:type="dxa" w:w="50"/>
              <w:left w:type="dxa" w:w="90"/>
              <w:bottom w:type="dxa" w:w="50"/>
              <w:right w:type="dxa" w:w="90"/>
            </w:tcMar>
          </w:tcPr>
          <w:p>
            <w:pPr>
              <w:keepNext/>
              <w:jc w:val="right"/>
            </w:pPr>
            <w:r>
              <w:rPr>
                <w:rFonts w:ascii="Calibri" w:cs="Calibri" w:eastAsia="Calibri" w:hAnsi="Calibri"/>
                <w:b w:val="false"/>
                <w:bCs w:val="false"/>
                <w:sz w:val="18"/>
                <w:szCs w:val="18"/>
              </w:rPr>
              <w:t xml:space="preserve">3.72</w:t>
            </w:r>
          </w:p>
        </w:tc>
        <w:tc>
          <w:tcPr>
            <w:tcW w:type="dxa" w:w="1700"/>
            <w:tcBorders>
              <w:top w:val="single" w:color="C9C8C3" w:sz="4"/>
              <w:left w:val="single" w:color="C9C8C3" w:sz="4"/>
              <w:bottom w:val="single" w:color="C9C8C3" w:sz="4"/>
              <w:right w:val="single" w:color="C9C8C3" w:sz="4"/>
            </w:tcBorders>
            <w:tcMar>
              <w:top w:type="dxa" w:w="50"/>
              <w:left w:type="dxa" w:w="90"/>
              <w:bottom w:type="dxa" w:w="50"/>
              <w:right w:type="dxa" w:w="90"/>
            </w:tcMar>
          </w:tcPr>
          <w:p>
            <w:pPr>
              <w:keepNext/>
              <w:jc w:val="left"/>
            </w:pPr>
            <w:r>
              <w:rPr>
                <w:rFonts w:ascii="Calibri" w:cs="Calibri" w:eastAsia="Calibri" w:hAnsi="Calibri"/>
                <w:b w:val="false"/>
                <w:bCs w:val="false"/>
                <w:sz w:val="18"/>
                <w:szCs w:val="18"/>
              </w:rPr>
              <w:t xml:space="preserve">Entry-level</w:t>
            </w:r>
          </w:p>
        </w:tc>
        <w:tc>
          <w:tcPr>
            <w:tcW w:type="dxa" w:w="1300"/>
            <w:tcBorders>
              <w:top w:val="single" w:color="C9C8C3" w:sz="4"/>
              <w:left w:val="single" w:color="C9C8C3" w:sz="4"/>
              <w:bottom w:val="single" w:color="C9C8C3" w:sz="4"/>
              <w:right w:val="single" w:color="C9C8C3" w:sz="4"/>
            </w:tcBorders>
            <w:tcMar>
              <w:top w:type="dxa" w:w="50"/>
              <w:left w:type="dxa" w:w="90"/>
              <w:bottom w:type="dxa" w:w="50"/>
              <w:right w:type="dxa" w:w="90"/>
            </w:tcMar>
          </w:tcPr>
          <w:p>
            <w:pPr>
              <w:keepNext/>
              <w:jc w:val="right"/>
            </w:pPr>
            <w:r>
              <w:rPr>
                <w:rFonts w:ascii="Calibri" w:cs="Calibri" w:eastAsia="Calibri" w:hAnsi="Calibri"/>
                <w:b w:val="false"/>
                <w:bCs w:val="false"/>
                <w:sz w:val="18"/>
                <w:szCs w:val="18"/>
              </w:rPr>
              <w:t xml:space="preserve">6.64</w:t>
            </w:r>
          </w:p>
        </w:tc>
        <w:tc>
          <w:tcPr>
            <w:tcW w:type="dxa" w:w="1300"/>
            <w:tcBorders>
              <w:top w:val="single" w:color="C9C8C3" w:sz="4"/>
              <w:left w:val="single" w:color="C9C8C3" w:sz="4"/>
              <w:bottom w:val="single" w:color="C9C8C3" w:sz="4"/>
              <w:right w:val="single" w:color="C9C8C3" w:sz="4"/>
            </w:tcBorders>
            <w:tcMar>
              <w:top w:type="dxa" w:w="50"/>
              <w:left w:type="dxa" w:w="90"/>
              <w:bottom w:type="dxa" w:w="50"/>
              <w:right w:type="dxa" w:w="90"/>
            </w:tcMar>
          </w:tcPr>
          <w:p>
            <w:pPr>
              <w:keepNext/>
              <w:jc w:val="right"/>
            </w:pPr>
            <w:r>
              <w:rPr>
                <w:rFonts w:ascii="Calibri" w:cs="Calibri" w:eastAsia="Calibri" w:hAnsi="Calibri"/>
                <w:b w:val="false"/>
                <w:bCs w:val="false"/>
                <w:sz w:val="18"/>
                <w:szCs w:val="18"/>
              </w:rPr>
              <w:t xml:space="preserve">1.18</w:t>
            </w:r>
          </w:p>
        </w:tc>
        <w:tc>
          <w:tcPr>
            <w:tcW w:type="dxa" w:w="1310"/>
            <w:tcBorders>
              <w:top w:val="single" w:color="C9C8C3" w:sz="4"/>
              <w:left w:val="single" w:color="C9C8C3" w:sz="4"/>
              <w:bottom w:val="single" w:color="C9C8C3" w:sz="4"/>
              <w:right w:val="single" w:color="C9C8C3" w:sz="4"/>
            </w:tcBorders>
            <w:tcMar>
              <w:top w:type="dxa" w:w="50"/>
              <w:left w:type="dxa" w:w="90"/>
              <w:bottom w:type="dxa" w:w="50"/>
              <w:right w:type="dxa" w:w="90"/>
            </w:tcMar>
          </w:tcPr>
          <w:p>
            <w:pPr>
              <w:keepNext/>
              <w:jc w:val="right"/>
            </w:pPr>
            <w:r>
              <w:rPr>
                <w:rFonts w:ascii="Calibri" w:cs="Calibri" w:eastAsia="Calibri" w:hAnsi="Calibri"/>
                <w:b w:val="false"/>
                <w:bCs w:val="false"/>
                <w:sz w:val="18"/>
                <w:szCs w:val="18"/>
              </w:rPr>
              <w:t xml:space="preserve">5.46</w:t>
            </w:r>
          </w:p>
        </w:tc>
      </w:tr>
      <w:tr>
        <w:trPr>
          <w:cantSplit/>
        </w:trPr>
        <w:tc>
          <w:tcPr>
            <w:tcW w:type="dxa" w:w="1150"/>
            <w:tcBorders>
              <w:top w:val="single" w:color="C9C8C3" w:sz="4"/>
              <w:left w:val="single" w:color="C9C8C3" w:sz="4"/>
              <w:bottom w:val="single" w:color="C9C8C3" w:sz="4"/>
              <w:right w:val="single" w:color="C9C8C3" w:sz="4"/>
            </w:tcBorders>
            <w:tcMar>
              <w:top w:type="dxa" w:w="50"/>
              <w:left w:type="dxa" w:w="90"/>
              <w:bottom w:type="dxa" w:w="50"/>
              <w:right w:type="dxa" w:w="90"/>
            </w:tcMar>
          </w:tcPr>
          <w:p>
            <w:pPr>
              <w:keepNext/>
              <w:jc w:val="left"/>
            </w:pPr>
            <w:r>
              <w:rPr>
                <w:rFonts w:ascii="Calibri" w:cs="Calibri" w:eastAsia="Calibri" w:hAnsi="Calibri"/>
                <w:b w:val="false"/>
                <w:bCs w:val="false"/>
                <w:sz w:val="18"/>
                <w:szCs w:val="18"/>
              </w:rPr>
              <w:t xml:space="preserve">2018-19</w:t>
            </w:r>
          </w:p>
        </w:tc>
        <w:tc>
          <w:tcPr>
            <w:tcW w:type="dxa" w:w="1100"/>
            <w:tcBorders>
              <w:top w:val="single" w:color="C9C8C3" w:sz="4"/>
              <w:left w:val="single" w:color="C9C8C3" w:sz="4"/>
              <w:bottom w:val="single" w:color="C9C8C3" w:sz="4"/>
              <w:right w:val="single" w:color="C9C8C3" w:sz="4"/>
            </w:tcBorders>
            <w:tcMar>
              <w:top w:type="dxa" w:w="50"/>
              <w:left w:type="dxa" w:w="90"/>
              <w:bottom w:type="dxa" w:w="50"/>
              <w:right w:type="dxa" w:w="90"/>
            </w:tcMar>
          </w:tcPr>
          <w:p>
            <w:pPr>
              <w:keepNext/>
              <w:jc w:val="right"/>
            </w:pPr>
            <w:r>
              <w:rPr>
                <w:rFonts w:ascii="Calibri" w:cs="Calibri" w:eastAsia="Calibri" w:hAnsi="Calibri"/>
                <w:b w:val="false"/>
                <w:bCs w:val="false"/>
                <w:sz w:val="18"/>
                <w:szCs w:val="18"/>
              </w:rPr>
              <w:t xml:space="preserve">79</w:t>
            </w:r>
          </w:p>
        </w:tc>
        <w:tc>
          <w:tcPr>
            <w:tcW w:type="dxa" w:w="1500"/>
            <w:tcBorders>
              <w:top w:val="single" w:color="C9C8C3" w:sz="4"/>
              <w:left w:val="single" w:color="C9C8C3" w:sz="4"/>
              <w:bottom w:val="single" w:color="C9C8C3" w:sz="4"/>
              <w:right w:val="single" w:color="C9C8C3" w:sz="4"/>
            </w:tcBorders>
            <w:tcMar>
              <w:top w:type="dxa" w:w="50"/>
              <w:left w:type="dxa" w:w="90"/>
              <w:bottom w:type="dxa" w:w="50"/>
              <w:right w:type="dxa" w:w="90"/>
            </w:tcMar>
          </w:tcPr>
          <w:p>
            <w:pPr>
              <w:keepNext/>
              <w:jc w:val="right"/>
            </w:pPr>
            <w:r>
              <w:rPr>
                <w:rFonts w:ascii="Calibri" w:cs="Calibri" w:eastAsia="Calibri" w:hAnsi="Calibri"/>
                <w:b w:val="false"/>
                <w:bCs w:val="false"/>
                <w:sz w:val="18"/>
                <w:szCs w:val="18"/>
              </w:rPr>
              <w:t xml:space="preserve">5.40</w:t>
            </w:r>
          </w:p>
        </w:tc>
        <w:tc>
          <w:tcPr>
            <w:tcW w:type="dxa" w:w="1700"/>
            <w:tcBorders>
              <w:top w:val="single" w:color="C9C8C3" w:sz="4"/>
              <w:left w:val="single" w:color="C9C8C3" w:sz="4"/>
              <w:bottom w:val="single" w:color="C9C8C3" w:sz="4"/>
              <w:right w:val="single" w:color="C9C8C3" w:sz="4"/>
            </w:tcBorders>
            <w:tcMar>
              <w:top w:type="dxa" w:w="50"/>
              <w:left w:type="dxa" w:w="90"/>
              <w:bottom w:type="dxa" w:w="50"/>
              <w:right w:type="dxa" w:w="90"/>
            </w:tcMar>
          </w:tcPr>
          <w:p>
            <w:pPr>
              <w:keepNext/>
              <w:jc w:val="left"/>
            </w:pPr>
            <w:r>
              <w:rPr>
                <w:rFonts w:ascii="Calibri" w:cs="Calibri" w:eastAsia="Calibri" w:hAnsi="Calibri"/>
                <w:b w:val="false"/>
                <w:bCs w:val="false"/>
                <w:sz w:val="18"/>
                <w:szCs w:val="18"/>
              </w:rPr>
              <w:t xml:space="preserve">Entry-level</w:t>
            </w:r>
          </w:p>
        </w:tc>
        <w:tc>
          <w:tcPr>
            <w:tcW w:type="dxa" w:w="1300"/>
            <w:tcBorders>
              <w:top w:val="single" w:color="C9C8C3" w:sz="4"/>
              <w:left w:val="single" w:color="C9C8C3" w:sz="4"/>
              <w:bottom w:val="single" w:color="C9C8C3" w:sz="4"/>
              <w:right w:val="single" w:color="C9C8C3" w:sz="4"/>
            </w:tcBorders>
            <w:tcMar>
              <w:top w:type="dxa" w:w="50"/>
              <w:left w:type="dxa" w:w="90"/>
              <w:bottom w:type="dxa" w:w="50"/>
              <w:right w:type="dxa" w:w="90"/>
            </w:tcMar>
          </w:tcPr>
          <w:p>
            <w:pPr>
              <w:keepNext/>
              <w:jc w:val="right"/>
            </w:pPr>
            <w:r>
              <w:rPr>
                <w:rFonts w:ascii="Calibri" w:cs="Calibri" w:eastAsia="Calibri" w:hAnsi="Calibri"/>
                <w:b w:val="false"/>
                <w:bCs w:val="false"/>
                <w:sz w:val="18"/>
                <w:szCs w:val="18"/>
              </w:rPr>
              <w:t xml:space="preserve">9.45</w:t>
            </w:r>
          </w:p>
        </w:tc>
        <w:tc>
          <w:tcPr>
            <w:tcW w:type="dxa" w:w="1300"/>
            <w:tcBorders>
              <w:top w:val="single" w:color="C9C8C3" w:sz="4"/>
              <w:left w:val="single" w:color="C9C8C3" w:sz="4"/>
              <w:bottom w:val="single" w:color="C9C8C3" w:sz="4"/>
              <w:right w:val="single" w:color="C9C8C3" w:sz="4"/>
            </w:tcBorders>
            <w:tcMar>
              <w:top w:type="dxa" w:w="50"/>
              <w:left w:type="dxa" w:w="90"/>
              <w:bottom w:type="dxa" w:w="50"/>
              <w:right w:type="dxa" w:w="90"/>
            </w:tcMar>
          </w:tcPr>
          <w:p>
            <w:pPr>
              <w:keepNext/>
              <w:jc w:val="right"/>
            </w:pPr>
            <w:r>
              <w:rPr>
                <w:rFonts w:ascii="Calibri" w:cs="Calibri" w:eastAsia="Calibri" w:hAnsi="Calibri"/>
                <w:b w:val="false"/>
                <w:bCs w:val="false"/>
                <w:sz w:val="18"/>
                <w:szCs w:val="18"/>
              </w:rPr>
              <w:t xml:space="preserve">1.11</w:t>
            </w:r>
          </w:p>
        </w:tc>
        <w:tc>
          <w:tcPr>
            <w:tcW w:type="dxa" w:w="1310"/>
            <w:tcBorders>
              <w:top w:val="single" w:color="C9C8C3" w:sz="4"/>
              <w:left w:val="single" w:color="C9C8C3" w:sz="4"/>
              <w:bottom w:val="single" w:color="C9C8C3" w:sz="4"/>
              <w:right w:val="single" w:color="C9C8C3" w:sz="4"/>
            </w:tcBorders>
            <w:tcMar>
              <w:top w:type="dxa" w:w="50"/>
              <w:left w:type="dxa" w:w="90"/>
              <w:bottom w:type="dxa" w:w="50"/>
              <w:right w:type="dxa" w:w="90"/>
            </w:tcMar>
          </w:tcPr>
          <w:p>
            <w:pPr>
              <w:keepNext/>
              <w:jc w:val="right"/>
            </w:pPr>
            <w:r>
              <w:rPr>
                <w:rFonts w:ascii="Calibri" w:cs="Calibri" w:eastAsia="Calibri" w:hAnsi="Calibri"/>
                <w:b w:val="false"/>
                <w:bCs w:val="false"/>
                <w:sz w:val="18"/>
                <w:szCs w:val="18"/>
              </w:rPr>
              <w:t xml:space="preserve">8.34</w:t>
            </w:r>
          </w:p>
        </w:tc>
      </w:tr>
      <w:tr>
        <w:trPr>
          <w:cantSplit/>
        </w:trPr>
        <w:tc>
          <w:tcPr>
            <w:tcW w:type="dxa" w:w="1150"/>
            <w:tcBorders>
              <w:top w:val="single" w:color="C9C8C3" w:sz="4"/>
              <w:left w:val="single" w:color="C9C8C3" w:sz="4"/>
              <w:bottom w:val="single" w:color="C9C8C3" w:sz="4"/>
              <w:right w:val="single" w:color="C9C8C3" w:sz="4"/>
            </w:tcBorders>
            <w:tcMar>
              <w:top w:type="dxa" w:w="50"/>
              <w:left w:type="dxa" w:w="90"/>
              <w:bottom w:type="dxa" w:w="50"/>
              <w:right w:type="dxa" w:w="90"/>
            </w:tcMar>
          </w:tcPr>
          <w:p>
            <w:pPr>
              <w:keepNext/>
              <w:jc w:val="left"/>
            </w:pPr>
            <w:r>
              <w:rPr>
                <w:rFonts w:ascii="Calibri" w:cs="Calibri" w:eastAsia="Calibri" w:hAnsi="Calibri"/>
                <w:b w:val="false"/>
                <w:bCs w:val="false"/>
                <w:sz w:val="18"/>
                <w:szCs w:val="18"/>
              </w:rPr>
              <w:t xml:space="preserve">2019-20</w:t>
            </w:r>
          </w:p>
        </w:tc>
        <w:tc>
          <w:tcPr>
            <w:tcW w:type="dxa" w:w="1100"/>
            <w:tcBorders>
              <w:top w:val="single" w:color="C9C8C3" w:sz="4"/>
              <w:left w:val="single" w:color="C9C8C3" w:sz="4"/>
              <w:bottom w:val="single" w:color="C9C8C3" w:sz="4"/>
              <w:right w:val="single" w:color="C9C8C3" w:sz="4"/>
            </w:tcBorders>
            <w:tcMar>
              <w:top w:type="dxa" w:w="50"/>
              <w:left w:type="dxa" w:w="90"/>
              <w:bottom w:type="dxa" w:w="50"/>
              <w:right w:type="dxa" w:w="90"/>
            </w:tcMar>
          </w:tcPr>
          <w:p>
            <w:pPr>
              <w:keepNext/>
              <w:jc w:val="right"/>
            </w:pPr>
            <w:r>
              <w:rPr>
                <w:rFonts w:ascii="Calibri" w:cs="Calibri" w:eastAsia="Calibri" w:hAnsi="Calibri"/>
                <w:b w:val="false"/>
                <w:bCs w:val="false"/>
                <w:sz w:val="18"/>
                <w:szCs w:val="18"/>
              </w:rPr>
              <w:t xml:space="preserve">66</w:t>
            </w:r>
          </w:p>
        </w:tc>
        <w:tc>
          <w:tcPr>
            <w:tcW w:type="dxa" w:w="1500"/>
            <w:tcBorders>
              <w:top w:val="single" w:color="C9C8C3" w:sz="4"/>
              <w:left w:val="single" w:color="C9C8C3" w:sz="4"/>
              <w:bottom w:val="single" w:color="C9C8C3" w:sz="4"/>
              <w:right w:val="single" w:color="C9C8C3" w:sz="4"/>
            </w:tcBorders>
            <w:tcMar>
              <w:top w:type="dxa" w:w="50"/>
              <w:left w:type="dxa" w:w="90"/>
              <w:bottom w:type="dxa" w:w="50"/>
              <w:right w:type="dxa" w:w="90"/>
            </w:tcMar>
          </w:tcPr>
          <w:p>
            <w:pPr>
              <w:keepNext/>
              <w:jc w:val="right"/>
            </w:pPr>
            <w:r>
              <w:rPr>
                <w:rFonts w:ascii="Calibri" w:cs="Calibri" w:eastAsia="Calibri" w:hAnsi="Calibri"/>
                <w:b w:val="false"/>
                <w:bCs w:val="false"/>
                <w:sz w:val="18"/>
                <w:szCs w:val="18"/>
              </w:rPr>
              <w:t xml:space="preserve">3.98</w:t>
            </w:r>
          </w:p>
        </w:tc>
        <w:tc>
          <w:tcPr>
            <w:tcW w:type="dxa" w:w="1700"/>
            <w:tcBorders>
              <w:top w:val="single" w:color="C9C8C3" w:sz="4"/>
              <w:left w:val="single" w:color="C9C8C3" w:sz="4"/>
              <w:bottom w:val="single" w:color="C9C8C3" w:sz="4"/>
              <w:right w:val="single" w:color="C9C8C3" w:sz="4"/>
            </w:tcBorders>
            <w:tcMar>
              <w:top w:type="dxa" w:w="50"/>
              <w:left w:type="dxa" w:w="90"/>
              <w:bottom w:type="dxa" w:w="50"/>
              <w:right w:type="dxa" w:w="90"/>
            </w:tcMar>
          </w:tcPr>
          <w:p>
            <w:pPr>
              <w:keepNext/>
              <w:jc w:val="left"/>
            </w:pPr>
            <w:r>
              <w:rPr>
                <w:rFonts w:ascii="Calibri" w:cs="Calibri" w:eastAsia="Calibri" w:hAnsi="Calibri"/>
                <w:b w:val="false"/>
                <w:bCs w:val="false"/>
                <w:sz w:val="18"/>
                <w:szCs w:val="18"/>
              </w:rPr>
              <w:t xml:space="preserve">Qualifying offer</w:t>
            </w:r>
          </w:p>
        </w:tc>
        <w:tc>
          <w:tcPr>
            <w:tcW w:type="dxa" w:w="1300"/>
            <w:tcBorders>
              <w:top w:val="single" w:color="C9C8C3" w:sz="4"/>
              <w:left w:val="single" w:color="C9C8C3" w:sz="4"/>
              <w:bottom w:val="single" w:color="C9C8C3" w:sz="4"/>
              <w:right w:val="single" w:color="C9C8C3" w:sz="4"/>
            </w:tcBorders>
            <w:tcMar>
              <w:top w:type="dxa" w:w="50"/>
              <w:left w:type="dxa" w:w="90"/>
              <w:bottom w:type="dxa" w:w="50"/>
              <w:right w:type="dxa" w:w="90"/>
            </w:tcMar>
          </w:tcPr>
          <w:p>
            <w:pPr>
              <w:keepNext/>
              <w:jc w:val="right"/>
            </w:pPr>
            <w:r>
              <w:rPr>
                <w:rFonts w:ascii="Calibri" w:cs="Calibri" w:eastAsia="Calibri" w:hAnsi="Calibri"/>
                <w:b w:val="false"/>
                <w:bCs w:val="false"/>
                <w:sz w:val="18"/>
                <w:szCs w:val="18"/>
              </w:rPr>
              <w:t xml:space="preserve">7.08</w:t>
            </w:r>
          </w:p>
        </w:tc>
        <w:tc>
          <w:tcPr>
            <w:tcW w:type="dxa" w:w="1300"/>
            <w:tcBorders>
              <w:top w:val="single" w:color="C9C8C3" w:sz="4"/>
              <w:left w:val="single" w:color="C9C8C3" w:sz="4"/>
              <w:bottom w:val="single" w:color="C9C8C3" w:sz="4"/>
              <w:right w:val="single" w:color="C9C8C3" w:sz="4"/>
            </w:tcBorders>
            <w:tcMar>
              <w:top w:type="dxa" w:w="50"/>
              <w:left w:type="dxa" w:w="90"/>
              <w:bottom w:type="dxa" w:w="50"/>
              <w:right w:type="dxa" w:w="90"/>
            </w:tcMar>
          </w:tcPr>
          <w:p>
            <w:pPr>
              <w:keepNext/>
              <w:jc w:val="right"/>
            </w:pPr>
            <w:r>
              <w:rPr>
                <w:rFonts w:ascii="Calibri" w:cs="Calibri" w:eastAsia="Calibri" w:hAnsi="Calibri"/>
                <w:b w:val="false"/>
                <w:bCs w:val="false"/>
                <w:sz w:val="18"/>
                <w:szCs w:val="18"/>
              </w:rPr>
              <w:t xml:space="preserve">1.14</w:t>
            </w:r>
          </w:p>
        </w:tc>
        <w:tc>
          <w:tcPr>
            <w:tcW w:type="dxa" w:w="1310"/>
            <w:tcBorders>
              <w:top w:val="single" w:color="C9C8C3" w:sz="4"/>
              <w:left w:val="single" w:color="C9C8C3" w:sz="4"/>
              <w:bottom w:val="single" w:color="C9C8C3" w:sz="4"/>
              <w:right w:val="single" w:color="C9C8C3" w:sz="4"/>
            </w:tcBorders>
            <w:tcMar>
              <w:top w:type="dxa" w:w="50"/>
              <w:left w:type="dxa" w:w="90"/>
              <w:bottom w:type="dxa" w:w="50"/>
              <w:right w:type="dxa" w:w="90"/>
            </w:tcMar>
          </w:tcPr>
          <w:p>
            <w:pPr>
              <w:keepNext/>
              <w:jc w:val="right"/>
            </w:pPr>
            <w:r>
              <w:rPr>
                <w:rFonts w:ascii="Calibri" w:cs="Calibri" w:eastAsia="Calibri" w:hAnsi="Calibri"/>
                <w:b w:val="false"/>
                <w:bCs w:val="false"/>
                <w:sz w:val="18"/>
                <w:szCs w:val="18"/>
              </w:rPr>
              <w:t xml:space="preserve">5.94</w:t>
            </w:r>
          </w:p>
        </w:tc>
      </w:tr>
      <w:tr>
        <w:trPr>
          <w:cantSplit/>
        </w:trPr>
        <w:tc>
          <w:tcPr>
            <w:tcW w:type="dxa" w:w="1150"/>
            <w:tcBorders>
              <w:top w:val="single" w:color="C9C8C3" w:sz="4"/>
              <w:left w:val="single" w:color="C9C8C3" w:sz="4"/>
              <w:bottom w:val="single" w:color="C9C8C3" w:sz="4"/>
              <w:right w:val="single" w:color="C9C8C3" w:sz="4"/>
            </w:tcBorders>
            <w:tcMar>
              <w:top w:type="dxa" w:w="50"/>
              <w:left w:type="dxa" w:w="90"/>
              <w:bottom w:type="dxa" w:w="50"/>
              <w:right w:type="dxa" w:w="90"/>
            </w:tcMar>
          </w:tcPr>
          <w:p>
            <w:pPr>
              <w:keepNext/>
              <w:jc w:val="left"/>
            </w:pPr>
            <w:r>
              <w:rPr>
                <w:rFonts w:ascii="Calibri" w:cs="Calibri" w:eastAsia="Calibri" w:hAnsi="Calibri"/>
                <w:b w:val="false"/>
                <w:bCs w:val="false"/>
                <w:sz w:val="18"/>
                <w:szCs w:val="18"/>
              </w:rPr>
              <w:t xml:space="preserve">2020-21</w:t>
            </w:r>
          </w:p>
        </w:tc>
        <w:tc>
          <w:tcPr>
            <w:tcW w:type="dxa" w:w="1100"/>
            <w:tcBorders>
              <w:top w:val="single" w:color="C9C8C3" w:sz="4"/>
              <w:left w:val="single" w:color="C9C8C3" w:sz="4"/>
              <w:bottom w:val="single" w:color="C9C8C3" w:sz="4"/>
              <w:right w:val="single" w:color="C9C8C3" w:sz="4"/>
            </w:tcBorders>
            <w:tcMar>
              <w:top w:type="dxa" w:w="50"/>
              <w:left w:type="dxa" w:w="90"/>
              <w:bottom w:type="dxa" w:w="50"/>
              <w:right w:type="dxa" w:w="90"/>
            </w:tcMar>
          </w:tcPr>
          <w:p>
            <w:pPr>
              <w:keepNext/>
              <w:jc w:val="right"/>
            </w:pPr>
            <w:r>
              <w:rPr>
                <w:rFonts w:ascii="Calibri" w:cs="Calibri" w:eastAsia="Calibri" w:hAnsi="Calibri"/>
                <w:b w:val="false"/>
                <w:bCs w:val="false"/>
                <w:sz w:val="18"/>
                <w:szCs w:val="18"/>
              </w:rPr>
              <w:t xml:space="preserve">56</w:t>
            </w:r>
          </w:p>
        </w:tc>
        <w:tc>
          <w:tcPr>
            <w:tcW w:type="dxa" w:w="1500"/>
            <w:tcBorders>
              <w:top w:val="single" w:color="C9C8C3" w:sz="4"/>
              <w:left w:val="single" w:color="C9C8C3" w:sz="4"/>
              <w:bottom w:val="single" w:color="C9C8C3" w:sz="4"/>
              <w:right w:val="single" w:color="C9C8C3" w:sz="4"/>
            </w:tcBorders>
            <w:tcMar>
              <w:top w:type="dxa" w:w="50"/>
              <w:left w:type="dxa" w:w="90"/>
              <w:bottom w:type="dxa" w:w="50"/>
              <w:right w:type="dxa" w:w="90"/>
            </w:tcMar>
          </w:tcPr>
          <w:p>
            <w:pPr>
              <w:keepNext/>
              <w:jc w:val="right"/>
            </w:pPr>
            <w:r>
              <w:rPr>
                <w:rFonts w:ascii="Calibri" w:cs="Calibri" w:eastAsia="Calibri" w:hAnsi="Calibri"/>
                <w:b w:val="false"/>
                <w:bCs w:val="false"/>
                <w:sz w:val="18"/>
                <w:szCs w:val="18"/>
              </w:rPr>
              <w:t xml:space="preserve">5.15</w:t>
            </w:r>
          </w:p>
        </w:tc>
        <w:tc>
          <w:tcPr>
            <w:tcW w:type="dxa" w:w="1700"/>
            <w:tcBorders>
              <w:top w:val="single" w:color="C9C8C3" w:sz="4"/>
              <w:left w:val="single" w:color="C9C8C3" w:sz="4"/>
              <w:bottom w:val="single" w:color="C9C8C3" w:sz="4"/>
              <w:right w:val="single" w:color="C9C8C3" w:sz="4"/>
            </w:tcBorders>
            <w:tcMar>
              <w:top w:type="dxa" w:w="50"/>
              <w:left w:type="dxa" w:w="90"/>
              <w:bottom w:type="dxa" w:w="50"/>
              <w:right w:type="dxa" w:w="90"/>
            </w:tcMar>
          </w:tcPr>
          <w:p>
            <w:pPr>
              <w:keepNext/>
              <w:jc w:val="left"/>
            </w:pPr>
            <w:r>
              <w:rPr>
                <w:rFonts w:ascii="Calibri" w:cs="Calibri" w:eastAsia="Calibri" w:hAnsi="Calibri"/>
                <w:b w:val="false"/>
                <w:bCs w:val="false"/>
                <w:sz w:val="18"/>
                <w:szCs w:val="18"/>
              </w:rPr>
              <w:t xml:space="preserve">Qualifying offer</w:t>
            </w:r>
          </w:p>
        </w:tc>
        <w:tc>
          <w:tcPr>
            <w:tcW w:type="dxa" w:w="1300"/>
            <w:tcBorders>
              <w:top w:val="single" w:color="C9C8C3" w:sz="4"/>
              <w:left w:val="single" w:color="C9C8C3" w:sz="4"/>
              <w:bottom w:val="single" w:color="C9C8C3" w:sz="4"/>
              <w:right w:val="single" w:color="C9C8C3" w:sz="4"/>
            </w:tcBorders>
            <w:tcMar>
              <w:top w:type="dxa" w:w="50"/>
              <w:left w:type="dxa" w:w="90"/>
              <w:bottom w:type="dxa" w:w="50"/>
              <w:right w:type="dxa" w:w="90"/>
            </w:tcMar>
          </w:tcPr>
          <w:p>
            <w:pPr>
              <w:keepNext/>
              <w:jc w:val="right"/>
            </w:pPr>
            <w:r>
              <w:rPr>
                <w:rFonts w:ascii="Calibri" w:cs="Calibri" w:eastAsia="Calibri" w:hAnsi="Calibri"/>
                <w:b w:val="false"/>
                <w:bCs w:val="false"/>
                <w:sz w:val="18"/>
                <w:szCs w:val="18"/>
              </w:rPr>
              <w:t xml:space="preserve">9.04</w:t>
            </w:r>
          </w:p>
        </w:tc>
        <w:tc>
          <w:tcPr>
            <w:tcW w:type="dxa" w:w="1300"/>
            <w:tcBorders>
              <w:top w:val="single" w:color="C9C8C3" w:sz="4"/>
              <w:left w:val="single" w:color="C9C8C3" w:sz="4"/>
              <w:bottom w:val="single" w:color="C9C8C3" w:sz="4"/>
              <w:right w:val="single" w:color="C9C8C3" w:sz="4"/>
            </w:tcBorders>
            <w:tcMar>
              <w:top w:type="dxa" w:w="50"/>
              <w:left w:type="dxa" w:w="90"/>
              <w:bottom w:type="dxa" w:w="50"/>
              <w:right w:type="dxa" w:w="90"/>
            </w:tcMar>
          </w:tcPr>
          <w:p>
            <w:pPr>
              <w:keepNext/>
              <w:jc w:val="right"/>
            </w:pPr>
            <w:r>
              <w:rPr>
                <w:rFonts w:ascii="Calibri" w:cs="Calibri" w:eastAsia="Calibri" w:hAnsi="Calibri"/>
                <w:b w:val="false"/>
                <w:bCs w:val="false"/>
                <w:sz w:val="18"/>
                <w:szCs w:val="18"/>
              </w:rPr>
              <w:t xml:space="preserve">1.17</w:t>
            </w:r>
          </w:p>
        </w:tc>
        <w:tc>
          <w:tcPr>
            <w:tcW w:type="dxa" w:w="1310"/>
            <w:tcBorders>
              <w:top w:val="single" w:color="C9C8C3" w:sz="4"/>
              <w:left w:val="single" w:color="C9C8C3" w:sz="4"/>
              <w:bottom w:val="single" w:color="C9C8C3" w:sz="4"/>
              <w:right w:val="single" w:color="C9C8C3" w:sz="4"/>
            </w:tcBorders>
            <w:tcMar>
              <w:top w:type="dxa" w:w="50"/>
              <w:left w:type="dxa" w:w="90"/>
              <w:bottom w:type="dxa" w:w="50"/>
              <w:right w:type="dxa" w:w="90"/>
            </w:tcMar>
          </w:tcPr>
          <w:p>
            <w:pPr>
              <w:keepNext/>
              <w:jc w:val="right"/>
            </w:pPr>
            <w:r>
              <w:rPr>
                <w:rFonts w:ascii="Calibri" w:cs="Calibri" w:eastAsia="Calibri" w:hAnsi="Calibri"/>
                <w:b w:val="false"/>
                <w:bCs w:val="false"/>
                <w:sz w:val="18"/>
                <w:szCs w:val="18"/>
              </w:rPr>
              <w:t xml:space="preserve">7.86</w:t>
            </w:r>
          </w:p>
        </w:tc>
      </w:tr>
      <w:tr>
        <w:trPr>
          <w:cantSplit/>
        </w:trPr>
        <w:tc>
          <w:tcPr>
            <w:tcW w:type="dxa" w:w="1150"/>
            <w:tcBorders>
              <w:top w:val="single" w:color="C9C8C3" w:sz="4"/>
              <w:left w:val="single" w:color="C9C8C3" w:sz="4"/>
              <w:bottom w:val="single" w:color="C9C8C3" w:sz="4"/>
              <w:right w:val="single" w:color="C9C8C3" w:sz="4"/>
            </w:tcBorders>
            <w:tcMar>
              <w:top w:type="dxa" w:w="50"/>
              <w:left w:type="dxa" w:w="90"/>
              <w:bottom w:type="dxa" w:w="50"/>
              <w:right w:type="dxa" w:w="90"/>
            </w:tcMar>
          </w:tcPr>
          <w:p>
            <w:pPr>
              <w:keepNext/>
              <w:jc w:val="left"/>
            </w:pPr>
            <w:r>
              <w:rPr>
                <w:rFonts w:ascii="Calibri" w:cs="Calibri" w:eastAsia="Calibri" w:hAnsi="Calibri"/>
                <w:b w:val="false"/>
                <w:bCs w:val="false"/>
                <w:sz w:val="18"/>
                <w:szCs w:val="18"/>
              </w:rPr>
              <w:t xml:space="preserve">2021-22</w:t>
            </w:r>
          </w:p>
        </w:tc>
        <w:tc>
          <w:tcPr>
            <w:tcW w:type="dxa" w:w="1100"/>
            <w:tcBorders>
              <w:top w:val="single" w:color="C9C8C3" w:sz="4"/>
              <w:left w:val="single" w:color="C9C8C3" w:sz="4"/>
              <w:bottom w:val="single" w:color="C9C8C3" w:sz="4"/>
              <w:right w:val="single" w:color="C9C8C3" w:sz="4"/>
            </w:tcBorders>
            <w:tcMar>
              <w:top w:type="dxa" w:w="50"/>
              <w:left w:type="dxa" w:w="90"/>
              <w:bottom w:type="dxa" w:w="50"/>
              <w:right w:type="dxa" w:w="90"/>
            </w:tcMar>
          </w:tcPr>
          <w:p>
            <w:pPr>
              <w:keepNext/>
              <w:jc w:val="right"/>
            </w:pPr>
            <w:r>
              <w:rPr>
                <w:rFonts w:ascii="Calibri" w:cs="Calibri" w:eastAsia="Calibri" w:hAnsi="Calibri"/>
                <w:b w:val="false"/>
                <w:bCs w:val="false"/>
                <w:sz w:val="18"/>
                <w:szCs w:val="18"/>
              </w:rPr>
              <w:t xml:space="preserve">66</w:t>
            </w:r>
          </w:p>
        </w:tc>
        <w:tc>
          <w:tcPr>
            <w:tcW w:type="dxa" w:w="1500"/>
            <w:tcBorders>
              <w:top w:val="single" w:color="C9C8C3" w:sz="4"/>
              <w:left w:val="single" w:color="C9C8C3" w:sz="4"/>
              <w:bottom w:val="single" w:color="C9C8C3" w:sz="4"/>
              <w:right w:val="single" w:color="C9C8C3" w:sz="4"/>
            </w:tcBorders>
            <w:tcMar>
              <w:top w:type="dxa" w:w="50"/>
              <w:left w:type="dxa" w:w="90"/>
              <w:bottom w:type="dxa" w:w="50"/>
              <w:right w:type="dxa" w:w="90"/>
            </w:tcMar>
          </w:tcPr>
          <w:p>
            <w:pPr>
              <w:keepNext/>
              <w:jc w:val="right"/>
            </w:pPr>
            <w:r>
              <w:rPr>
                <w:rFonts w:ascii="Calibri" w:cs="Calibri" w:eastAsia="Calibri" w:hAnsi="Calibri"/>
                <w:b w:val="false"/>
                <w:bCs w:val="false"/>
                <w:sz w:val="18"/>
                <w:szCs w:val="18"/>
              </w:rPr>
              <w:t xml:space="preserve">2.02</w:t>
            </w:r>
          </w:p>
        </w:tc>
        <w:tc>
          <w:tcPr>
            <w:tcW w:type="dxa" w:w="1700"/>
            <w:tcBorders>
              <w:top w:val="single" w:color="C9C8C3" w:sz="4"/>
              <w:left w:val="single" w:color="C9C8C3" w:sz="4"/>
              <w:bottom w:val="single" w:color="C9C8C3" w:sz="4"/>
              <w:right w:val="single" w:color="C9C8C3" w:sz="4"/>
            </w:tcBorders>
            <w:tcMar>
              <w:top w:type="dxa" w:w="50"/>
              <w:left w:type="dxa" w:w="90"/>
              <w:bottom w:type="dxa" w:w="50"/>
              <w:right w:type="dxa" w:w="90"/>
            </w:tcMar>
          </w:tcPr>
          <w:p>
            <w:pPr>
              <w:keepNext/>
              <w:jc w:val="left"/>
            </w:pPr>
            <w:r>
              <w:rPr>
                <w:rFonts w:ascii="Calibri" w:cs="Calibri" w:eastAsia="Calibri" w:hAnsi="Calibri"/>
                <w:b w:val="false"/>
                <w:bCs w:val="false"/>
                <w:sz w:val="18"/>
                <w:szCs w:val="18"/>
              </w:rPr>
              <w:t xml:space="preserve">Qualifying offer</w:t>
            </w:r>
          </w:p>
        </w:tc>
        <w:tc>
          <w:tcPr>
            <w:tcW w:type="dxa" w:w="1300"/>
            <w:tcBorders>
              <w:top w:val="single" w:color="C9C8C3" w:sz="4"/>
              <w:left w:val="single" w:color="C9C8C3" w:sz="4"/>
              <w:bottom w:val="single" w:color="C9C8C3" w:sz="4"/>
              <w:right w:val="single" w:color="C9C8C3" w:sz="4"/>
            </w:tcBorders>
            <w:tcMar>
              <w:top w:type="dxa" w:w="50"/>
              <w:left w:type="dxa" w:w="90"/>
              <w:bottom w:type="dxa" w:w="50"/>
              <w:right w:type="dxa" w:w="90"/>
            </w:tcMar>
          </w:tcPr>
          <w:p>
            <w:pPr>
              <w:keepNext/>
              <w:jc w:val="right"/>
            </w:pPr>
            <w:r>
              <w:rPr>
                <w:rFonts w:ascii="Calibri" w:cs="Calibri" w:eastAsia="Calibri" w:hAnsi="Calibri"/>
                <w:b w:val="false"/>
                <w:bCs w:val="false"/>
                <w:sz w:val="18"/>
                <w:szCs w:val="18"/>
              </w:rPr>
              <w:t xml:space="preserve">3.80</w:t>
            </w:r>
          </w:p>
        </w:tc>
        <w:tc>
          <w:tcPr>
            <w:tcW w:type="dxa" w:w="1300"/>
            <w:tcBorders>
              <w:top w:val="single" w:color="C9C8C3" w:sz="4"/>
              <w:left w:val="single" w:color="C9C8C3" w:sz="4"/>
              <w:bottom w:val="single" w:color="C9C8C3" w:sz="4"/>
              <w:right w:val="single" w:color="C9C8C3" w:sz="4"/>
            </w:tcBorders>
            <w:tcMar>
              <w:top w:type="dxa" w:w="50"/>
              <w:left w:type="dxa" w:w="90"/>
              <w:bottom w:type="dxa" w:w="50"/>
              <w:right w:type="dxa" w:w="90"/>
            </w:tcMar>
          </w:tcPr>
          <w:p>
            <w:pPr>
              <w:keepNext/>
              <w:jc w:val="right"/>
            </w:pPr>
            <w:r>
              <w:rPr>
                <w:rFonts w:ascii="Calibri" w:cs="Calibri" w:eastAsia="Calibri" w:hAnsi="Calibri"/>
                <w:b w:val="false"/>
                <w:bCs w:val="false"/>
                <w:sz w:val="18"/>
                <w:szCs w:val="18"/>
              </w:rPr>
              <w:t xml:space="preserve">1.17</w:t>
            </w:r>
          </w:p>
        </w:tc>
        <w:tc>
          <w:tcPr>
            <w:tcW w:type="dxa" w:w="1310"/>
            <w:tcBorders>
              <w:top w:val="single" w:color="C9C8C3" w:sz="4"/>
              <w:left w:val="single" w:color="C9C8C3" w:sz="4"/>
              <w:bottom w:val="single" w:color="C9C8C3" w:sz="4"/>
              <w:right w:val="single" w:color="C9C8C3" w:sz="4"/>
            </w:tcBorders>
            <w:tcMar>
              <w:top w:type="dxa" w:w="50"/>
              <w:left w:type="dxa" w:w="90"/>
              <w:bottom w:type="dxa" w:w="50"/>
              <w:right w:type="dxa" w:w="90"/>
            </w:tcMar>
          </w:tcPr>
          <w:p>
            <w:pPr>
              <w:keepNext/>
              <w:jc w:val="right"/>
            </w:pPr>
            <w:r>
              <w:rPr>
                <w:rFonts w:ascii="Calibri" w:cs="Calibri" w:eastAsia="Calibri" w:hAnsi="Calibri"/>
                <w:b w:val="false"/>
                <w:bCs w:val="false"/>
                <w:sz w:val="18"/>
                <w:szCs w:val="18"/>
              </w:rPr>
              <w:t xml:space="preserve">2.63</w:t>
            </w:r>
          </w:p>
        </w:tc>
      </w:tr>
      <w:tr>
        <w:trPr>
          <w:cantSplit/>
        </w:trPr>
        <w:tc>
          <w:tcPr>
            <w:tcW w:type="dxa" w:w="1150"/>
            <w:tcBorders>
              <w:top w:val="single" w:color="C9C8C3" w:sz="4"/>
              <w:left w:val="single" w:color="C9C8C3" w:sz="4"/>
              <w:bottom w:val="single" w:color="C9C8C3" w:sz="4"/>
              <w:right w:val="single" w:color="C9C8C3" w:sz="4"/>
            </w:tcBorders>
            <w:tcMar>
              <w:top w:type="dxa" w:w="50"/>
              <w:left w:type="dxa" w:w="90"/>
              <w:bottom w:type="dxa" w:w="50"/>
              <w:right w:type="dxa" w:w="90"/>
            </w:tcMar>
          </w:tcPr>
          <w:p>
            <w:pPr>
              <w:keepNext/>
              <w:jc w:val="left"/>
            </w:pPr>
            <w:r>
              <w:rPr>
                <w:rFonts w:ascii="Calibri" w:cs="Calibri" w:eastAsia="Calibri" w:hAnsi="Calibri"/>
                <w:b w:val="false"/>
                <w:bCs w:val="false"/>
                <w:sz w:val="18"/>
                <w:szCs w:val="18"/>
              </w:rPr>
              <w:t xml:space="preserve">2022-23</w:t>
            </w:r>
          </w:p>
        </w:tc>
        <w:tc>
          <w:tcPr>
            <w:tcW w:type="dxa" w:w="1100"/>
            <w:tcBorders>
              <w:top w:val="single" w:color="C9C8C3" w:sz="4"/>
              <w:left w:val="single" w:color="C9C8C3" w:sz="4"/>
              <w:bottom w:val="single" w:color="C9C8C3" w:sz="4"/>
              <w:right w:val="single" w:color="C9C8C3" w:sz="4"/>
            </w:tcBorders>
            <w:tcMar>
              <w:top w:type="dxa" w:w="50"/>
              <w:left w:type="dxa" w:w="90"/>
              <w:bottom w:type="dxa" w:w="50"/>
              <w:right w:type="dxa" w:w="90"/>
            </w:tcMar>
          </w:tcPr>
          <w:p>
            <w:pPr>
              <w:keepNext/>
              <w:jc w:val="right"/>
            </w:pPr>
            <w:r>
              <w:rPr>
                <w:rFonts w:ascii="Calibri" w:cs="Calibri" w:eastAsia="Calibri" w:hAnsi="Calibri"/>
                <w:b w:val="false"/>
                <w:bCs w:val="false"/>
                <w:sz w:val="18"/>
                <w:szCs w:val="18"/>
              </w:rPr>
              <w:t xml:space="preserve">82</w:t>
            </w:r>
          </w:p>
        </w:tc>
        <w:tc>
          <w:tcPr>
            <w:tcW w:type="dxa" w:w="1500"/>
            <w:tcBorders>
              <w:top w:val="single" w:color="C9C8C3" w:sz="4"/>
              <w:left w:val="single" w:color="C9C8C3" w:sz="4"/>
              <w:bottom w:val="single" w:color="C9C8C3" w:sz="4"/>
              <w:right w:val="single" w:color="C9C8C3" w:sz="4"/>
            </w:tcBorders>
            <w:tcMar>
              <w:top w:type="dxa" w:w="50"/>
              <w:left w:type="dxa" w:w="90"/>
              <w:bottom w:type="dxa" w:w="50"/>
              <w:right w:type="dxa" w:w="90"/>
            </w:tcMar>
          </w:tcPr>
          <w:p>
            <w:pPr>
              <w:keepNext/>
              <w:jc w:val="right"/>
            </w:pPr>
            <w:r>
              <w:rPr>
                <w:rFonts w:ascii="Calibri" w:cs="Calibri" w:eastAsia="Calibri" w:hAnsi="Calibri"/>
                <w:b w:val="false"/>
                <w:bCs w:val="false"/>
                <w:sz w:val="18"/>
                <w:szCs w:val="18"/>
              </w:rPr>
              <w:t xml:space="preserve">6.69</w:t>
            </w:r>
          </w:p>
        </w:tc>
        <w:tc>
          <w:tcPr>
            <w:tcW w:type="dxa" w:w="1700"/>
            <w:tcBorders>
              <w:top w:val="single" w:color="C9C8C3" w:sz="4"/>
              <w:left w:val="single" w:color="C9C8C3" w:sz="4"/>
              <w:bottom w:val="single" w:color="C9C8C3" w:sz="4"/>
              <w:right w:val="single" w:color="C9C8C3" w:sz="4"/>
            </w:tcBorders>
            <w:tcMar>
              <w:top w:type="dxa" w:w="50"/>
              <w:left w:type="dxa" w:w="90"/>
              <w:bottom w:type="dxa" w:w="50"/>
              <w:right w:type="dxa" w:w="90"/>
            </w:tcMar>
          </w:tcPr>
          <w:p>
            <w:pPr>
              <w:keepNext/>
              <w:jc w:val="left"/>
            </w:pPr>
            <w:r>
              <w:rPr>
                <w:rFonts w:ascii="Calibri" w:cs="Calibri" w:eastAsia="Calibri" w:hAnsi="Calibri"/>
                <w:b w:val="false"/>
                <w:bCs w:val="false"/>
                <w:sz w:val="18"/>
                <w:szCs w:val="18"/>
              </w:rPr>
              <w:t xml:space="preserve">Qualifying offer</w:t>
            </w:r>
          </w:p>
        </w:tc>
        <w:tc>
          <w:tcPr>
            <w:tcW w:type="dxa" w:w="1300"/>
            <w:tcBorders>
              <w:top w:val="single" w:color="C9C8C3" w:sz="4"/>
              <w:left w:val="single" w:color="C9C8C3" w:sz="4"/>
              <w:bottom w:val="single" w:color="C9C8C3" w:sz="4"/>
              <w:right w:val="single" w:color="C9C8C3" w:sz="4"/>
            </w:tcBorders>
            <w:tcMar>
              <w:top w:type="dxa" w:w="50"/>
              <w:left w:type="dxa" w:w="90"/>
              <w:bottom w:type="dxa" w:w="50"/>
              <w:right w:type="dxa" w:w="90"/>
            </w:tcMar>
          </w:tcPr>
          <w:p>
            <w:pPr>
              <w:keepNext/>
              <w:jc w:val="right"/>
            </w:pPr>
            <w:r>
              <w:rPr>
                <w:rFonts w:ascii="Calibri" w:cs="Calibri" w:eastAsia="Calibri" w:hAnsi="Calibri"/>
                <w:b w:val="false"/>
                <w:bCs w:val="false"/>
                <w:sz w:val="18"/>
                <w:szCs w:val="18"/>
              </w:rPr>
              <w:t xml:space="preserve">11.59</w:t>
            </w:r>
          </w:p>
        </w:tc>
        <w:tc>
          <w:tcPr>
            <w:tcW w:type="dxa" w:w="1300"/>
            <w:tcBorders>
              <w:top w:val="single" w:color="C9C8C3" w:sz="4"/>
              <w:left w:val="single" w:color="C9C8C3" w:sz="4"/>
              <w:bottom w:val="single" w:color="C9C8C3" w:sz="4"/>
              <w:right w:val="single" w:color="C9C8C3" w:sz="4"/>
            </w:tcBorders>
            <w:tcMar>
              <w:top w:type="dxa" w:w="50"/>
              <w:left w:type="dxa" w:w="90"/>
              <w:bottom w:type="dxa" w:w="50"/>
              <w:right w:type="dxa" w:w="90"/>
            </w:tcMar>
          </w:tcPr>
          <w:p>
            <w:pPr>
              <w:keepNext/>
              <w:jc w:val="right"/>
            </w:pPr>
            <w:r>
              <w:rPr>
                <w:rFonts w:ascii="Calibri" w:cs="Calibri" w:eastAsia="Calibri" w:hAnsi="Calibri"/>
                <w:b w:val="false"/>
                <w:bCs w:val="false"/>
                <w:sz w:val="18"/>
                <w:szCs w:val="18"/>
              </w:rPr>
              <w:t xml:space="preserve">1.16</w:t>
            </w:r>
          </w:p>
        </w:tc>
        <w:tc>
          <w:tcPr>
            <w:tcW w:type="dxa" w:w="1310"/>
            <w:tcBorders>
              <w:top w:val="single" w:color="C9C8C3" w:sz="4"/>
              <w:left w:val="single" w:color="C9C8C3" w:sz="4"/>
              <w:bottom w:val="single" w:color="C9C8C3" w:sz="4"/>
              <w:right w:val="single" w:color="C9C8C3" w:sz="4"/>
            </w:tcBorders>
            <w:tcMar>
              <w:top w:type="dxa" w:w="50"/>
              <w:left w:type="dxa" w:w="90"/>
              <w:bottom w:type="dxa" w:w="50"/>
              <w:right w:type="dxa" w:w="90"/>
            </w:tcMar>
          </w:tcPr>
          <w:p>
            <w:pPr>
              <w:keepNext/>
              <w:jc w:val="right"/>
            </w:pPr>
            <w:r>
              <w:rPr>
                <w:rFonts w:ascii="Calibri" w:cs="Calibri" w:eastAsia="Calibri" w:hAnsi="Calibri"/>
                <w:b w:val="false"/>
                <w:bCs w:val="false"/>
                <w:sz w:val="18"/>
                <w:szCs w:val="18"/>
              </w:rPr>
              <w:t xml:space="preserve">10.43</w:t>
            </w:r>
          </w:p>
        </w:tc>
      </w:tr>
      <w:tr>
        <w:trPr>
          <w:cantSplit/>
        </w:trPr>
        <w:tc>
          <w:tcPr>
            <w:tcW w:type="dxa" w:w="1150"/>
            <w:tcBorders>
              <w:top w:val="single" w:color="C9C8C3" w:sz="4"/>
              <w:left w:val="single" w:color="C9C8C3" w:sz="4"/>
              <w:bottom w:val="single" w:color="C9C8C3" w:sz="4"/>
              <w:right w:val="single" w:color="C9C8C3" w:sz="4"/>
            </w:tcBorders>
            <w:tcMar>
              <w:top w:type="dxa" w:w="50"/>
              <w:left w:type="dxa" w:w="90"/>
              <w:bottom w:type="dxa" w:w="50"/>
              <w:right w:type="dxa" w:w="90"/>
            </w:tcMar>
          </w:tcPr>
          <w:p>
            <w:pPr>
              <w:keepNext w:val="false"/>
              <w:jc w:val="left"/>
            </w:pPr>
            <w:r>
              <w:rPr>
                <w:rFonts w:ascii="Calibri" w:cs="Calibri" w:eastAsia="Calibri" w:hAnsi="Calibri"/>
                <w:b w:val="false"/>
                <w:bCs w:val="false"/>
                <w:sz w:val="18"/>
                <w:szCs w:val="18"/>
              </w:rPr>
              <w:t xml:space="preserve">Total</w:t>
            </w:r>
          </w:p>
        </w:tc>
        <w:tc>
          <w:tcPr>
            <w:tcW w:type="dxa" w:w="1100"/>
            <w:tcBorders>
              <w:top w:val="single" w:color="C9C8C3" w:sz="4"/>
              <w:left w:val="single" w:color="C9C8C3" w:sz="4"/>
              <w:bottom w:val="single" w:color="C9C8C3" w:sz="4"/>
              <w:right w:val="single" w:color="C9C8C3" w:sz="4"/>
            </w:tcBorders>
            <w:tcMar>
              <w:top w:type="dxa" w:w="50"/>
              <w:left w:type="dxa" w:w="90"/>
              <w:bottom w:type="dxa" w:w="50"/>
              <w:right w:type="dxa" w:w="90"/>
            </w:tcMar>
          </w:tcPr>
          <w:p>
            <w:pPr>
              <w:keepNext w:val="false"/>
              <w:jc w:val="right"/>
            </w:pPr>
          </w:p>
        </w:tc>
        <w:tc>
          <w:tcPr>
            <w:tcW w:type="dxa" w:w="1500"/>
            <w:tcBorders>
              <w:top w:val="single" w:color="C9C8C3" w:sz="4"/>
              <w:left w:val="single" w:color="C9C8C3" w:sz="4"/>
              <w:bottom w:val="single" w:color="C9C8C3" w:sz="4"/>
              <w:right w:val="single" w:color="C9C8C3" w:sz="4"/>
            </w:tcBorders>
            <w:tcMar>
              <w:top w:type="dxa" w:w="50"/>
              <w:left w:type="dxa" w:w="90"/>
              <w:bottom w:type="dxa" w:w="50"/>
              <w:right w:type="dxa" w:w="90"/>
            </w:tcMar>
          </w:tcPr>
          <w:p>
            <w:pPr>
              <w:keepNext w:val="false"/>
              <w:jc w:val="right"/>
            </w:pPr>
          </w:p>
        </w:tc>
        <w:tc>
          <w:tcPr>
            <w:tcW w:type="dxa" w:w="1700"/>
            <w:tcBorders>
              <w:top w:val="single" w:color="C9C8C3" w:sz="4"/>
              <w:left w:val="single" w:color="C9C8C3" w:sz="4"/>
              <w:bottom w:val="single" w:color="C9C8C3" w:sz="4"/>
              <w:right w:val="single" w:color="C9C8C3" w:sz="4"/>
            </w:tcBorders>
            <w:tcMar>
              <w:top w:type="dxa" w:w="50"/>
              <w:left w:type="dxa" w:w="90"/>
              <w:bottom w:type="dxa" w:w="50"/>
              <w:right w:type="dxa" w:w="90"/>
            </w:tcMar>
          </w:tcPr>
          <w:p>
            <w:pPr>
              <w:keepNext w:val="false"/>
              <w:jc w:val="left"/>
            </w:pPr>
          </w:p>
        </w:tc>
        <w:tc>
          <w:tcPr>
            <w:tcW w:type="dxa" w:w="1300"/>
            <w:tcBorders>
              <w:top w:val="single" w:color="C9C8C3" w:sz="4"/>
              <w:left w:val="single" w:color="C9C8C3" w:sz="4"/>
              <w:bottom w:val="single" w:color="C9C8C3" w:sz="4"/>
              <w:right w:val="single" w:color="C9C8C3" w:sz="4"/>
            </w:tcBorders>
            <w:tcMar>
              <w:top w:type="dxa" w:w="50"/>
              <w:left w:type="dxa" w:w="90"/>
              <w:bottom w:type="dxa" w:w="50"/>
              <w:right w:type="dxa" w:w="90"/>
            </w:tcMar>
          </w:tcPr>
          <w:p>
            <w:pPr>
              <w:keepNext w:val="false"/>
              <w:jc w:val="right"/>
            </w:pPr>
            <w:r>
              <w:rPr>
                <w:rFonts w:ascii="Calibri" w:cs="Calibri" w:eastAsia="Calibri" w:hAnsi="Calibri"/>
                <w:b w:val="false"/>
                <w:bCs w:val="false"/>
                <w:sz w:val="18"/>
                <w:szCs w:val="18"/>
              </w:rPr>
              <w:t xml:space="preserve">50.93</w:t>
            </w:r>
          </w:p>
        </w:tc>
        <w:tc>
          <w:tcPr>
            <w:tcW w:type="dxa" w:w="1300"/>
            <w:tcBorders>
              <w:top w:val="single" w:color="C9C8C3" w:sz="4"/>
              <w:left w:val="single" w:color="C9C8C3" w:sz="4"/>
              <w:bottom w:val="single" w:color="C9C8C3" w:sz="4"/>
              <w:right w:val="single" w:color="C9C8C3" w:sz="4"/>
            </w:tcBorders>
            <w:tcMar>
              <w:top w:type="dxa" w:w="50"/>
              <w:left w:type="dxa" w:w="90"/>
              <w:bottom w:type="dxa" w:w="50"/>
              <w:right w:type="dxa" w:w="90"/>
            </w:tcMar>
          </w:tcPr>
          <w:p>
            <w:pPr>
              <w:keepNext w:val="false"/>
              <w:jc w:val="right"/>
            </w:pPr>
            <w:r>
              <w:rPr>
                <w:rFonts w:ascii="Calibri" w:cs="Calibri" w:eastAsia="Calibri" w:hAnsi="Calibri"/>
                <w:b w:val="false"/>
                <w:bCs w:val="false"/>
                <w:sz w:val="18"/>
                <w:szCs w:val="18"/>
              </w:rPr>
              <w:t xml:space="preserve">8.14</w:t>
            </w:r>
          </w:p>
        </w:tc>
        <w:tc>
          <w:tcPr>
            <w:tcW w:type="dxa" w:w="1310"/>
            <w:tcBorders>
              <w:top w:val="single" w:color="C9C8C3" w:sz="4"/>
              <w:left w:val="single" w:color="C9C8C3" w:sz="4"/>
              <w:bottom w:val="single" w:color="C9C8C3" w:sz="4"/>
              <w:right w:val="single" w:color="C9C8C3" w:sz="4"/>
            </w:tcBorders>
            <w:tcMar>
              <w:top w:type="dxa" w:w="50"/>
              <w:left w:type="dxa" w:w="90"/>
              <w:bottom w:type="dxa" w:w="50"/>
              <w:right w:type="dxa" w:w="90"/>
            </w:tcMar>
          </w:tcPr>
          <w:p>
            <w:pPr>
              <w:keepNext w:val="false"/>
              <w:jc w:val="right"/>
            </w:pPr>
            <w:r>
              <w:rPr>
                <w:rFonts w:ascii="Calibri" w:cs="Calibri" w:eastAsia="Calibri" w:hAnsi="Calibri"/>
                <w:b w:val="false"/>
                <w:bCs w:val="false"/>
                <w:sz w:val="18"/>
                <w:szCs w:val="18"/>
              </w:rPr>
              <w:t xml:space="preserve">42.79</w:t>
            </w:r>
          </w:p>
        </w:tc>
      </w:tr>
    </w:tbl>
    <w:p>
      <w:pPr>
        <w:spacing w:after="200" w:before="40"/>
      </w:pPr>
      <w:r>
        <w:rPr>
          <w:rFonts w:ascii="Calibri" w:cs="Calibri" w:eastAsia="Calibri" w:hAnsi="Calibri"/>
          <w:color w:val="52514E"/>
          <w:sz w:val="18"/>
          <w:szCs w:val="18"/>
        </w:rPr>
        <w:t xml:space="preserve">Value and cost are shares of each season's cap, stated at the 2025-26 cap of $95.5M; with 3% cap growth and 3% discounting, summing cap shares is the player model's convention. WAR in 2019-20 and 2020-21 is scaled to 82 games. Source: pick_curve.py, pick_curve_seasons.csv.</w:t>
      </w:r>
    </w:p>
    <w:p>
      <w:pPr>
        <w:pStyle w:val="Heading1"/>
        <w:spacing w:after="120" w:before="280"/>
      </w:pPr>
      <w:r>
        <w:rPr>
          <w:rFonts w:ascii="Calibri" w:cs="Calibri" w:eastAsia="Calibri" w:hAnsi="Calibri"/>
        </w:rPr>
        <w:t xml:space="preserve">4. From Players to a Curve</w:t>
      </w:r>
    </w:p>
    <w:p>
      <w:pPr>
        <w:spacing w:after="120" w:before="60" w:line="276"/>
        <w:jc w:val="left"/>
      </w:pPr>
      <w:r>
        <w:rPr>
          <w:rFonts w:ascii="Calibri" w:cs="Calibri" w:eastAsia="Calibri" w:hAnsi="Calibri"/>
        </w:rPr>
        <w:t xml:space="preserve">With each drafted player priced, the next step relates the dollars to the draft slot. A single slot has only 11 picks across the eleven drafts, far too few to average on its own, but about 2,300 picks are enough to estimate one smooth relationship between slot and value. The question is which shape that relationship should take.</w:t>
      </w:r>
    </w:p>
    <w:p>
      <w:pPr>
        <w:pStyle w:val="Heading2"/>
        <w:spacing w:after="80" w:before="200"/>
      </w:pPr>
      <w:r>
        <w:rPr>
          <w:rFonts w:ascii="Calibri" w:cs="Calibri" w:eastAsia="Calibri" w:hAnsi="Calibri"/>
        </w:rPr>
        <w:t xml:space="preserve">Which shape</w:t>
      </w:r>
    </w:p>
    <w:p>
      <w:pPr>
        <w:spacing w:after="120" w:before="60" w:line="276"/>
        <w:jc w:val="left"/>
      </w:pPr>
      <w:r>
        <w:rPr>
          <w:rFonts w:ascii="Calibri" w:cs="Calibri" w:eastAsia="Calibri" w:hAnsi="Calibri"/>
        </w:rPr>
        <w:t xml:space="preserve">Figure 1 shows the average surplus at each pick and three of the candidate curves. Value falls steeply over the first ten picks and then flattens into a long tail where most picks return little or nothing. A straight line in pick number cannot follow that, and it values the first overall pick at $4.6M against the $28.6M that first picks actually returned.</w:t>
      </w:r>
    </w:p>
    <w:p>
      <w:pPr>
        <w:keepNext/>
        <w:spacing w:before="120"/>
        <w:jc w:val="center"/>
      </w:pPr>
      <w:r>
        <w:drawing>
          <wp:inline distT="0" distB="0" distL="0" distR="0">
            <wp:extent cx="4953000" cy="2809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953000" cy="2809875"/>
                    </a:xfrm>
                    <a:prstGeom prst="rect">
                      <a:avLst/>
                    </a:prstGeom>
                  </pic:spPr>
                </pic:pic>
              </a:graphicData>
            </a:graphic>
          </wp:inline>
        </w:drawing>
      </w:r>
    </w:p>
    <w:p>
      <w:pPr>
        <w:spacing w:after="200" w:before="40"/>
      </w:pPr>
      <w:r>
        <w:rPr>
          <w:rFonts w:ascii="Calibri" w:cs="Calibri" w:eastAsia="Calibri" w:hAnsi="Calibri"/>
          <w:color w:val="52514E"/>
          <w:sz w:val="18"/>
          <w:szCs w:val="18"/>
        </w:rPr>
        <w:t xml:space="preserve">Figure 1. Average surplus at each pick (skaters, 2007-2017) and three fitted shapes, at an average draft year. Each shape is fitted with draft-year indicators. Source: pick_curve_shape_test.py.</w:t>
      </w:r>
    </w:p>
    <w:p>
      <w:pPr>
        <w:spacing w:after="120" w:before="60" w:line="276"/>
        <w:jc w:val="left"/>
      </w:pPr>
      <w:r>
        <w:rPr>
          <w:rFonts w:ascii="Calibri" w:cs="Calibri" w:eastAsia="Calibri" w:hAnsi="Calibri"/>
        </w:rPr>
        <w:t xml:space="preserve">Seven shapes were scored on how well they predict a draft they were not fitted on: each is fitted on ten drafts, predicts each pick in the eleventh, and the process repeats for all eleven. The rule for choosing was set before the run. A shape with more fitted numbers must predict better than each simpler shape in at least 1,950 of 2,000 redraws of the eleven drafts; otherwise the simpler one stands. Table 3 gives the results.</w:t>
      </w:r>
    </w:p>
    <w:p>
      <w:pPr>
        <w:keepNext/>
        <w:spacing w:after="60" w:before="160"/>
      </w:pPr>
      <w:r>
        <w:rPr>
          <w:rFonts w:ascii="Calibri" w:cs="Calibri" w:eastAsia="Calibri" w:hAnsi="Calibri"/>
          <w:b/>
          <w:bCs/>
          <w:sz w:val="20"/>
          <w:szCs w:val="20"/>
        </w:rPr>
        <w:t xml:space="preserve">Table 3. Held-out miss by shape ($M a pick; skaters, 2007-2017)</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00"/>
        <w:gridCol w:w="1000"/>
        <w:gridCol w:w="1100"/>
        <w:gridCol w:w="1400"/>
        <w:gridCol w:w="2760"/>
      </w:tblGrid>
      <w:tr>
        <w:trPr>
          <w:tblHeader/>
        </w:trPr>
        <w:tc>
          <w:tcPr>
            <w:tcW w:type="dxa" w:w="3100"/>
            <w:tcBorders>
              <w:top w:val="single" w:color="C9C8C3" w:sz="4"/>
              <w:left w:val="single" w:color="C9C8C3" w:sz="4"/>
              <w:bottom w:val="single" w:color="C9C8C3" w:sz="4"/>
              <w:right w:val="single" w:color="C9C8C3" w:sz="4"/>
            </w:tcBorders>
            <w:shd w:fill="EFEEEA" w:color="auto" w:val="clear"/>
            <w:tcMar>
              <w:top w:type="dxa" w:w="50"/>
              <w:left w:type="dxa" w:w="90"/>
              <w:bottom w:type="dxa" w:w="50"/>
              <w:right w:type="dxa" w:w="90"/>
            </w:tcMar>
          </w:tcPr>
          <w:p>
            <w:pPr>
              <w:keepNext/>
              <w:jc w:val="left"/>
            </w:pPr>
            <w:r>
              <w:rPr>
                <w:rFonts w:ascii="Calibri" w:cs="Calibri" w:eastAsia="Calibri" w:hAnsi="Calibri"/>
                <w:b/>
                <w:bCs/>
                <w:sz w:val="18"/>
                <w:szCs w:val="18"/>
              </w:rPr>
              <w:t xml:space="preserve">Shape</w:t>
            </w:r>
          </w:p>
        </w:tc>
        <w:tc>
          <w:tcPr>
            <w:tcW w:type="dxa" w:w="1000"/>
            <w:tcBorders>
              <w:top w:val="single" w:color="C9C8C3" w:sz="4"/>
              <w:left w:val="single" w:color="C9C8C3" w:sz="4"/>
              <w:bottom w:val="single" w:color="C9C8C3" w:sz="4"/>
              <w:right w:val="single" w:color="C9C8C3" w:sz="4"/>
            </w:tcBorders>
            <w:shd w:fill="EFEEEA" w:color="auto" w:val="clear"/>
            <w:tcMar>
              <w:top w:type="dxa" w:w="50"/>
              <w:left w:type="dxa" w:w="90"/>
              <w:bottom w:type="dxa" w:w="50"/>
              <w:right w:type="dxa" w:w="90"/>
            </w:tcMar>
          </w:tcPr>
          <w:p>
            <w:pPr>
              <w:keepNext/>
              <w:jc w:val="right"/>
            </w:pPr>
            <w:r>
              <w:rPr>
                <w:rFonts w:ascii="Calibri" w:cs="Calibri" w:eastAsia="Calibri" w:hAnsi="Calibri"/>
                <w:b/>
                <w:bCs/>
                <w:sz w:val="18"/>
                <w:szCs w:val="18"/>
              </w:rPr>
              <w:t xml:space="preserve">Numbers fitted</w:t>
            </w:r>
          </w:p>
        </w:tc>
        <w:tc>
          <w:tcPr>
            <w:tcW w:type="dxa" w:w="1100"/>
            <w:tcBorders>
              <w:top w:val="single" w:color="C9C8C3" w:sz="4"/>
              <w:left w:val="single" w:color="C9C8C3" w:sz="4"/>
              <w:bottom w:val="single" w:color="C9C8C3" w:sz="4"/>
              <w:right w:val="single" w:color="C9C8C3" w:sz="4"/>
            </w:tcBorders>
            <w:shd w:fill="EFEEEA" w:color="auto" w:val="clear"/>
            <w:tcMar>
              <w:top w:type="dxa" w:w="50"/>
              <w:left w:type="dxa" w:w="90"/>
              <w:bottom w:type="dxa" w:w="50"/>
              <w:right w:type="dxa" w:w="90"/>
            </w:tcMar>
          </w:tcPr>
          <w:p>
            <w:pPr>
              <w:keepNext/>
              <w:jc w:val="right"/>
            </w:pPr>
            <w:r>
              <w:rPr>
                <w:rFonts w:ascii="Calibri" w:cs="Calibri" w:eastAsia="Calibri" w:hAnsi="Calibri"/>
                <w:b/>
                <w:bCs/>
                <w:sz w:val="18"/>
                <w:szCs w:val="18"/>
              </w:rPr>
              <w:t xml:space="preserve">Miss (RMSE)</w:t>
            </w:r>
          </w:p>
        </w:tc>
        <w:tc>
          <w:tcPr>
            <w:tcW w:type="dxa" w:w="1400"/>
            <w:tcBorders>
              <w:top w:val="single" w:color="C9C8C3" w:sz="4"/>
              <w:left w:val="single" w:color="C9C8C3" w:sz="4"/>
              <w:bottom w:val="single" w:color="C9C8C3" w:sz="4"/>
              <w:right w:val="single" w:color="C9C8C3" w:sz="4"/>
            </w:tcBorders>
            <w:shd w:fill="EFEEEA" w:color="auto" w:val="clear"/>
            <w:tcMar>
              <w:top w:type="dxa" w:w="50"/>
              <w:left w:type="dxa" w:w="90"/>
              <w:bottom w:type="dxa" w:w="50"/>
              <w:right w:type="dxa" w:w="90"/>
            </w:tcMar>
          </w:tcPr>
          <w:p>
            <w:pPr>
              <w:keepNext/>
              <w:jc w:val="right"/>
            </w:pPr>
            <w:r>
              <w:rPr>
                <w:rFonts w:ascii="Calibri" w:cs="Calibri" w:eastAsia="Calibri" w:hAnsi="Calibri"/>
                <w:b/>
                <w:bCs/>
                <w:sz w:val="18"/>
                <w:szCs w:val="18"/>
              </w:rPr>
              <w:t xml:space="preserve">Beats log curve in</w:t>
            </w:r>
          </w:p>
        </w:tc>
        <w:tc>
          <w:tcPr>
            <w:tcW w:type="dxa" w:w="2760"/>
            <w:tcBorders>
              <w:top w:val="single" w:color="C9C8C3" w:sz="4"/>
              <w:left w:val="single" w:color="C9C8C3" w:sz="4"/>
              <w:bottom w:val="single" w:color="C9C8C3" w:sz="4"/>
              <w:right w:val="single" w:color="C9C8C3" w:sz="4"/>
            </w:tcBorders>
            <w:shd w:fill="EFEEEA" w:color="auto" w:val="clear"/>
            <w:tcMar>
              <w:top w:type="dxa" w:w="50"/>
              <w:left w:type="dxa" w:w="90"/>
              <w:bottom w:type="dxa" w:w="50"/>
              <w:right w:type="dxa" w:w="90"/>
            </w:tcMar>
          </w:tcPr>
          <w:p>
            <w:pPr>
              <w:keepNext/>
              <w:jc w:val="left"/>
            </w:pPr>
            <w:r>
              <w:rPr>
                <w:rFonts w:ascii="Calibri" w:cs="Calibri" w:eastAsia="Calibri" w:hAnsi="Calibri"/>
                <w:b/>
                <w:bCs/>
                <w:sz w:val="18"/>
                <w:szCs w:val="18"/>
              </w:rPr>
              <w:t xml:space="preserve">Note</w:t>
            </w:r>
          </w:p>
        </w:tc>
      </w:tr>
      <w:tr>
        <w:trPr>
          <w:cantSplit/>
        </w:trPr>
        <w:tc>
          <w:tcPr>
            <w:tcW w:type="dxa" w:w="3100"/>
            <w:tcBorders>
              <w:top w:val="single" w:color="C9C8C3" w:sz="4"/>
              <w:left w:val="single" w:color="C9C8C3" w:sz="4"/>
              <w:bottom w:val="single" w:color="C9C8C3" w:sz="4"/>
              <w:right w:val="single" w:color="C9C8C3" w:sz="4"/>
            </w:tcBorders>
            <w:tcMar>
              <w:top w:type="dxa" w:w="50"/>
              <w:left w:type="dxa" w:w="90"/>
              <w:bottom w:type="dxa" w:w="50"/>
              <w:right w:type="dxa" w:w="90"/>
            </w:tcMar>
          </w:tcPr>
          <w:p>
            <w:pPr>
              <w:keepNext/>
              <w:jc w:val="left"/>
            </w:pPr>
            <w:r>
              <w:rPr>
                <w:rFonts w:ascii="Calibri" w:cs="Calibri" w:eastAsia="Calibri" w:hAnsi="Calibri"/>
                <w:b w:val="false"/>
                <w:bCs w:val="false"/>
                <w:sz w:val="18"/>
                <w:szCs w:val="18"/>
              </w:rPr>
              <w:t xml:space="preserve">Straight line in pick number</w:t>
            </w:r>
          </w:p>
        </w:tc>
        <w:tc>
          <w:tcPr>
            <w:tcW w:type="dxa" w:w="1000"/>
            <w:tcBorders>
              <w:top w:val="single" w:color="C9C8C3" w:sz="4"/>
              <w:left w:val="single" w:color="C9C8C3" w:sz="4"/>
              <w:bottom w:val="single" w:color="C9C8C3" w:sz="4"/>
              <w:right w:val="single" w:color="C9C8C3" w:sz="4"/>
            </w:tcBorders>
            <w:tcMar>
              <w:top w:type="dxa" w:w="50"/>
              <w:left w:type="dxa" w:w="90"/>
              <w:bottom w:type="dxa" w:w="50"/>
              <w:right w:type="dxa" w:w="90"/>
            </w:tcMar>
          </w:tcPr>
          <w:p>
            <w:pPr>
              <w:keepNext/>
              <w:jc w:val="right"/>
            </w:pPr>
            <w:r>
              <w:rPr>
                <w:rFonts w:ascii="Calibri" w:cs="Calibri" w:eastAsia="Calibri" w:hAnsi="Calibri"/>
                <w:b w:val="false"/>
                <w:bCs w:val="false"/>
                <w:sz w:val="18"/>
                <w:szCs w:val="18"/>
              </w:rPr>
              <w:t xml:space="preserve">2</w:t>
            </w:r>
          </w:p>
        </w:tc>
        <w:tc>
          <w:tcPr>
            <w:tcW w:type="dxa" w:w="1100"/>
            <w:tcBorders>
              <w:top w:val="single" w:color="C9C8C3" w:sz="4"/>
              <w:left w:val="single" w:color="C9C8C3" w:sz="4"/>
              <w:bottom w:val="single" w:color="C9C8C3" w:sz="4"/>
              <w:right w:val="single" w:color="C9C8C3" w:sz="4"/>
            </w:tcBorders>
            <w:tcMar>
              <w:top w:type="dxa" w:w="50"/>
              <w:left w:type="dxa" w:w="90"/>
              <w:bottom w:type="dxa" w:w="50"/>
              <w:right w:type="dxa" w:w="90"/>
            </w:tcMar>
          </w:tcPr>
          <w:p>
            <w:pPr>
              <w:keepNext/>
              <w:jc w:val="right"/>
            </w:pPr>
            <w:r>
              <w:rPr>
                <w:rFonts w:ascii="Calibri" w:cs="Calibri" w:eastAsia="Calibri" w:hAnsi="Calibri"/>
                <w:b w:val="false"/>
                <w:bCs w:val="false"/>
                <w:sz w:val="18"/>
                <w:szCs w:val="18"/>
              </w:rPr>
              <w:t xml:space="preserve">5.712</w:t>
            </w:r>
          </w:p>
        </w:tc>
        <w:tc>
          <w:tcPr>
            <w:tcW w:type="dxa" w:w="1400"/>
            <w:tcBorders>
              <w:top w:val="single" w:color="C9C8C3" w:sz="4"/>
              <w:left w:val="single" w:color="C9C8C3" w:sz="4"/>
              <w:bottom w:val="single" w:color="C9C8C3" w:sz="4"/>
              <w:right w:val="single" w:color="C9C8C3" w:sz="4"/>
            </w:tcBorders>
            <w:tcMar>
              <w:top w:type="dxa" w:w="50"/>
              <w:left w:type="dxa" w:w="90"/>
              <w:bottom w:type="dxa" w:w="50"/>
              <w:right w:type="dxa" w:w="90"/>
            </w:tcMar>
          </w:tcPr>
          <w:p>
            <w:pPr>
              <w:keepNext/>
              <w:jc w:val="right"/>
            </w:pPr>
            <w:r>
              <w:rPr>
                <w:rFonts w:ascii="Calibri" w:cs="Calibri" w:eastAsia="Calibri" w:hAnsi="Calibri"/>
                <w:b w:val="false"/>
                <w:bCs w:val="false"/>
                <w:sz w:val="18"/>
                <w:szCs w:val="18"/>
              </w:rPr>
              <w:t xml:space="preserve">0 of 2,000</w:t>
            </w:r>
          </w:p>
        </w:tc>
        <w:tc>
          <w:tcPr>
            <w:tcW w:type="dxa" w:w="2760"/>
            <w:tcBorders>
              <w:top w:val="single" w:color="C9C8C3" w:sz="4"/>
              <w:left w:val="single" w:color="C9C8C3" w:sz="4"/>
              <w:bottom w:val="single" w:color="C9C8C3" w:sz="4"/>
              <w:right w:val="single" w:color="C9C8C3" w:sz="4"/>
            </w:tcBorders>
            <w:tcMar>
              <w:top w:type="dxa" w:w="50"/>
              <w:left w:type="dxa" w:w="90"/>
              <w:bottom w:type="dxa" w:w="50"/>
              <w:right w:type="dxa" w:w="90"/>
            </w:tcMar>
          </w:tcPr>
          <w:p>
            <w:pPr>
              <w:keepNext/>
              <w:jc w:val="left"/>
            </w:pPr>
            <w:r>
              <w:rPr>
                <w:rFonts w:ascii="Calibri" w:cs="Calibri" w:eastAsia="Calibri" w:hAnsi="Calibri"/>
                <w:b w:val="false"/>
                <w:bCs w:val="false"/>
                <w:sz w:val="18"/>
                <w:szCs w:val="18"/>
              </w:rPr>
              <w:t xml:space="preserve">Values #1 at $4.6M</w:t>
            </w:r>
          </w:p>
        </w:tc>
      </w:tr>
      <w:tr>
        <w:trPr>
          <w:cantSplit/>
        </w:trPr>
        <w:tc>
          <w:tcPr>
            <w:tcW w:type="dxa" w:w="3100"/>
            <w:tcBorders>
              <w:top w:val="single" w:color="C9C8C3" w:sz="4"/>
              <w:left w:val="single" w:color="C9C8C3" w:sz="4"/>
              <w:bottom w:val="single" w:color="C9C8C3" w:sz="4"/>
              <w:right w:val="single" w:color="C9C8C3" w:sz="4"/>
            </w:tcBorders>
            <w:tcMar>
              <w:top w:type="dxa" w:w="50"/>
              <w:left w:type="dxa" w:w="90"/>
              <w:bottom w:type="dxa" w:w="50"/>
              <w:right w:type="dxa" w:w="90"/>
            </w:tcMar>
          </w:tcPr>
          <w:p>
            <w:pPr>
              <w:keepNext/>
              <w:jc w:val="left"/>
            </w:pPr>
            <w:r>
              <w:rPr>
                <w:rFonts w:ascii="Calibri" w:cs="Calibri" w:eastAsia="Calibri" w:hAnsi="Calibri"/>
                <w:b w:val="false"/>
                <w:bCs w:val="false"/>
                <w:sz w:val="18"/>
                <w:szCs w:val="18"/>
              </w:rPr>
              <w:t xml:space="preserve">Log of the pick</w:t>
            </w:r>
          </w:p>
        </w:tc>
        <w:tc>
          <w:tcPr>
            <w:tcW w:type="dxa" w:w="1000"/>
            <w:tcBorders>
              <w:top w:val="single" w:color="C9C8C3" w:sz="4"/>
              <w:left w:val="single" w:color="C9C8C3" w:sz="4"/>
              <w:bottom w:val="single" w:color="C9C8C3" w:sz="4"/>
              <w:right w:val="single" w:color="C9C8C3" w:sz="4"/>
            </w:tcBorders>
            <w:tcMar>
              <w:top w:type="dxa" w:w="50"/>
              <w:left w:type="dxa" w:w="90"/>
              <w:bottom w:type="dxa" w:w="50"/>
              <w:right w:type="dxa" w:w="90"/>
            </w:tcMar>
          </w:tcPr>
          <w:p>
            <w:pPr>
              <w:keepNext/>
              <w:jc w:val="right"/>
            </w:pPr>
            <w:r>
              <w:rPr>
                <w:rFonts w:ascii="Calibri" w:cs="Calibri" w:eastAsia="Calibri" w:hAnsi="Calibri"/>
                <w:b w:val="false"/>
                <w:bCs w:val="false"/>
                <w:sz w:val="18"/>
                <w:szCs w:val="18"/>
              </w:rPr>
              <w:t xml:space="preserve">2</w:t>
            </w:r>
          </w:p>
        </w:tc>
        <w:tc>
          <w:tcPr>
            <w:tcW w:type="dxa" w:w="1100"/>
            <w:tcBorders>
              <w:top w:val="single" w:color="C9C8C3" w:sz="4"/>
              <w:left w:val="single" w:color="C9C8C3" w:sz="4"/>
              <w:bottom w:val="single" w:color="C9C8C3" w:sz="4"/>
              <w:right w:val="single" w:color="C9C8C3" w:sz="4"/>
            </w:tcBorders>
            <w:tcMar>
              <w:top w:type="dxa" w:w="50"/>
              <w:left w:type="dxa" w:w="90"/>
              <w:bottom w:type="dxa" w:w="50"/>
              <w:right w:type="dxa" w:w="90"/>
            </w:tcMar>
          </w:tcPr>
          <w:p>
            <w:pPr>
              <w:keepNext/>
              <w:jc w:val="right"/>
            </w:pPr>
            <w:r>
              <w:rPr>
                <w:rFonts w:ascii="Calibri" w:cs="Calibri" w:eastAsia="Calibri" w:hAnsi="Calibri"/>
                <w:b w:val="false"/>
                <w:bCs w:val="false"/>
                <w:sz w:val="18"/>
                <w:szCs w:val="18"/>
              </w:rPr>
              <w:t xml:space="preserve">5.384</w:t>
            </w:r>
          </w:p>
        </w:tc>
        <w:tc>
          <w:tcPr>
            <w:tcW w:type="dxa" w:w="1400"/>
            <w:tcBorders>
              <w:top w:val="single" w:color="C9C8C3" w:sz="4"/>
              <w:left w:val="single" w:color="C9C8C3" w:sz="4"/>
              <w:bottom w:val="single" w:color="C9C8C3" w:sz="4"/>
              <w:right w:val="single" w:color="C9C8C3" w:sz="4"/>
            </w:tcBorders>
            <w:tcMar>
              <w:top w:type="dxa" w:w="50"/>
              <w:left w:type="dxa" w:w="90"/>
              <w:bottom w:type="dxa" w:w="50"/>
              <w:right w:type="dxa" w:w="90"/>
            </w:tcMar>
          </w:tcPr>
          <w:p>
            <w:pPr>
              <w:keepNext/>
              <w:jc w:val="right"/>
            </w:pPr>
            <w:r>
              <w:rPr>
                <w:rFonts w:ascii="Calibri" w:cs="Calibri" w:eastAsia="Calibri" w:hAnsi="Calibri"/>
                <w:b w:val="false"/>
                <w:bCs w:val="false"/>
                <w:sz w:val="18"/>
                <w:szCs w:val="18"/>
              </w:rPr>
              <w:t xml:space="preserve">-</w:t>
            </w:r>
          </w:p>
        </w:tc>
        <w:tc>
          <w:tcPr>
            <w:tcW w:type="dxa" w:w="2760"/>
            <w:tcBorders>
              <w:top w:val="single" w:color="C9C8C3" w:sz="4"/>
              <w:left w:val="single" w:color="C9C8C3" w:sz="4"/>
              <w:bottom w:val="single" w:color="C9C8C3" w:sz="4"/>
              <w:right w:val="single" w:color="C9C8C3" w:sz="4"/>
            </w:tcBorders>
            <w:tcMar>
              <w:top w:type="dxa" w:w="50"/>
              <w:left w:type="dxa" w:w="90"/>
              <w:bottom w:type="dxa" w:w="50"/>
              <w:right w:type="dxa" w:w="90"/>
            </w:tcMar>
          </w:tcPr>
          <w:p>
            <w:pPr>
              <w:keepNext/>
              <w:jc w:val="left"/>
            </w:pPr>
            <w:r>
              <w:rPr>
                <w:rFonts w:ascii="Calibri" w:cs="Calibri" w:eastAsia="Calibri" w:hAnsi="Calibri"/>
                <w:b w:val="false"/>
                <w:bCs w:val="false"/>
                <w:sz w:val="18"/>
                <w:szCs w:val="18"/>
              </w:rPr>
              <w:t xml:space="preserve">Values #1 at $13.2M</w:t>
            </w:r>
          </w:p>
        </w:tc>
      </w:tr>
      <w:tr>
        <w:trPr>
          <w:cantSplit/>
        </w:trPr>
        <w:tc>
          <w:tcPr>
            <w:tcW w:type="dxa" w:w="3100"/>
            <w:tcBorders>
              <w:top w:val="single" w:color="C9C8C3" w:sz="4"/>
              <w:left w:val="single" w:color="C9C8C3" w:sz="4"/>
              <w:bottom w:val="single" w:color="C9C8C3" w:sz="4"/>
              <w:right w:val="single" w:color="C9C8C3" w:sz="4"/>
            </w:tcBorders>
            <w:tcMar>
              <w:top w:type="dxa" w:w="50"/>
              <w:left w:type="dxa" w:w="90"/>
              <w:bottom w:type="dxa" w:w="50"/>
              <w:right w:type="dxa" w:w="90"/>
            </w:tcMar>
          </w:tcPr>
          <w:p>
            <w:pPr>
              <w:keepNext/>
              <w:jc w:val="left"/>
            </w:pPr>
            <w:r>
              <w:rPr>
                <w:rFonts w:ascii="Calibri" w:cs="Calibri" w:eastAsia="Calibri" w:hAnsi="Calibri"/>
                <w:b w:val="false"/>
                <w:bCs w:val="false"/>
                <w:sz w:val="18"/>
                <w:szCs w:val="18"/>
              </w:rPr>
              <w:t xml:space="preserve">Bendable curve, a + b(pick^c - 1)/c</w:t>
            </w:r>
          </w:p>
        </w:tc>
        <w:tc>
          <w:tcPr>
            <w:tcW w:type="dxa" w:w="1000"/>
            <w:tcBorders>
              <w:top w:val="single" w:color="C9C8C3" w:sz="4"/>
              <w:left w:val="single" w:color="C9C8C3" w:sz="4"/>
              <w:bottom w:val="single" w:color="C9C8C3" w:sz="4"/>
              <w:right w:val="single" w:color="C9C8C3" w:sz="4"/>
            </w:tcBorders>
            <w:tcMar>
              <w:top w:type="dxa" w:w="50"/>
              <w:left w:type="dxa" w:w="90"/>
              <w:bottom w:type="dxa" w:w="50"/>
              <w:right w:type="dxa" w:w="90"/>
            </w:tcMar>
          </w:tcPr>
          <w:p>
            <w:pPr>
              <w:keepNext/>
              <w:jc w:val="right"/>
            </w:pPr>
            <w:r>
              <w:rPr>
                <w:rFonts w:ascii="Calibri" w:cs="Calibri" w:eastAsia="Calibri" w:hAnsi="Calibri"/>
                <w:b w:val="false"/>
                <w:bCs w:val="false"/>
                <w:sz w:val="18"/>
                <w:szCs w:val="18"/>
              </w:rPr>
              <w:t xml:space="preserve">3</w:t>
            </w:r>
          </w:p>
        </w:tc>
        <w:tc>
          <w:tcPr>
            <w:tcW w:type="dxa" w:w="1100"/>
            <w:tcBorders>
              <w:top w:val="single" w:color="C9C8C3" w:sz="4"/>
              <w:left w:val="single" w:color="C9C8C3" w:sz="4"/>
              <w:bottom w:val="single" w:color="C9C8C3" w:sz="4"/>
              <w:right w:val="single" w:color="C9C8C3" w:sz="4"/>
            </w:tcBorders>
            <w:tcMar>
              <w:top w:type="dxa" w:w="50"/>
              <w:left w:type="dxa" w:w="90"/>
              <w:bottom w:type="dxa" w:w="50"/>
              <w:right w:type="dxa" w:w="90"/>
            </w:tcMar>
          </w:tcPr>
          <w:p>
            <w:pPr>
              <w:keepNext/>
              <w:jc w:val="right"/>
            </w:pPr>
            <w:r>
              <w:rPr>
                <w:rFonts w:ascii="Calibri" w:cs="Calibri" w:eastAsia="Calibri" w:hAnsi="Calibri"/>
                <w:b w:val="false"/>
                <w:bCs w:val="false"/>
                <w:sz w:val="18"/>
                <w:szCs w:val="18"/>
              </w:rPr>
              <w:t xml:space="preserve">5.219</w:t>
            </w:r>
          </w:p>
        </w:tc>
        <w:tc>
          <w:tcPr>
            <w:tcW w:type="dxa" w:w="1400"/>
            <w:tcBorders>
              <w:top w:val="single" w:color="C9C8C3" w:sz="4"/>
              <w:left w:val="single" w:color="C9C8C3" w:sz="4"/>
              <w:bottom w:val="single" w:color="C9C8C3" w:sz="4"/>
              <w:right w:val="single" w:color="C9C8C3" w:sz="4"/>
            </w:tcBorders>
            <w:tcMar>
              <w:top w:type="dxa" w:w="50"/>
              <w:left w:type="dxa" w:w="90"/>
              <w:bottom w:type="dxa" w:w="50"/>
              <w:right w:type="dxa" w:w="90"/>
            </w:tcMar>
          </w:tcPr>
          <w:p>
            <w:pPr>
              <w:keepNext/>
              <w:jc w:val="right"/>
            </w:pPr>
            <w:r>
              <w:rPr>
                <w:rFonts w:ascii="Calibri" w:cs="Calibri" w:eastAsia="Calibri" w:hAnsi="Calibri"/>
                <w:b w:val="false"/>
                <w:bCs w:val="false"/>
                <w:sz w:val="18"/>
                <w:szCs w:val="18"/>
              </w:rPr>
              <w:t xml:space="preserve">1,946</w:t>
            </w:r>
          </w:p>
        </w:tc>
        <w:tc>
          <w:tcPr>
            <w:tcW w:type="dxa" w:w="2760"/>
            <w:tcBorders>
              <w:top w:val="single" w:color="C9C8C3" w:sz="4"/>
              <w:left w:val="single" w:color="C9C8C3" w:sz="4"/>
              <w:bottom w:val="single" w:color="C9C8C3" w:sz="4"/>
              <w:right w:val="single" w:color="C9C8C3" w:sz="4"/>
            </w:tcBorders>
            <w:tcMar>
              <w:top w:type="dxa" w:w="50"/>
              <w:left w:type="dxa" w:w="90"/>
              <w:bottom w:type="dxa" w:w="50"/>
              <w:right w:type="dxa" w:w="90"/>
            </w:tcMar>
          </w:tcPr>
          <w:p>
            <w:pPr>
              <w:keepNext/>
              <w:jc w:val="left"/>
            </w:pPr>
            <w:r>
              <w:rPr>
                <w:rFonts w:ascii="Calibri" w:cs="Calibri" w:eastAsia="Calibri" w:hAnsi="Calibri"/>
                <w:b w:val="false"/>
                <w:bCs w:val="false"/>
                <w:sz w:val="18"/>
                <w:szCs w:val="18"/>
              </w:rPr>
              <w:t xml:space="preserve">Misses the bar by four</w:t>
            </w:r>
          </w:p>
        </w:tc>
      </w:tr>
      <w:tr>
        <w:trPr>
          <w:cantSplit/>
        </w:trPr>
        <w:tc>
          <w:tcPr>
            <w:tcW w:type="dxa" w:w="3100"/>
            <w:tcBorders>
              <w:top w:val="single" w:color="C9C8C3" w:sz="4"/>
              <w:left w:val="single" w:color="C9C8C3" w:sz="4"/>
              <w:bottom w:val="single" w:color="C9C8C3" w:sz="4"/>
              <w:right w:val="single" w:color="C9C8C3" w:sz="4"/>
            </w:tcBorders>
            <w:tcMar>
              <w:top w:type="dxa" w:w="50"/>
              <w:left w:type="dxa" w:w="90"/>
              <w:bottom w:type="dxa" w:w="50"/>
              <w:right w:type="dxa" w:w="90"/>
            </w:tcMar>
          </w:tcPr>
          <w:p>
            <w:pPr>
              <w:keepNext/>
              <w:jc w:val="left"/>
            </w:pPr>
            <w:r>
              <w:rPr>
                <w:rFonts w:ascii="Calibri" w:cs="Calibri" w:eastAsia="Calibri" w:hAnsi="Calibri"/>
                <w:b w:val="false"/>
                <w:bCs w:val="false"/>
                <w:sz w:val="18"/>
                <w:szCs w:val="18"/>
              </w:rPr>
              <w:t xml:space="preserve">Log plus log squared</w:t>
            </w:r>
          </w:p>
        </w:tc>
        <w:tc>
          <w:tcPr>
            <w:tcW w:type="dxa" w:w="1000"/>
            <w:tcBorders>
              <w:top w:val="single" w:color="C9C8C3" w:sz="4"/>
              <w:left w:val="single" w:color="C9C8C3" w:sz="4"/>
              <w:bottom w:val="single" w:color="C9C8C3" w:sz="4"/>
              <w:right w:val="single" w:color="C9C8C3" w:sz="4"/>
            </w:tcBorders>
            <w:tcMar>
              <w:top w:type="dxa" w:w="50"/>
              <w:left w:type="dxa" w:w="90"/>
              <w:bottom w:type="dxa" w:w="50"/>
              <w:right w:type="dxa" w:w="90"/>
            </w:tcMar>
          </w:tcPr>
          <w:p>
            <w:pPr>
              <w:keepNext/>
              <w:jc w:val="right"/>
            </w:pPr>
            <w:r>
              <w:rPr>
                <w:rFonts w:ascii="Calibri" w:cs="Calibri" w:eastAsia="Calibri" w:hAnsi="Calibri"/>
                <w:b w:val="false"/>
                <w:bCs w:val="false"/>
                <w:sz w:val="18"/>
                <w:szCs w:val="18"/>
              </w:rPr>
              <w:t xml:space="preserve">3</w:t>
            </w:r>
          </w:p>
        </w:tc>
        <w:tc>
          <w:tcPr>
            <w:tcW w:type="dxa" w:w="1100"/>
            <w:tcBorders>
              <w:top w:val="single" w:color="C9C8C3" w:sz="4"/>
              <w:left w:val="single" w:color="C9C8C3" w:sz="4"/>
              <w:bottom w:val="single" w:color="C9C8C3" w:sz="4"/>
              <w:right w:val="single" w:color="C9C8C3" w:sz="4"/>
            </w:tcBorders>
            <w:tcMar>
              <w:top w:type="dxa" w:w="50"/>
              <w:left w:type="dxa" w:w="90"/>
              <w:bottom w:type="dxa" w:w="50"/>
              <w:right w:type="dxa" w:w="90"/>
            </w:tcMar>
          </w:tcPr>
          <w:p>
            <w:pPr>
              <w:keepNext/>
              <w:jc w:val="right"/>
            </w:pPr>
            <w:r>
              <w:rPr>
                <w:rFonts w:ascii="Calibri" w:cs="Calibri" w:eastAsia="Calibri" w:hAnsi="Calibri"/>
                <w:b w:val="false"/>
                <w:bCs w:val="false"/>
                <w:sz w:val="18"/>
                <w:szCs w:val="18"/>
              </w:rPr>
              <w:t xml:space="preserve">5.213</w:t>
            </w:r>
          </w:p>
        </w:tc>
        <w:tc>
          <w:tcPr>
            <w:tcW w:type="dxa" w:w="1400"/>
            <w:tcBorders>
              <w:top w:val="single" w:color="C9C8C3" w:sz="4"/>
              <w:left w:val="single" w:color="C9C8C3" w:sz="4"/>
              <w:bottom w:val="single" w:color="C9C8C3" w:sz="4"/>
              <w:right w:val="single" w:color="C9C8C3" w:sz="4"/>
            </w:tcBorders>
            <w:tcMar>
              <w:top w:type="dxa" w:w="50"/>
              <w:left w:type="dxa" w:w="90"/>
              <w:bottom w:type="dxa" w:w="50"/>
              <w:right w:type="dxa" w:w="90"/>
            </w:tcMar>
          </w:tcPr>
          <w:p>
            <w:pPr>
              <w:keepNext/>
              <w:jc w:val="right"/>
            </w:pPr>
            <w:r>
              <w:rPr>
                <w:rFonts w:ascii="Calibri" w:cs="Calibri" w:eastAsia="Calibri" w:hAnsi="Calibri"/>
                <w:b w:val="false"/>
                <w:bCs w:val="false"/>
                <w:sz w:val="18"/>
                <w:szCs w:val="18"/>
              </w:rPr>
              <w:t xml:space="preserve">1,985</w:t>
            </w:r>
          </w:p>
        </w:tc>
        <w:tc>
          <w:tcPr>
            <w:tcW w:type="dxa" w:w="2760"/>
            <w:tcBorders>
              <w:top w:val="single" w:color="C9C8C3" w:sz="4"/>
              <w:left w:val="single" w:color="C9C8C3" w:sz="4"/>
              <w:bottom w:val="single" w:color="C9C8C3" w:sz="4"/>
              <w:right w:val="single" w:color="C9C8C3" w:sz="4"/>
            </w:tcBorders>
            <w:tcMar>
              <w:top w:type="dxa" w:w="50"/>
              <w:left w:type="dxa" w:w="90"/>
              <w:bottom w:type="dxa" w:w="50"/>
              <w:right w:type="dxa" w:w="90"/>
            </w:tcMar>
          </w:tcPr>
          <w:p>
            <w:pPr>
              <w:keepNext/>
              <w:jc w:val="left"/>
            </w:pPr>
            <w:r>
              <w:rPr>
                <w:rFonts w:ascii="Calibri" w:cs="Calibri" w:eastAsia="Calibri" w:hAnsi="Calibri"/>
                <w:b w:val="false"/>
                <w:bCs w:val="false"/>
                <w:sz w:val="18"/>
                <w:szCs w:val="18"/>
              </w:rPr>
              <w:t xml:space="preserve">Rises after pick 137</w:t>
            </w:r>
          </w:p>
        </w:tc>
      </w:tr>
      <w:tr>
        <w:trPr>
          <w:cantSplit/>
        </w:trPr>
        <w:tc>
          <w:tcPr>
            <w:tcW w:type="dxa" w:w="3100"/>
            <w:tcBorders>
              <w:top w:val="single" w:color="C9C8C3" w:sz="4"/>
              <w:left w:val="single" w:color="C9C8C3" w:sz="4"/>
              <w:bottom w:val="single" w:color="C9C8C3" w:sz="4"/>
              <w:right w:val="single" w:color="C9C8C3" w:sz="4"/>
            </w:tcBorders>
            <w:tcMar>
              <w:top w:type="dxa" w:w="50"/>
              <w:left w:type="dxa" w:w="90"/>
              <w:bottom w:type="dxa" w:w="50"/>
              <w:right w:type="dxa" w:w="90"/>
            </w:tcMar>
          </w:tcPr>
          <w:p>
            <w:pPr>
              <w:keepNext/>
              <w:jc w:val="left"/>
            </w:pPr>
            <w:r>
              <w:rPr>
                <w:rFonts w:ascii="Calibri" w:cs="Calibri" w:eastAsia="Calibri" w:hAnsi="Calibri"/>
                <w:b w:val="false"/>
                <w:bCs w:val="false"/>
                <w:sz w:val="18"/>
                <w:szCs w:val="18"/>
              </w:rPr>
              <w:t xml:space="preserve">Bacon's NHL and star probabilities</w:t>
            </w:r>
          </w:p>
        </w:tc>
        <w:tc>
          <w:tcPr>
            <w:tcW w:type="dxa" w:w="1000"/>
            <w:tcBorders>
              <w:top w:val="single" w:color="C9C8C3" w:sz="4"/>
              <w:left w:val="single" w:color="C9C8C3" w:sz="4"/>
              <w:bottom w:val="single" w:color="C9C8C3" w:sz="4"/>
              <w:right w:val="single" w:color="C9C8C3" w:sz="4"/>
            </w:tcBorders>
            <w:tcMar>
              <w:top w:type="dxa" w:w="50"/>
              <w:left w:type="dxa" w:w="90"/>
              <w:bottom w:type="dxa" w:w="50"/>
              <w:right w:type="dxa" w:w="90"/>
            </w:tcMar>
          </w:tcPr>
          <w:p>
            <w:pPr>
              <w:keepNext/>
              <w:jc w:val="right"/>
            </w:pPr>
            <w:r>
              <w:rPr>
                <w:rFonts w:ascii="Calibri" w:cs="Calibri" w:eastAsia="Calibri" w:hAnsi="Calibri"/>
                <w:b w:val="false"/>
                <w:bCs w:val="false"/>
                <w:sz w:val="18"/>
                <w:szCs w:val="18"/>
              </w:rPr>
              <w:t xml:space="preserve">3</w:t>
            </w:r>
          </w:p>
        </w:tc>
        <w:tc>
          <w:tcPr>
            <w:tcW w:type="dxa" w:w="1100"/>
            <w:tcBorders>
              <w:top w:val="single" w:color="C9C8C3" w:sz="4"/>
              <w:left w:val="single" w:color="C9C8C3" w:sz="4"/>
              <w:bottom w:val="single" w:color="C9C8C3" w:sz="4"/>
              <w:right w:val="single" w:color="C9C8C3" w:sz="4"/>
            </w:tcBorders>
            <w:tcMar>
              <w:top w:type="dxa" w:w="50"/>
              <w:left w:type="dxa" w:w="90"/>
              <w:bottom w:type="dxa" w:w="50"/>
              <w:right w:type="dxa" w:w="90"/>
            </w:tcMar>
          </w:tcPr>
          <w:p>
            <w:pPr>
              <w:keepNext/>
              <w:jc w:val="right"/>
            </w:pPr>
            <w:r>
              <w:rPr>
                <w:rFonts w:ascii="Calibri" w:cs="Calibri" w:eastAsia="Calibri" w:hAnsi="Calibri"/>
                <w:b w:val="false"/>
                <w:bCs w:val="false"/>
                <w:sz w:val="18"/>
                <w:szCs w:val="18"/>
              </w:rPr>
              <w:t xml:space="preserve">5.224</w:t>
            </w:r>
          </w:p>
        </w:tc>
        <w:tc>
          <w:tcPr>
            <w:tcW w:type="dxa" w:w="1400"/>
            <w:tcBorders>
              <w:top w:val="single" w:color="C9C8C3" w:sz="4"/>
              <w:left w:val="single" w:color="C9C8C3" w:sz="4"/>
              <w:bottom w:val="single" w:color="C9C8C3" w:sz="4"/>
              <w:right w:val="single" w:color="C9C8C3" w:sz="4"/>
            </w:tcBorders>
            <w:tcMar>
              <w:top w:type="dxa" w:w="50"/>
              <w:left w:type="dxa" w:w="90"/>
              <w:bottom w:type="dxa" w:w="50"/>
              <w:right w:type="dxa" w:w="90"/>
            </w:tcMar>
          </w:tcPr>
          <w:p>
            <w:pPr>
              <w:keepNext/>
              <w:jc w:val="right"/>
            </w:pPr>
            <w:r>
              <w:rPr>
                <w:rFonts w:ascii="Calibri" w:cs="Calibri" w:eastAsia="Calibri" w:hAnsi="Calibri"/>
                <w:b w:val="false"/>
                <w:bCs w:val="false"/>
                <w:sz w:val="18"/>
                <w:szCs w:val="18"/>
              </w:rPr>
              <w:t xml:space="preserve">1,981</w:t>
            </w:r>
          </w:p>
        </w:tc>
        <w:tc>
          <w:tcPr>
            <w:tcW w:type="dxa" w:w="2760"/>
            <w:tcBorders>
              <w:top w:val="single" w:color="C9C8C3" w:sz="4"/>
              <w:left w:val="single" w:color="C9C8C3" w:sz="4"/>
              <w:bottom w:val="single" w:color="C9C8C3" w:sz="4"/>
              <w:right w:val="single" w:color="C9C8C3" w:sz="4"/>
            </w:tcBorders>
            <w:tcMar>
              <w:top w:type="dxa" w:w="50"/>
              <w:left w:type="dxa" w:w="90"/>
              <w:bottom w:type="dxa" w:w="50"/>
              <w:right w:type="dxa" w:w="90"/>
            </w:tcMar>
          </w:tcPr>
          <w:p>
            <w:pPr>
              <w:keepNext/>
              <w:jc w:val="left"/>
            </w:pPr>
            <w:r>
              <w:rPr>
                <w:rFonts w:ascii="Calibri" w:cs="Calibri" w:eastAsia="Calibri" w:hAnsi="Calibri"/>
                <w:b w:val="false"/>
                <w:bCs w:val="false"/>
                <w:sz w:val="18"/>
                <w:szCs w:val="18"/>
              </w:rPr>
              <w:t xml:space="preserve">Falls throughout; adopted</w:t>
            </w:r>
          </w:p>
        </w:tc>
      </w:tr>
      <w:tr>
        <w:trPr>
          <w:cantSplit/>
        </w:trPr>
        <w:tc>
          <w:tcPr>
            <w:tcW w:type="dxa" w:w="3100"/>
            <w:tcBorders>
              <w:top w:val="single" w:color="C9C8C3" w:sz="4"/>
              <w:left w:val="single" w:color="C9C8C3" w:sz="4"/>
              <w:bottom w:val="single" w:color="C9C8C3" w:sz="4"/>
              <w:right w:val="single" w:color="C9C8C3" w:sz="4"/>
            </w:tcBorders>
            <w:tcMar>
              <w:top w:type="dxa" w:w="50"/>
              <w:left w:type="dxa" w:w="90"/>
              <w:bottom w:type="dxa" w:w="50"/>
              <w:right w:type="dxa" w:w="90"/>
            </w:tcMar>
          </w:tcPr>
          <w:p>
            <w:pPr>
              <w:keepNext/>
              <w:jc w:val="left"/>
            </w:pPr>
            <w:r>
              <w:rPr>
                <w:rFonts w:ascii="Calibri" w:cs="Calibri" w:eastAsia="Calibri" w:hAnsi="Calibri"/>
                <w:b w:val="false"/>
                <w:bCs w:val="false"/>
                <w:sz w:val="18"/>
                <w:szCs w:val="18"/>
              </w:rPr>
              <w:t xml:space="preserve">Two-part: P(plays) × value if he plays</w:t>
            </w:r>
          </w:p>
        </w:tc>
        <w:tc>
          <w:tcPr>
            <w:tcW w:type="dxa" w:w="1000"/>
            <w:tcBorders>
              <w:top w:val="single" w:color="C9C8C3" w:sz="4"/>
              <w:left w:val="single" w:color="C9C8C3" w:sz="4"/>
              <w:bottom w:val="single" w:color="C9C8C3" w:sz="4"/>
              <w:right w:val="single" w:color="C9C8C3" w:sz="4"/>
            </w:tcBorders>
            <w:tcMar>
              <w:top w:type="dxa" w:w="50"/>
              <w:left w:type="dxa" w:w="90"/>
              <w:bottom w:type="dxa" w:w="50"/>
              <w:right w:type="dxa" w:w="90"/>
            </w:tcMar>
          </w:tcPr>
          <w:p>
            <w:pPr>
              <w:keepNext/>
              <w:jc w:val="right"/>
            </w:pPr>
            <w:r>
              <w:rPr>
                <w:rFonts w:ascii="Calibri" w:cs="Calibri" w:eastAsia="Calibri" w:hAnsi="Calibri"/>
                <w:b w:val="false"/>
                <w:bCs w:val="false"/>
                <w:sz w:val="18"/>
                <w:szCs w:val="18"/>
              </w:rPr>
              <w:t xml:space="preserve">4</w:t>
            </w:r>
          </w:p>
        </w:tc>
        <w:tc>
          <w:tcPr>
            <w:tcW w:type="dxa" w:w="1100"/>
            <w:tcBorders>
              <w:top w:val="single" w:color="C9C8C3" w:sz="4"/>
              <w:left w:val="single" w:color="C9C8C3" w:sz="4"/>
              <w:bottom w:val="single" w:color="C9C8C3" w:sz="4"/>
              <w:right w:val="single" w:color="C9C8C3" w:sz="4"/>
            </w:tcBorders>
            <w:tcMar>
              <w:top w:type="dxa" w:w="50"/>
              <w:left w:type="dxa" w:w="90"/>
              <w:bottom w:type="dxa" w:w="50"/>
              <w:right w:type="dxa" w:w="90"/>
            </w:tcMar>
          </w:tcPr>
          <w:p>
            <w:pPr>
              <w:keepNext/>
              <w:jc w:val="right"/>
            </w:pPr>
            <w:r>
              <w:rPr>
                <w:rFonts w:ascii="Calibri" w:cs="Calibri" w:eastAsia="Calibri" w:hAnsi="Calibri"/>
                <w:b w:val="false"/>
                <w:bCs w:val="false"/>
                <w:sz w:val="18"/>
                <w:szCs w:val="18"/>
              </w:rPr>
              <w:t xml:space="preserve">5.324</w:t>
            </w:r>
          </w:p>
        </w:tc>
        <w:tc>
          <w:tcPr>
            <w:tcW w:type="dxa" w:w="1400"/>
            <w:tcBorders>
              <w:top w:val="single" w:color="C9C8C3" w:sz="4"/>
              <w:left w:val="single" w:color="C9C8C3" w:sz="4"/>
              <w:bottom w:val="single" w:color="C9C8C3" w:sz="4"/>
              <w:right w:val="single" w:color="C9C8C3" w:sz="4"/>
            </w:tcBorders>
            <w:tcMar>
              <w:top w:type="dxa" w:w="50"/>
              <w:left w:type="dxa" w:w="90"/>
              <w:bottom w:type="dxa" w:w="50"/>
              <w:right w:type="dxa" w:w="90"/>
            </w:tcMar>
          </w:tcPr>
          <w:p>
            <w:pPr>
              <w:keepNext/>
              <w:jc w:val="right"/>
            </w:pPr>
            <w:r>
              <w:rPr>
                <w:rFonts w:ascii="Calibri" w:cs="Calibri" w:eastAsia="Calibri" w:hAnsi="Calibri"/>
                <w:b w:val="false"/>
                <w:bCs w:val="false"/>
                <w:sz w:val="18"/>
                <w:szCs w:val="18"/>
              </w:rPr>
              <w:t xml:space="preserve">2,000</w:t>
            </w:r>
          </w:p>
        </w:tc>
        <w:tc>
          <w:tcPr>
            <w:tcW w:type="dxa" w:w="2760"/>
            <w:tcBorders>
              <w:top w:val="single" w:color="C9C8C3" w:sz="4"/>
              <w:left w:val="single" w:color="C9C8C3" w:sz="4"/>
              <w:bottom w:val="single" w:color="C9C8C3" w:sz="4"/>
              <w:right w:val="single" w:color="C9C8C3" w:sz="4"/>
            </w:tcBorders>
            <w:tcMar>
              <w:top w:type="dxa" w:w="50"/>
              <w:left w:type="dxa" w:w="90"/>
              <w:bottom w:type="dxa" w:w="50"/>
              <w:right w:type="dxa" w:w="90"/>
            </w:tcMar>
          </w:tcPr>
          <w:p>
            <w:pPr>
              <w:keepNext/>
              <w:jc w:val="left"/>
            </w:pPr>
            <w:r>
              <w:rPr>
                <w:rFonts w:ascii="Calibri" w:cs="Calibri" w:eastAsia="Calibri" w:hAnsi="Calibri"/>
                <w:b w:val="false"/>
                <w:bCs w:val="false"/>
                <w:sz w:val="18"/>
                <w:szCs w:val="18"/>
              </w:rPr>
              <w:t xml:space="preserve">Loses to each three-number shape</w:t>
            </w:r>
          </w:p>
        </w:tc>
      </w:tr>
      <w:tr>
        <w:trPr>
          <w:cantSplit/>
        </w:trPr>
        <w:tc>
          <w:tcPr>
            <w:tcW w:type="dxa" w:w="3100"/>
            <w:tcBorders>
              <w:top w:val="single" w:color="C9C8C3" w:sz="4"/>
              <w:left w:val="single" w:color="C9C8C3" w:sz="4"/>
              <w:bottom w:val="single" w:color="C9C8C3" w:sz="4"/>
              <w:right w:val="single" w:color="C9C8C3" w:sz="4"/>
            </w:tcBorders>
            <w:tcMar>
              <w:top w:type="dxa" w:w="50"/>
              <w:left w:type="dxa" w:w="90"/>
              <w:bottom w:type="dxa" w:w="50"/>
              <w:right w:type="dxa" w:w="90"/>
            </w:tcMar>
          </w:tcPr>
          <w:p>
            <w:pPr>
              <w:keepNext w:val="false"/>
              <w:jc w:val="left"/>
            </w:pPr>
            <w:r>
              <w:rPr>
                <w:rFonts w:ascii="Calibri" w:cs="Calibri" w:eastAsia="Calibri" w:hAnsi="Calibri"/>
                <w:b w:val="false"/>
                <w:bCs w:val="false"/>
                <w:sz w:val="18"/>
                <w:szCs w:val="18"/>
              </w:rPr>
              <w:t xml:space="preserve">Benchmark: the average at each pick, forced to fall</w:t>
            </w:r>
          </w:p>
        </w:tc>
        <w:tc>
          <w:tcPr>
            <w:tcW w:type="dxa" w:w="1000"/>
            <w:tcBorders>
              <w:top w:val="single" w:color="C9C8C3" w:sz="4"/>
              <w:left w:val="single" w:color="C9C8C3" w:sz="4"/>
              <w:bottom w:val="single" w:color="C9C8C3" w:sz="4"/>
              <w:right w:val="single" w:color="C9C8C3" w:sz="4"/>
            </w:tcBorders>
            <w:tcMar>
              <w:top w:type="dxa" w:w="50"/>
              <w:left w:type="dxa" w:w="90"/>
              <w:bottom w:type="dxa" w:w="50"/>
              <w:right w:type="dxa" w:w="90"/>
            </w:tcMar>
          </w:tcPr>
          <w:p>
            <w:pPr>
              <w:keepNext w:val="false"/>
              <w:jc w:val="right"/>
            </w:pPr>
            <w:r>
              <w:rPr>
                <w:rFonts w:ascii="Calibri" w:cs="Calibri" w:eastAsia="Calibri" w:hAnsi="Calibri"/>
                <w:b w:val="false"/>
                <w:bCs w:val="false"/>
                <w:sz w:val="18"/>
                <w:szCs w:val="18"/>
              </w:rPr>
              <w:t xml:space="preserve">-</w:t>
            </w:r>
          </w:p>
        </w:tc>
        <w:tc>
          <w:tcPr>
            <w:tcW w:type="dxa" w:w="1100"/>
            <w:tcBorders>
              <w:top w:val="single" w:color="C9C8C3" w:sz="4"/>
              <w:left w:val="single" w:color="C9C8C3" w:sz="4"/>
              <w:bottom w:val="single" w:color="C9C8C3" w:sz="4"/>
              <w:right w:val="single" w:color="C9C8C3" w:sz="4"/>
            </w:tcBorders>
            <w:tcMar>
              <w:top w:type="dxa" w:w="50"/>
              <w:left w:type="dxa" w:w="90"/>
              <w:bottom w:type="dxa" w:w="50"/>
              <w:right w:type="dxa" w:w="90"/>
            </w:tcMar>
          </w:tcPr>
          <w:p>
            <w:pPr>
              <w:keepNext w:val="false"/>
              <w:jc w:val="right"/>
            </w:pPr>
            <w:r>
              <w:rPr>
                <w:rFonts w:ascii="Calibri" w:cs="Calibri" w:eastAsia="Calibri" w:hAnsi="Calibri"/>
                <w:b w:val="false"/>
                <w:bCs w:val="false"/>
                <w:sz w:val="18"/>
                <w:szCs w:val="18"/>
              </w:rPr>
              <w:t xml:space="preserve">5.258</w:t>
            </w:r>
          </w:p>
        </w:tc>
        <w:tc>
          <w:tcPr>
            <w:tcW w:type="dxa" w:w="1400"/>
            <w:tcBorders>
              <w:top w:val="single" w:color="C9C8C3" w:sz="4"/>
              <w:left w:val="single" w:color="C9C8C3" w:sz="4"/>
              <w:bottom w:val="single" w:color="C9C8C3" w:sz="4"/>
              <w:right w:val="single" w:color="C9C8C3" w:sz="4"/>
            </w:tcBorders>
            <w:tcMar>
              <w:top w:type="dxa" w:w="50"/>
              <w:left w:type="dxa" w:w="90"/>
              <w:bottom w:type="dxa" w:w="50"/>
              <w:right w:type="dxa" w:w="90"/>
            </w:tcMar>
          </w:tcPr>
          <w:p>
            <w:pPr>
              <w:keepNext w:val="false"/>
              <w:jc w:val="right"/>
            </w:pPr>
            <w:r>
              <w:rPr>
                <w:rFonts w:ascii="Calibri" w:cs="Calibri" w:eastAsia="Calibri" w:hAnsi="Calibri"/>
                <w:b w:val="false"/>
                <w:bCs w:val="false"/>
                <w:sz w:val="18"/>
                <w:szCs w:val="18"/>
              </w:rPr>
              <w:t xml:space="preserve">-</w:t>
            </w:r>
          </w:p>
        </w:tc>
        <w:tc>
          <w:tcPr>
            <w:tcW w:type="dxa" w:w="2760"/>
            <w:tcBorders>
              <w:top w:val="single" w:color="C9C8C3" w:sz="4"/>
              <w:left w:val="single" w:color="C9C8C3" w:sz="4"/>
              <w:bottom w:val="single" w:color="C9C8C3" w:sz="4"/>
              <w:right w:val="single" w:color="C9C8C3" w:sz="4"/>
            </w:tcBorders>
            <w:tcMar>
              <w:top w:type="dxa" w:w="50"/>
              <w:left w:type="dxa" w:w="90"/>
              <w:bottom w:type="dxa" w:w="50"/>
              <w:right w:type="dxa" w:w="90"/>
            </w:tcMar>
          </w:tcPr>
          <w:p>
            <w:pPr>
              <w:keepNext w:val="false"/>
              <w:jc w:val="left"/>
            </w:pPr>
            <w:r>
              <w:rPr>
                <w:rFonts w:ascii="Calibri" w:cs="Calibri" w:eastAsia="Calibri" w:hAnsi="Calibri"/>
                <w:b w:val="false"/>
                <w:bCs w:val="false"/>
                <w:sz w:val="18"/>
                <w:szCs w:val="18"/>
              </w:rPr>
              <w:t xml:space="preserve">Reported only</w:t>
            </w:r>
          </w:p>
        </w:tc>
      </w:tr>
    </w:tbl>
    <w:p>
      <w:pPr>
        <w:spacing w:after="200" w:before="40"/>
      </w:pPr>
      <w:r>
        <w:rPr>
          <w:rFonts w:ascii="Calibri" w:cs="Calibri" w:eastAsia="Calibri" w:hAnsi="Calibri"/>
          <w:color w:val="52514E"/>
          <w:sz w:val="18"/>
          <w:szCs w:val="18"/>
        </w:rPr>
        <w:t xml:space="preserve">Miss is the root mean squared error over held-out picks. The bendable curve nests the straight line (c = 1) and the log (c → 0) (Box and Cox, 1964). Source: pick_curve_shape_test.py v1.0.</w:t>
      </w:r>
    </w:p>
    <w:p>
      <w:pPr>
        <w:spacing w:after="120" w:before="60" w:line="276"/>
        <w:jc w:val="left"/>
      </w:pPr>
      <w:r>
        <w:rPr>
          <w:rFonts w:ascii="Calibri" w:cs="Calibri" w:eastAsia="Calibri" w:hAnsi="Calibri"/>
        </w:rPr>
        <w:t xml:space="preserve">The log curve beats the straight line in each of the 2,000 redraws. Three shapes with a third number improve on the log curve by a similar margin, and they differ from each other by less than $0.02M a pick. Of these, log plus log squared cleared the bar but turns back up after pick 137, so it values a seventh-round pick above a fifth-round one; the bendable curve fell four redraws short. Bacon's probabilities cleared the bar and fall throughout. They were adopted because they fit as well as the best flexible curve, they are fixed in advance rather than fitted to these drafts' dollars, and they come from the same provider as the rest of the model's player data. The benchmark, which follows the data pick by pick, predicts held-out drafts worse than the best formulas, so the formulas are not leaving much on the table.</w:t>
      </w:r>
    </w:p>
    <w:p>
      <w:pPr>
        <w:pStyle w:val="Heading2"/>
        <w:spacing w:after="80" w:before="200"/>
      </w:pPr>
      <w:r>
        <w:rPr>
          <w:rFonts w:ascii="Calibri" w:cs="Calibri" w:eastAsia="Calibri" w:hAnsi="Calibri"/>
        </w:rPr>
        <w:t xml:space="preserve">Do our data support Bacon's probabilities?</w:t>
      </w:r>
    </w:p>
    <w:p>
      <w:pPr>
        <w:spacing w:after="120" w:before="60" w:line="276"/>
        <w:jc w:val="left"/>
      </w:pPr>
      <w:r>
        <w:rPr>
          <w:rFonts w:ascii="Calibri" w:cs="Calibri" w:eastAsia="Calibri" w:hAnsi="Calibri"/>
        </w:rPr>
        <w:t xml:space="preserve">Two checks say they do. First, once his probabilities are in the regression, adding the log of the pick adds nothing (coefficient +0.14, standard error 1.21, p = 0.91), and our own slot-only curves land within $0.15M to $0.24M a pick of his on average. Second, Figure 2 applies his star definition to our drafted skaters from the 2007-2015 drafts, whose careers are mostly complete. Reading a star as also needing 200 NHL games, so that a rate over a handful of games does not count, 100 of 1,700 became stars (5.9%) against his 5.3%, and each pick range is within two standard errors of his probability.</w:t>
      </w:r>
    </w:p>
    <w:p>
      <w:pPr>
        <w:keepNext/>
        <w:spacing w:before="120"/>
        <w:jc w:val="center"/>
      </w:pPr>
      <w:r>
        <w:drawing>
          <wp:inline distT="0" distB="0" distL="0" distR="0">
            <wp:extent cx="4953000" cy="2505075"/>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953000" cy="2505075"/>
                    </a:xfrm>
                    <a:prstGeom prst="rect">
                      <a:avLst/>
                    </a:prstGeom>
                  </pic:spPr>
                </pic:pic>
              </a:graphicData>
            </a:graphic>
          </wp:inline>
        </w:drawing>
      </w:r>
    </w:p>
    <w:p>
      <w:pPr>
        <w:spacing w:after="200" w:before="40"/>
      </w:pPr>
      <w:r>
        <w:rPr>
          <w:rFonts w:ascii="Calibri" w:cs="Calibri" w:eastAsia="Calibri" w:hAnsi="Calibri"/>
          <w:color w:val="52514E"/>
          <w:sz w:val="18"/>
          <w:szCs w:val="18"/>
        </w:rPr>
        <w:t xml:space="preserve">Figure 2. Bacon's star probability against the share of our drafted skaters who became stars, by pick range (2007-2015 drafts; bars on our share are two standard errors). Source: pick_star_and_rights_checks.py v1.1.</w:t>
      </w:r>
    </w:p>
    <w:p>
      <w:pPr>
        <w:spacing w:after="120" w:before="60" w:line="276"/>
        <w:jc w:val="left"/>
      </w:pPr>
      <w:r>
        <w:rPr>
          <w:rFonts w:ascii="Calibri" w:cs="Calibri" w:eastAsia="Calibri" w:hAnsi="Calibri"/>
        </w:rPr>
        <w:t xml:space="preserve">These checks are not independent confirmation. His probabilities are fitted on largely the same drafts with the same WAR, so they show that our data and his agree, not that both are right.</w:t>
      </w:r>
    </w:p>
    <w:p>
      <w:pPr>
        <w:pStyle w:val="Heading2"/>
        <w:spacing w:after="80" w:before="200"/>
      </w:pPr>
      <w:r>
        <w:rPr>
          <w:rFonts w:ascii="Calibri" w:cs="Calibri" w:eastAsia="Calibri" w:hAnsi="Calibri"/>
        </w:rPr>
        <w:t xml:space="preserve">The form on the star probability</w:t>
      </w:r>
    </w:p>
    <w:p>
      <w:pPr>
        <w:spacing w:after="120" w:before="60" w:line="276"/>
        <w:jc w:val="left"/>
      </w:pPr>
      <w:r>
        <w:rPr>
          <w:rFonts w:ascii="Calibri" w:cs="Calibri" w:eastAsia="Calibri" w:hAnsi="Calibri"/>
        </w:rPr>
        <w:t xml:space="preserve">Bacon provides two probabilities by slot: becoming an NHL player (200 or more games) and becoming a star. In dollars, the NHL-player probability adds nothing once the star probability is in (coefficient -0.05, standard error 2.15, against +31.3 with standard error 6.9 for the star probability), so the curve uses the star probability alone. That leaves two questions: whether the line needs an intercept, and whether it is straight. Table 4 answers both under the same rule.</w:t>
      </w:r>
    </w:p>
    <w:p>
      <w:pPr>
        <w:keepNext/>
        <w:spacing w:after="60" w:before="160"/>
      </w:pPr>
      <w:r>
        <w:rPr>
          <w:rFonts w:ascii="Calibri" w:cs="Calibri" w:eastAsia="Calibri" w:hAnsi="Calibri"/>
          <w:b/>
          <w:bCs/>
          <w:sz w:val="20"/>
          <w:szCs w:val="20"/>
        </w:rPr>
        <w:t xml:space="preserve">Table 4. Dollars on the star probability: four forms ($M a pick)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200"/>
        <w:gridCol w:w="1300"/>
        <w:gridCol w:w="1400"/>
        <w:gridCol w:w="2460"/>
      </w:tblGrid>
      <w:tr>
        <w:trPr>
          <w:tblHeader/>
        </w:trPr>
        <w:tc>
          <w:tcPr>
            <w:tcW w:type="dxa" w:w="4200"/>
            <w:tcBorders>
              <w:top w:val="single" w:color="C9C8C3" w:sz="4"/>
              <w:left w:val="single" w:color="C9C8C3" w:sz="4"/>
              <w:bottom w:val="single" w:color="C9C8C3" w:sz="4"/>
              <w:right w:val="single" w:color="C9C8C3" w:sz="4"/>
            </w:tcBorders>
            <w:shd w:fill="EFEEEA" w:color="auto" w:val="clear"/>
            <w:tcMar>
              <w:top w:type="dxa" w:w="50"/>
              <w:left w:type="dxa" w:w="90"/>
              <w:bottom w:type="dxa" w:w="50"/>
              <w:right w:type="dxa" w:w="90"/>
            </w:tcMar>
          </w:tcPr>
          <w:p>
            <w:pPr>
              <w:keepNext/>
              <w:jc w:val="left"/>
            </w:pPr>
            <w:r>
              <w:rPr>
                <w:rFonts w:ascii="Calibri" w:cs="Calibri" w:eastAsia="Calibri" w:hAnsi="Calibri"/>
                <w:b/>
                <w:bCs/>
                <w:sz w:val="18"/>
                <w:szCs w:val="18"/>
              </w:rPr>
              <w:t xml:space="preserve">Form</w:t>
            </w:r>
          </w:p>
        </w:tc>
        <w:tc>
          <w:tcPr>
            <w:tcW w:type="dxa" w:w="1300"/>
            <w:tcBorders>
              <w:top w:val="single" w:color="C9C8C3" w:sz="4"/>
              <w:left w:val="single" w:color="C9C8C3" w:sz="4"/>
              <w:bottom w:val="single" w:color="C9C8C3" w:sz="4"/>
              <w:right w:val="single" w:color="C9C8C3" w:sz="4"/>
            </w:tcBorders>
            <w:shd w:fill="EFEEEA" w:color="auto" w:val="clear"/>
            <w:tcMar>
              <w:top w:type="dxa" w:w="50"/>
              <w:left w:type="dxa" w:w="90"/>
              <w:bottom w:type="dxa" w:w="50"/>
              <w:right w:type="dxa" w:w="90"/>
            </w:tcMar>
          </w:tcPr>
          <w:p>
            <w:pPr>
              <w:keepNext/>
              <w:jc w:val="right"/>
            </w:pPr>
            <w:r>
              <w:rPr>
                <w:rFonts w:ascii="Calibri" w:cs="Calibri" w:eastAsia="Calibri" w:hAnsi="Calibri"/>
                <w:b/>
                <w:bCs/>
                <w:sz w:val="18"/>
                <w:szCs w:val="18"/>
              </w:rPr>
              <w:t xml:space="preserve">Numbers fitted</w:t>
            </w:r>
          </w:p>
        </w:tc>
        <w:tc>
          <w:tcPr>
            <w:tcW w:type="dxa" w:w="1400"/>
            <w:tcBorders>
              <w:top w:val="single" w:color="C9C8C3" w:sz="4"/>
              <w:left w:val="single" w:color="C9C8C3" w:sz="4"/>
              <w:bottom w:val="single" w:color="C9C8C3" w:sz="4"/>
              <w:right w:val="single" w:color="C9C8C3" w:sz="4"/>
            </w:tcBorders>
            <w:shd w:fill="EFEEEA" w:color="auto" w:val="clear"/>
            <w:tcMar>
              <w:top w:type="dxa" w:w="50"/>
              <w:left w:type="dxa" w:w="90"/>
              <w:bottom w:type="dxa" w:w="50"/>
              <w:right w:type="dxa" w:w="90"/>
            </w:tcMar>
          </w:tcPr>
          <w:p>
            <w:pPr>
              <w:keepNext/>
              <w:jc w:val="right"/>
            </w:pPr>
            <w:r>
              <w:rPr>
                <w:rFonts w:ascii="Calibri" w:cs="Calibri" w:eastAsia="Calibri" w:hAnsi="Calibri"/>
                <w:b/>
                <w:bCs/>
                <w:sz w:val="18"/>
                <w:szCs w:val="18"/>
              </w:rPr>
              <w:t xml:space="preserve">Miss (RMSE)</w:t>
            </w:r>
          </w:p>
        </w:tc>
        <w:tc>
          <w:tcPr>
            <w:tcW w:type="dxa" w:w="2460"/>
            <w:tcBorders>
              <w:top w:val="single" w:color="C9C8C3" w:sz="4"/>
              <w:left w:val="single" w:color="C9C8C3" w:sz="4"/>
              <w:bottom w:val="single" w:color="C9C8C3" w:sz="4"/>
              <w:right w:val="single" w:color="C9C8C3" w:sz="4"/>
            </w:tcBorders>
            <w:shd w:fill="EFEEEA" w:color="auto" w:val="clear"/>
            <w:tcMar>
              <w:top w:type="dxa" w:w="50"/>
              <w:left w:type="dxa" w:w="90"/>
              <w:bottom w:type="dxa" w:w="50"/>
              <w:right w:type="dxa" w:w="90"/>
            </w:tcMar>
          </w:tcPr>
          <w:p>
            <w:pPr>
              <w:keepNext/>
              <w:jc w:val="right"/>
            </w:pPr>
            <w:r>
              <w:rPr>
                <w:rFonts w:ascii="Calibri" w:cs="Calibri" w:eastAsia="Calibri" w:hAnsi="Calibri"/>
                <w:b/>
                <w:bCs/>
                <w:sz w:val="18"/>
                <w:szCs w:val="18"/>
              </w:rPr>
              <w:t xml:space="preserve">Beats through-zero in</w:t>
            </w:r>
          </w:p>
        </w:tc>
      </w:tr>
      <w:tr>
        <w:trPr>
          <w:cantSplit/>
        </w:trPr>
        <w:tc>
          <w:tcPr>
            <w:tcW w:type="dxa" w:w="4200"/>
            <w:tcBorders>
              <w:top w:val="single" w:color="C9C8C3" w:sz="4"/>
              <w:left w:val="single" w:color="C9C8C3" w:sz="4"/>
              <w:bottom w:val="single" w:color="C9C8C3" w:sz="4"/>
              <w:right w:val="single" w:color="C9C8C3" w:sz="4"/>
            </w:tcBorders>
            <w:tcMar>
              <w:top w:type="dxa" w:w="50"/>
              <w:left w:type="dxa" w:w="90"/>
              <w:bottom w:type="dxa" w:w="50"/>
              <w:right w:type="dxa" w:w="90"/>
            </w:tcMar>
          </w:tcPr>
          <w:p>
            <w:pPr>
              <w:keepNext/>
              <w:jc w:val="left"/>
            </w:pPr>
            <w:r>
              <w:rPr>
                <w:rFonts w:ascii="Calibri" w:cs="Calibri" w:eastAsia="Calibri" w:hAnsi="Calibri"/>
                <w:b w:val="false"/>
                <w:bCs w:val="false"/>
                <w:sz w:val="18"/>
                <w:szCs w:val="18"/>
              </w:rPr>
              <w:t xml:space="preserve">Straight line through zero: b × P(star)</w:t>
            </w:r>
          </w:p>
        </w:tc>
        <w:tc>
          <w:tcPr>
            <w:tcW w:type="dxa" w:w="1300"/>
            <w:tcBorders>
              <w:top w:val="single" w:color="C9C8C3" w:sz="4"/>
              <w:left w:val="single" w:color="C9C8C3" w:sz="4"/>
              <w:bottom w:val="single" w:color="C9C8C3" w:sz="4"/>
              <w:right w:val="single" w:color="C9C8C3" w:sz="4"/>
            </w:tcBorders>
            <w:tcMar>
              <w:top w:type="dxa" w:w="50"/>
              <w:left w:type="dxa" w:w="90"/>
              <w:bottom w:type="dxa" w:w="50"/>
              <w:right w:type="dxa" w:w="90"/>
            </w:tcMar>
          </w:tcPr>
          <w:p>
            <w:pPr>
              <w:keepNext/>
              <w:jc w:val="right"/>
            </w:pPr>
            <w:r>
              <w:rPr>
                <w:rFonts w:ascii="Calibri" w:cs="Calibri" w:eastAsia="Calibri" w:hAnsi="Calibri"/>
                <w:b w:val="false"/>
                <w:bCs w:val="false"/>
                <w:sz w:val="18"/>
                <w:szCs w:val="18"/>
              </w:rPr>
              <w:t xml:space="preserve">1</w:t>
            </w:r>
          </w:p>
        </w:tc>
        <w:tc>
          <w:tcPr>
            <w:tcW w:type="dxa" w:w="1400"/>
            <w:tcBorders>
              <w:top w:val="single" w:color="C9C8C3" w:sz="4"/>
              <w:left w:val="single" w:color="C9C8C3" w:sz="4"/>
              <w:bottom w:val="single" w:color="C9C8C3" w:sz="4"/>
              <w:right w:val="single" w:color="C9C8C3" w:sz="4"/>
            </w:tcBorders>
            <w:tcMar>
              <w:top w:type="dxa" w:w="50"/>
              <w:left w:type="dxa" w:w="90"/>
              <w:bottom w:type="dxa" w:w="50"/>
              <w:right w:type="dxa" w:w="90"/>
            </w:tcMar>
          </w:tcPr>
          <w:p>
            <w:pPr>
              <w:keepNext/>
              <w:jc w:val="right"/>
            </w:pPr>
            <w:r>
              <w:rPr>
                <w:rFonts w:ascii="Calibri" w:cs="Calibri" w:eastAsia="Calibri" w:hAnsi="Calibri"/>
                <w:b w:val="false"/>
                <w:bCs w:val="false"/>
                <w:sz w:val="18"/>
                <w:szCs w:val="18"/>
              </w:rPr>
              <w:t xml:space="preserve">5.214</w:t>
            </w:r>
          </w:p>
        </w:tc>
        <w:tc>
          <w:tcPr>
            <w:tcW w:type="dxa" w:w="2460"/>
            <w:tcBorders>
              <w:top w:val="single" w:color="C9C8C3" w:sz="4"/>
              <w:left w:val="single" w:color="C9C8C3" w:sz="4"/>
              <w:bottom w:val="single" w:color="C9C8C3" w:sz="4"/>
              <w:right w:val="single" w:color="C9C8C3" w:sz="4"/>
            </w:tcBorders>
            <w:tcMar>
              <w:top w:type="dxa" w:w="50"/>
              <w:left w:type="dxa" w:w="90"/>
              <w:bottom w:type="dxa" w:w="50"/>
              <w:right w:type="dxa" w:w="90"/>
            </w:tcMar>
          </w:tcPr>
          <w:p>
            <w:pPr>
              <w:keepNext/>
              <w:jc w:val="right"/>
            </w:pPr>
            <w:r>
              <w:rPr>
                <w:rFonts w:ascii="Calibri" w:cs="Calibri" w:eastAsia="Calibri" w:hAnsi="Calibri"/>
                <w:b w:val="false"/>
                <w:bCs w:val="false"/>
                <w:sz w:val="18"/>
                <w:szCs w:val="18"/>
              </w:rPr>
              <w:t xml:space="preserve">-</w:t>
            </w:r>
          </w:p>
        </w:tc>
      </w:tr>
      <w:tr>
        <w:trPr>
          <w:cantSplit/>
        </w:trPr>
        <w:tc>
          <w:tcPr>
            <w:tcW w:type="dxa" w:w="4200"/>
            <w:tcBorders>
              <w:top w:val="single" w:color="C9C8C3" w:sz="4"/>
              <w:left w:val="single" w:color="C9C8C3" w:sz="4"/>
              <w:bottom w:val="single" w:color="C9C8C3" w:sz="4"/>
              <w:right w:val="single" w:color="C9C8C3" w:sz="4"/>
            </w:tcBorders>
            <w:tcMar>
              <w:top w:type="dxa" w:w="50"/>
              <w:left w:type="dxa" w:w="90"/>
              <w:bottom w:type="dxa" w:w="50"/>
              <w:right w:type="dxa" w:w="90"/>
            </w:tcMar>
          </w:tcPr>
          <w:p>
            <w:pPr>
              <w:keepNext/>
              <w:jc w:val="left"/>
            </w:pPr>
            <w:r>
              <w:rPr>
                <w:rFonts w:ascii="Calibri" w:cs="Calibri" w:eastAsia="Calibri" w:hAnsi="Calibri"/>
                <w:b w:val="false"/>
                <w:bCs w:val="false"/>
                <w:sz w:val="18"/>
                <w:szCs w:val="18"/>
              </w:rPr>
              <w:t xml:space="preserve">With an intercept: a + b × P(star)</w:t>
            </w:r>
          </w:p>
        </w:tc>
        <w:tc>
          <w:tcPr>
            <w:tcW w:type="dxa" w:w="1300"/>
            <w:tcBorders>
              <w:top w:val="single" w:color="C9C8C3" w:sz="4"/>
              <w:left w:val="single" w:color="C9C8C3" w:sz="4"/>
              <w:bottom w:val="single" w:color="C9C8C3" w:sz="4"/>
              <w:right w:val="single" w:color="C9C8C3" w:sz="4"/>
            </w:tcBorders>
            <w:tcMar>
              <w:top w:type="dxa" w:w="50"/>
              <w:left w:type="dxa" w:w="90"/>
              <w:bottom w:type="dxa" w:w="50"/>
              <w:right w:type="dxa" w:w="90"/>
            </w:tcMar>
          </w:tcPr>
          <w:p>
            <w:pPr>
              <w:keepNext/>
              <w:jc w:val="right"/>
            </w:pPr>
            <w:r>
              <w:rPr>
                <w:rFonts w:ascii="Calibri" w:cs="Calibri" w:eastAsia="Calibri" w:hAnsi="Calibri"/>
                <w:b w:val="false"/>
                <w:bCs w:val="false"/>
                <w:sz w:val="18"/>
                <w:szCs w:val="18"/>
              </w:rPr>
              <w:t xml:space="preserve">2</w:t>
            </w:r>
          </w:p>
        </w:tc>
        <w:tc>
          <w:tcPr>
            <w:tcW w:type="dxa" w:w="1400"/>
            <w:tcBorders>
              <w:top w:val="single" w:color="C9C8C3" w:sz="4"/>
              <w:left w:val="single" w:color="C9C8C3" w:sz="4"/>
              <w:bottom w:val="single" w:color="C9C8C3" w:sz="4"/>
              <w:right w:val="single" w:color="C9C8C3" w:sz="4"/>
            </w:tcBorders>
            <w:tcMar>
              <w:top w:type="dxa" w:w="50"/>
              <w:left w:type="dxa" w:w="90"/>
              <w:bottom w:type="dxa" w:w="50"/>
              <w:right w:type="dxa" w:w="90"/>
            </w:tcMar>
          </w:tcPr>
          <w:p>
            <w:pPr>
              <w:keepNext/>
              <w:jc w:val="right"/>
            </w:pPr>
            <w:r>
              <w:rPr>
                <w:rFonts w:ascii="Calibri" w:cs="Calibri" w:eastAsia="Calibri" w:hAnsi="Calibri"/>
                <w:b w:val="false"/>
                <w:bCs w:val="false"/>
                <w:sz w:val="18"/>
                <w:szCs w:val="18"/>
              </w:rPr>
              <w:t xml:space="preserve">5.215</w:t>
            </w:r>
          </w:p>
        </w:tc>
        <w:tc>
          <w:tcPr>
            <w:tcW w:type="dxa" w:w="2460"/>
            <w:tcBorders>
              <w:top w:val="single" w:color="C9C8C3" w:sz="4"/>
              <w:left w:val="single" w:color="C9C8C3" w:sz="4"/>
              <w:bottom w:val="single" w:color="C9C8C3" w:sz="4"/>
              <w:right w:val="single" w:color="C9C8C3" w:sz="4"/>
            </w:tcBorders>
            <w:tcMar>
              <w:top w:type="dxa" w:w="50"/>
              <w:left w:type="dxa" w:w="90"/>
              <w:bottom w:type="dxa" w:w="50"/>
              <w:right w:type="dxa" w:w="90"/>
            </w:tcMar>
          </w:tcPr>
          <w:p>
            <w:pPr>
              <w:keepNext/>
              <w:jc w:val="right"/>
            </w:pPr>
            <w:r>
              <w:rPr>
                <w:rFonts w:ascii="Calibri" w:cs="Calibri" w:eastAsia="Calibri" w:hAnsi="Calibri"/>
                <w:b w:val="false"/>
                <w:bCs w:val="false"/>
                <w:sz w:val="18"/>
                <w:szCs w:val="18"/>
              </w:rPr>
              <w:t xml:space="preserve">30 of 2,000</w:t>
            </w:r>
          </w:p>
        </w:tc>
      </w:tr>
      <w:tr>
        <w:trPr>
          <w:cantSplit/>
        </w:trPr>
        <w:tc>
          <w:tcPr>
            <w:tcW w:type="dxa" w:w="4200"/>
            <w:tcBorders>
              <w:top w:val="single" w:color="C9C8C3" w:sz="4"/>
              <w:left w:val="single" w:color="C9C8C3" w:sz="4"/>
              <w:bottom w:val="single" w:color="C9C8C3" w:sz="4"/>
              <w:right w:val="single" w:color="C9C8C3" w:sz="4"/>
            </w:tcBorders>
            <w:tcMar>
              <w:top w:type="dxa" w:w="50"/>
              <w:left w:type="dxa" w:w="90"/>
              <w:bottom w:type="dxa" w:w="50"/>
              <w:right w:type="dxa" w:w="90"/>
            </w:tcMar>
          </w:tcPr>
          <w:p>
            <w:pPr>
              <w:keepNext/>
              <w:jc w:val="left"/>
            </w:pPr>
            <w:r>
              <w:rPr>
                <w:rFonts w:ascii="Calibri" w:cs="Calibri" w:eastAsia="Calibri" w:hAnsi="Calibri"/>
                <w:b w:val="false"/>
                <w:bCs w:val="false"/>
                <w:sz w:val="18"/>
                <w:szCs w:val="18"/>
              </w:rPr>
              <w:t xml:space="preserve">With a squared term</w:t>
            </w:r>
          </w:p>
        </w:tc>
        <w:tc>
          <w:tcPr>
            <w:tcW w:type="dxa" w:w="1300"/>
            <w:tcBorders>
              <w:top w:val="single" w:color="C9C8C3" w:sz="4"/>
              <w:left w:val="single" w:color="C9C8C3" w:sz="4"/>
              <w:bottom w:val="single" w:color="C9C8C3" w:sz="4"/>
              <w:right w:val="single" w:color="C9C8C3" w:sz="4"/>
            </w:tcBorders>
            <w:tcMar>
              <w:top w:type="dxa" w:w="50"/>
              <w:left w:type="dxa" w:w="90"/>
              <w:bottom w:type="dxa" w:w="50"/>
              <w:right w:type="dxa" w:w="90"/>
            </w:tcMar>
          </w:tcPr>
          <w:p>
            <w:pPr>
              <w:keepNext/>
              <w:jc w:val="right"/>
            </w:pPr>
            <w:r>
              <w:rPr>
                <w:rFonts w:ascii="Calibri" w:cs="Calibri" w:eastAsia="Calibri" w:hAnsi="Calibri"/>
                <w:b w:val="false"/>
                <w:bCs w:val="false"/>
                <w:sz w:val="18"/>
                <w:szCs w:val="18"/>
              </w:rPr>
              <w:t xml:space="preserve">3</w:t>
            </w:r>
          </w:p>
        </w:tc>
        <w:tc>
          <w:tcPr>
            <w:tcW w:type="dxa" w:w="1400"/>
            <w:tcBorders>
              <w:top w:val="single" w:color="C9C8C3" w:sz="4"/>
              <w:left w:val="single" w:color="C9C8C3" w:sz="4"/>
              <w:bottom w:val="single" w:color="C9C8C3" w:sz="4"/>
              <w:right w:val="single" w:color="C9C8C3" w:sz="4"/>
            </w:tcBorders>
            <w:tcMar>
              <w:top w:type="dxa" w:w="50"/>
              <w:left w:type="dxa" w:w="90"/>
              <w:bottom w:type="dxa" w:w="50"/>
              <w:right w:type="dxa" w:w="90"/>
            </w:tcMar>
          </w:tcPr>
          <w:p>
            <w:pPr>
              <w:keepNext/>
              <w:jc w:val="right"/>
            </w:pPr>
            <w:r>
              <w:rPr>
                <w:rFonts w:ascii="Calibri" w:cs="Calibri" w:eastAsia="Calibri" w:hAnsi="Calibri"/>
                <w:b w:val="false"/>
                <w:bCs w:val="false"/>
                <w:sz w:val="18"/>
                <w:szCs w:val="18"/>
              </w:rPr>
              <w:t xml:space="preserve">5.232</w:t>
            </w:r>
          </w:p>
        </w:tc>
        <w:tc>
          <w:tcPr>
            <w:tcW w:type="dxa" w:w="2460"/>
            <w:tcBorders>
              <w:top w:val="single" w:color="C9C8C3" w:sz="4"/>
              <w:left w:val="single" w:color="C9C8C3" w:sz="4"/>
              <w:bottom w:val="single" w:color="C9C8C3" w:sz="4"/>
              <w:right w:val="single" w:color="C9C8C3" w:sz="4"/>
            </w:tcBorders>
            <w:tcMar>
              <w:top w:type="dxa" w:w="50"/>
              <w:left w:type="dxa" w:w="90"/>
              <w:bottom w:type="dxa" w:w="50"/>
              <w:right w:type="dxa" w:w="90"/>
            </w:tcMar>
          </w:tcPr>
          <w:p>
            <w:pPr>
              <w:keepNext/>
              <w:jc w:val="right"/>
            </w:pPr>
            <w:r>
              <w:rPr>
                <w:rFonts w:ascii="Calibri" w:cs="Calibri" w:eastAsia="Calibri" w:hAnsi="Calibri"/>
                <w:b w:val="false"/>
                <w:bCs w:val="false"/>
                <w:sz w:val="18"/>
                <w:szCs w:val="18"/>
              </w:rPr>
              <w:t xml:space="preserve">5 of 2,000</w:t>
            </w:r>
          </w:p>
        </w:tc>
      </w:tr>
      <w:tr>
        <w:trPr>
          <w:cantSplit/>
        </w:trPr>
        <w:tc>
          <w:tcPr>
            <w:tcW w:type="dxa" w:w="4200"/>
            <w:tcBorders>
              <w:top w:val="single" w:color="C9C8C3" w:sz="4"/>
              <w:left w:val="single" w:color="C9C8C3" w:sz="4"/>
              <w:bottom w:val="single" w:color="C9C8C3" w:sz="4"/>
              <w:right w:val="single" w:color="C9C8C3" w:sz="4"/>
            </w:tcBorders>
            <w:tcMar>
              <w:top w:type="dxa" w:w="50"/>
              <w:left w:type="dxa" w:w="90"/>
              <w:bottom w:type="dxa" w:w="50"/>
              <w:right w:type="dxa" w:w="90"/>
            </w:tcMar>
          </w:tcPr>
          <w:p>
            <w:pPr>
              <w:keepNext w:val="false"/>
              <w:jc w:val="left"/>
            </w:pPr>
            <w:r>
              <w:rPr>
                <w:rFonts w:ascii="Calibri" w:cs="Calibri" w:eastAsia="Calibri" w:hAnsi="Calibri"/>
                <w:b w:val="false"/>
                <w:bCs w:val="false"/>
                <w:sz w:val="18"/>
                <w:szCs w:val="18"/>
              </w:rPr>
              <w:t xml:space="preserve">Power curve, a + b × P(star)^k (fitted k = 1.03)</w:t>
            </w:r>
          </w:p>
        </w:tc>
        <w:tc>
          <w:tcPr>
            <w:tcW w:type="dxa" w:w="1300"/>
            <w:tcBorders>
              <w:top w:val="single" w:color="C9C8C3" w:sz="4"/>
              <w:left w:val="single" w:color="C9C8C3" w:sz="4"/>
              <w:bottom w:val="single" w:color="C9C8C3" w:sz="4"/>
              <w:right w:val="single" w:color="C9C8C3" w:sz="4"/>
            </w:tcBorders>
            <w:tcMar>
              <w:top w:type="dxa" w:w="50"/>
              <w:left w:type="dxa" w:w="90"/>
              <w:bottom w:type="dxa" w:w="50"/>
              <w:right w:type="dxa" w:w="90"/>
            </w:tcMar>
          </w:tcPr>
          <w:p>
            <w:pPr>
              <w:keepNext w:val="false"/>
              <w:jc w:val="right"/>
            </w:pPr>
            <w:r>
              <w:rPr>
                <w:rFonts w:ascii="Calibri" w:cs="Calibri" w:eastAsia="Calibri" w:hAnsi="Calibri"/>
                <w:b w:val="false"/>
                <w:bCs w:val="false"/>
                <w:sz w:val="18"/>
                <w:szCs w:val="18"/>
              </w:rPr>
              <w:t xml:space="preserve">3</w:t>
            </w:r>
          </w:p>
        </w:tc>
        <w:tc>
          <w:tcPr>
            <w:tcW w:type="dxa" w:w="1400"/>
            <w:tcBorders>
              <w:top w:val="single" w:color="C9C8C3" w:sz="4"/>
              <w:left w:val="single" w:color="C9C8C3" w:sz="4"/>
              <w:bottom w:val="single" w:color="C9C8C3" w:sz="4"/>
              <w:right w:val="single" w:color="C9C8C3" w:sz="4"/>
            </w:tcBorders>
            <w:tcMar>
              <w:top w:type="dxa" w:w="50"/>
              <w:left w:type="dxa" w:w="90"/>
              <w:bottom w:type="dxa" w:w="50"/>
              <w:right w:type="dxa" w:w="90"/>
            </w:tcMar>
          </w:tcPr>
          <w:p>
            <w:pPr>
              <w:keepNext w:val="false"/>
              <w:jc w:val="right"/>
            </w:pPr>
            <w:r>
              <w:rPr>
                <w:rFonts w:ascii="Calibri" w:cs="Calibri" w:eastAsia="Calibri" w:hAnsi="Calibri"/>
                <w:b w:val="false"/>
                <w:bCs w:val="false"/>
                <w:sz w:val="18"/>
                <w:szCs w:val="18"/>
              </w:rPr>
              <w:t xml:space="preserve">5.227</w:t>
            </w:r>
          </w:p>
        </w:tc>
        <w:tc>
          <w:tcPr>
            <w:tcW w:type="dxa" w:w="2460"/>
            <w:tcBorders>
              <w:top w:val="single" w:color="C9C8C3" w:sz="4"/>
              <w:left w:val="single" w:color="C9C8C3" w:sz="4"/>
              <w:bottom w:val="single" w:color="C9C8C3" w:sz="4"/>
              <w:right w:val="single" w:color="C9C8C3" w:sz="4"/>
            </w:tcBorders>
            <w:tcMar>
              <w:top w:type="dxa" w:w="50"/>
              <w:left w:type="dxa" w:w="90"/>
              <w:bottom w:type="dxa" w:w="50"/>
              <w:right w:type="dxa" w:w="90"/>
            </w:tcMar>
          </w:tcPr>
          <w:p>
            <w:pPr>
              <w:keepNext w:val="false"/>
              <w:jc w:val="right"/>
            </w:pPr>
            <w:r>
              <w:rPr>
                <w:rFonts w:ascii="Calibri" w:cs="Calibri" w:eastAsia="Calibri" w:hAnsi="Calibri"/>
                <w:b w:val="false"/>
                <w:bCs w:val="false"/>
                <w:sz w:val="18"/>
                <w:szCs w:val="18"/>
              </w:rPr>
              <w:t xml:space="preserve">0 of 2,000</w:t>
            </w:r>
          </w:p>
        </w:tc>
      </w:tr>
    </w:tbl>
    <w:p>
      <w:pPr>
        <w:spacing w:after="200" w:before="40"/>
      </w:pPr>
      <w:r>
        <w:rPr>
          <w:rFonts w:ascii="Calibri" w:cs="Calibri" w:eastAsia="Calibri" w:hAnsi="Calibri"/>
          <w:color w:val="52514E"/>
          <w:sz w:val="18"/>
          <w:szCs w:val="18"/>
        </w:rPr>
        <w:t xml:space="preserve">Source: pick_star_form_test.py v1.0 (skaters, first-look pricing).</w:t>
      </w:r>
    </w:p>
    <w:p>
      <w:pPr>
        <w:spacing w:after="120" w:before="60" w:line="276"/>
        <w:jc w:val="left"/>
      </w:pPr>
      <w:r>
        <w:rPr>
          <w:rFonts w:ascii="Calibri" w:cs="Calibri" w:eastAsia="Calibri" w:hAnsi="Calibri"/>
        </w:rPr>
        <w:t xml:space="preserve">The simplest form wins: a pick is worth its star probability times a fixed number of dollars. The line is straight in the star probability, not in the pick number. Across picks the curve keeps the steep shape of Bacon's probabilities: the value falls by about a fifth from #1 to #2, and by about a third from #20 to #32, from a much smaller base. The scale, however, is not the value of a star. It also carries the surplus of good players who are not stars, who are more common where the star probability is higher; it is best read as dollars per point of star probability.</w:t>
      </w:r>
    </w:p>
    <w:p>
      <w:pPr>
        <w:pStyle w:val="Heading1"/>
        <w:spacing w:after="120" w:before="280"/>
      </w:pPr>
      <w:r>
        <w:rPr>
          <w:rFonts w:ascii="Calibri" w:cs="Calibri" w:eastAsia="Calibri" w:hAnsi="Calibri"/>
        </w:rPr>
        <w:t xml:space="preserve">5. Look-Ahead: Which Drafts Set the Scale</w:t>
      </w:r>
    </w:p>
    <w:p>
      <w:pPr>
        <w:spacing w:after="120" w:before="60" w:line="276"/>
        <w:jc w:val="left"/>
      </w:pPr>
      <w:r>
        <w:rPr>
          <w:rFonts w:ascii="Calibri" w:cs="Calibri" w:eastAsia="Calibri" w:hAnsi="Calibri"/>
        </w:rPr>
        <w:t xml:space="preserve">Two parts of the curve could carry information a club did not have when it traded. The shape comes from Bacon's probabilities, which are fitted on drafts through 2021. The scale is fitted on the realised careers of the 2007-2017 drafts. Each was checked.</w:t>
      </w:r>
    </w:p>
    <w:p>
      <w:pPr>
        <w:spacing w:after="120" w:before="60" w:line="276"/>
        <w:jc w:val="left"/>
      </w:pPr>
      <w:r>
        <w:rPr>
          <w:rFonts w:ascii="Calibri" w:cs="Calibri" w:eastAsia="Calibri" w:hAnsi="Calibri"/>
        </w:rPr>
        <w:t xml:space="preserve">The shape holds in early and late drafts alike: fitted separately on the 2007-2011 drafts and the 2012-2017 drafts, adding the log of the pick to his probabilities adds nothing in either (p = 0.61 and p = 0.79). A curve shaped on early drafts alone would, therefore, have the same shape. His own model cannot be refitted on earlier drafts, so this shows his shape is supported by early drafts, not that his model never saw later ones.</w:t>
      </w:r>
    </w:p>
    <w:p>
      <w:pPr>
        <w:spacing w:after="120" w:before="60" w:line="276"/>
        <w:jc w:val="left"/>
      </w:pPr>
      <w:r>
        <w:rPr>
          <w:rFonts w:ascii="Calibri" w:cs="Calibri" w:eastAsia="Calibri" w:hAnsi="Calibri"/>
        </w:rPr>
        <w:t xml:space="preserve">The scale does not hold. Figure 3 fits it on each draft separately. The test that all eleven are equal rejects (chi-squared 25.5 on 10 degrees of freedom, p = 0.0045); after allowing for sampling noise, a typical draft's scale sits about 9.1 (in $M per 100% star probability) from the average, 29% of the pooled scale. The 2012 draft is the weakest (9.5) and 2015 the strongest (56.9). The 2014-2017 drafts all sit above the pooled scale, and none of them had played out at the time of any trade studied here.</w:t>
      </w:r>
    </w:p>
    <w:p>
      <w:pPr>
        <w:keepNext/>
        <w:spacing w:before="120"/>
        <w:jc w:val="center"/>
      </w:pPr>
      <w:r>
        <w:drawing>
          <wp:inline distT="0" distB="0" distL="0" distR="0">
            <wp:extent cx="4953000" cy="2571750"/>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953000" cy="2571750"/>
                    </a:xfrm>
                    <a:prstGeom prst="rect">
                      <a:avLst/>
                    </a:prstGeom>
                  </pic:spPr>
                </pic:pic>
              </a:graphicData>
            </a:graphic>
          </wp:inline>
        </w:drawing>
      </w:r>
    </w:p>
    <w:p>
      <w:pPr>
        <w:spacing w:after="200" w:before="40"/>
      </w:pPr>
      <w:r>
        <w:rPr>
          <w:rFonts w:ascii="Calibri" w:cs="Calibri" w:eastAsia="Calibri" w:hAnsi="Calibri"/>
          <w:color w:val="52514E"/>
          <w:sz w:val="18"/>
          <w:szCs w:val="18"/>
        </w:rPr>
        <w:t xml:space="preserve">Figure 3. The scale fitted on each draft class (adopted pricing, all positions), with the pooled scale. Source: pick_summary_figures.py on pick_curve_players.csv.</w:t>
      </w:r>
    </w:p>
    <w:p>
      <w:pPr>
        <w:spacing w:after="120" w:before="60" w:line="276"/>
        <w:jc w:val="left"/>
      </w:pPr>
      <w:r>
        <w:rPr>
          <w:rFonts w:ascii="Calibri" w:cs="Calibri" w:eastAsia="Calibri" w:hAnsi="Calibri"/>
        </w:rPr>
        <w:t xml:space="preserve">The pick's value at the trade, therefore, uses the scale a club could have known: fitted only on drafts made nine or more seasons before the trade season, whose windows had largely run out. Figure 4 and Table 5 show the result. The study asks two questions about each pick: what it was worth when it was traded, and what it turned out to be worth. Realised careers answer the second. A pooled scale would let part of that answer leak into the first, and because the later drafts were richer it would make each pick look more valuable at the trade than it could have seemed. The pooled scale is kept as the sensitivity.</w:t>
      </w:r>
    </w:p>
    <w:p>
      <w:pPr>
        <w:keepNext/>
        <w:spacing w:before="120"/>
        <w:jc w:val="center"/>
      </w:pPr>
      <w:r>
        <w:drawing>
          <wp:inline distT="0" distB="0" distL="0" distR="0">
            <wp:extent cx="4953000" cy="2390775"/>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953000" cy="2390775"/>
                    </a:xfrm>
                    <a:prstGeom prst="rect">
                      <a:avLst/>
                    </a:prstGeom>
                  </pic:spPr>
                </pic:pic>
              </a:graphicData>
            </a:graphic>
          </wp:inline>
        </w:drawing>
      </w:r>
    </w:p>
    <w:p>
      <w:pPr>
        <w:spacing w:after="200" w:before="40"/>
      </w:pPr>
      <w:r>
        <w:rPr>
          <w:rFonts w:ascii="Calibri" w:cs="Calibri" w:eastAsia="Calibri" w:hAnsi="Calibri"/>
          <w:color w:val="52514E"/>
          <w:sz w:val="18"/>
          <w:szCs w:val="18"/>
        </w:rPr>
        <w:t xml:space="preserve">Figure 4. The knowable scale by trade season against the pooled scale (bars: two standard errors). Source: pick_curve.py v1.1, pick_curve_scales.csv.</w:t>
      </w:r>
    </w:p>
    <w:p>
      <w:pPr>
        <w:keepNext/>
        <w:spacing w:after="60" w:before="160"/>
      </w:pPr>
      <w:r>
        <w:rPr>
          <w:rFonts w:ascii="Calibri" w:cs="Calibri" w:eastAsia="Calibri" w:hAnsi="Calibri"/>
          <w:b/>
          <w:bCs/>
          <w:sz w:val="20"/>
          <w:szCs w:val="20"/>
        </w:rPr>
        <w:t xml:space="preserve">Table 5. Value of a pick by slot ($M at the 2025-26 cap)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1300"/>
        <w:gridCol w:w="1800"/>
        <w:gridCol w:w="1800"/>
        <w:gridCol w:w="1800"/>
        <w:gridCol w:w="1760"/>
      </w:tblGrid>
      <w:tr>
        <w:trPr>
          <w:tblHeader/>
        </w:trPr>
        <w:tc>
          <w:tcPr>
            <w:tcW w:type="dxa" w:w="900"/>
            <w:tcBorders>
              <w:top w:val="single" w:color="C9C8C3" w:sz="4"/>
              <w:left w:val="single" w:color="C9C8C3" w:sz="4"/>
              <w:bottom w:val="single" w:color="C9C8C3" w:sz="4"/>
              <w:right w:val="single" w:color="C9C8C3" w:sz="4"/>
            </w:tcBorders>
            <w:shd w:fill="EFEEEA" w:color="auto" w:val="clear"/>
            <w:tcMar>
              <w:top w:type="dxa" w:w="50"/>
              <w:left w:type="dxa" w:w="90"/>
              <w:bottom w:type="dxa" w:w="50"/>
              <w:right w:type="dxa" w:w="90"/>
            </w:tcMar>
          </w:tcPr>
          <w:p>
            <w:pPr>
              <w:keepNext/>
              <w:jc w:val="left"/>
            </w:pPr>
            <w:r>
              <w:rPr>
                <w:rFonts w:ascii="Calibri" w:cs="Calibri" w:eastAsia="Calibri" w:hAnsi="Calibri"/>
                <w:b/>
                <w:bCs/>
                <w:sz w:val="18"/>
                <w:szCs w:val="18"/>
              </w:rPr>
              <w:t xml:space="preserve">Pick</w:t>
            </w:r>
          </w:p>
        </w:tc>
        <w:tc>
          <w:tcPr>
            <w:tcW w:type="dxa" w:w="1300"/>
            <w:tcBorders>
              <w:top w:val="single" w:color="C9C8C3" w:sz="4"/>
              <w:left w:val="single" w:color="C9C8C3" w:sz="4"/>
              <w:bottom w:val="single" w:color="C9C8C3" w:sz="4"/>
              <w:right w:val="single" w:color="C9C8C3" w:sz="4"/>
            </w:tcBorders>
            <w:shd w:fill="EFEEEA" w:color="auto" w:val="clear"/>
            <w:tcMar>
              <w:top w:type="dxa" w:w="50"/>
              <w:left w:type="dxa" w:w="90"/>
              <w:bottom w:type="dxa" w:w="50"/>
              <w:right w:type="dxa" w:w="90"/>
            </w:tcMar>
          </w:tcPr>
          <w:p>
            <w:pPr>
              <w:keepNext/>
              <w:jc w:val="right"/>
            </w:pPr>
            <w:r>
              <w:rPr>
                <w:rFonts w:ascii="Calibri" w:cs="Calibri" w:eastAsia="Calibri" w:hAnsi="Calibri"/>
                <w:b/>
                <w:bCs/>
                <w:sz w:val="18"/>
                <w:szCs w:val="18"/>
              </w:rPr>
              <w:t xml:space="preserve">Star probability</w:t>
            </w:r>
          </w:p>
        </w:tc>
        <w:tc>
          <w:tcPr>
            <w:tcW w:type="dxa" w:w="1800"/>
            <w:tcBorders>
              <w:top w:val="single" w:color="C9C8C3" w:sz="4"/>
              <w:left w:val="single" w:color="C9C8C3" w:sz="4"/>
              <w:bottom w:val="single" w:color="C9C8C3" w:sz="4"/>
              <w:right w:val="single" w:color="C9C8C3" w:sz="4"/>
            </w:tcBorders>
            <w:shd w:fill="EFEEEA" w:color="auto" w:val="clear"/>
            <w:tcMar>
              <w:top w:type="dxa" w:w="50"/>
              <w:left w:type="dxa" w:w="90"/>
              <w:bottom w:type="dxa" w:w="50"/>
              <w:right w:type="dxa" w:w="90"/>
            </w:tcMar>
          </w:tcPr>
          <w:p>
            <w:pPr>
              <w:keepNext/>
              <w:jc w:val="right"/>
            </w:pPr>
            <w:r>
              <w:rPr>
                <w:rFonts w:ascii="Calibri" w:cs="Calibri" w:eastAsia="Calibri" w:hAnsi="Calibri"/>
                <w:b/>
                <w:bCs/>
                <w:sz w:val="18"/>
                <w:szCs w:val="18"/>
              </w:rPr>
              <w:t xml:space="preserve">Traded 2017-18 (scale 25.6)</w:t>
            </w:r>
          </w:p>
        </w:tc>
        <w:tc>
          <w:tcPr>
            <w:tcW w:type="dxa" w:w="1800"/>
            <w:tcBorders>
              <w:top w:val="single" w:color="C9C8C3" w:sz="4"/>
              <w:left w:val="single" w:color="C9C8C3" w:sz="4"/>
              <w:bottom w:val="single" w:color="C9C8C3" w:sz="4"/>
              <w:right w:val="single" w:color="C9C8C3" w:sz="4"/>
            </w:tcBorders>
            <w:shd w:fill="EFEEEA" w:color="auto" w:val="clear"/>
            <w:tcMar>
              <w:top w:type="dxa" w:w="50"/>
              <w:left w:type="dxa" w:w="90"/>
              <w:bottom w:type="dxa" w:w="50"/>
              <w:right w:type="dxa" w:w="90"/>
            </w:tcMar>
          </w:tcPr>
          <w:p>
            <w:pPr>
              <w:keepNext/>
              <w:jc w:val="right"/>
            </w:pPr>
            <w:r>
              <w:rPr>
                <w:rFonts w:ascii="Calibri" w:cs="Calibri" w:eastAsia="Calibri" w:hAnsi="Calibri"/>
                <w:b/>
                <w:bCs/>
                <w:sz w:val="18"/>
                <w:szCs w:val="18"/>
              </w:rPr>
              <w:t xml:space="preserve">Traded 2019-20 (scale 27.2)</w:t>
            </w:r>
          </w:p>
        </w:tc>
        <w:tc>
          <w:tcPr>
            <w:tcW w:type="dxa" w:w="1800"/>
            <w:tcBorders>
              <w:top w:val="single" w:color="C9C8C3" w:sz="4"/>
              <w:left w:val="single" w:color="C9C8C3" w:sz="4"/>
              <w:bottom w:val="single" w:color="C9C8C3" w:sz="4"/>
              <w:right w:val="single" w:color="C9C8C3" w:sz="4"/>
            </w:tcBorders>
            <w:shd w:fill="EFEEEA" w:color="auto" w:val="clear"/>
            <w:tcMar>
              <w:top w:type="dxa" w:w="50"/>
              <w:left w:type="dxa" w:w="90"/>
              <w:bottom w:type="dxa" w:w="50"/>
              <w:right w:type="dxa" w:w="90"/>
            </w:tcMar>
          </w:tcPr>
          <w:p>
            <w:pPr>
              <w:keepNext/>
              <w:jc w:val="right"/>
            </w:pPr>
            <w:r>
              <w:rPr>
                <w:rFonts w:ascii="Calibri" w:cs="Calibri" w:eastAsia="Calibri" w:hAnsi="Calibri"/>
                <w:b/>
                <w:bCs/>
                <w:sz w:val="18"/>
                <w:szCs w:val="18"/>
              </w:rPr>
              <w:t xml:space="preserve">Traded 2021-22 (scale 24.2)</w:t>
            </w:r>
          </w:p>
        </w:tc>
        <w:tc>
          <w:tcPr>
            <w:tcW w:type="dxa" w:w="1760"/>
            <w:tcBorders>
              <w:top w:val="single" w:color="C9C8C3" w:sz="4"/>
              <w:left w:val="single" w:color="C9C8C3" w:sz="4"/>
              <w:bottom w:val="single" w:color="C9C8C3" w:sz="4"/>
              <w:right w:val="single" w:color="C9C8C3" w:sz="4"/>
            </w:tcBorders>
            <w:shd w:fill="EFEEEA" w:color="auto" w:val="clear"/>
            <w:tcMar>
              <w:top w:type="dxa" w:w="50"/>
              <w:left w:type="dxa" w:w="90"/>
              <w:bottom w:type="dxa" w:w="50"/>
              <w:right w:type="dxa" w:w="90"/>
            </w:tcMar>
          </w:tcPr>
          <w:p>
            <w:pPr>
              <w:keepNext/>
              <w:jc w:val="right"/>
            </w:pPr>
            <w:r>
              <w:rPr>
                <w:rFonts w:ascii="Calibri" w:cs="Calibri" w:eastAsia="Calibri" w:hAnsi="Calibri"/>
                <w:b/>
                <w:bCs/>
                <w:sz w:val="18"/>
                <w:szCs w:val="18"/>
              </w:rPr>
              <w:t xml:space="preserve">Pooled (scale 31.7)</w:t>
            </w:r>
          </w:p>
        </w:tc>
      </w:tr>
      <w:tr>
        <w:trPr>
          <w:cantSplit/>
        </w:trPr>
        <w:tc>
          <w:tcPr>
            <w:tcW w:type="dxa" w:w="900"/>
            <w:tcBorders>
              <w:top w:val="single" w:color="C9C8C3" w:sz="4"/>
              <w:left w:val="single" w:color="C9C8C3" w:sz="4"/>
              <w:bottom w:val="single" w:color="C9C8C3" w:sz="4"/>
              <w:right w:val="single" w:color="C9C8C3" w:sz="4"/>
            </w:tcBorders>
            <w:tcMar>
              <w:top w:type="dxa" w:w="50"/>
              <w:left w:type="dxa" w:w="90"/>
              <w:bottom w:type="dxa" w:w="50"/>
              <w:right w:type="dxa" w:w="90"/>
            </w:tcMar>
          </w:tcPr>
          <w:p>
            <w:pPr>
              <w:keepNext/>
              <w:jc w:val="left"/>
            </w:pPr>
            <w:r>
              <w:rPr>
                <w:rFonts w:ascii="Calibri" w:cs="Calibri" w:eastAsia="Calibri" w:hAnsi="Calibri"/>
                <w:b w:val="false"/>
                <w:bCs w:val="false"/>
                <w:sz w:val="18"/>
                <w:szCs w:val="18"/>
              </w:rPr>
              <w:t xml:space="preserve">#1</w:t>
            </w:r>
          </w:p>
        </w:tc>
        <w:tc>
          <w:tcPr>
            <w:tcW w:type="dxa" w:w="1300"/>
            <w:tcBorders>
              <w:top w:val="single" w:color="C9C8C3" w:sz="4"/>
              <w:left w:val="single" w:color="C9C8C3" w:sz="4"/>
              <w:bottom w:val="single" w:color="C9C8C3" w:sz="4"/>
              <w:right w:val="single" w:color="C9C8C3" w:sz="4"/>
            </w:tcBorders>
            <w:tcMar>
              <w:top w:type="dxa" w:w="50"/>
              <w:left w:type="dxa" w:w="90"/>
              <w:bottom w:type="dxa" w:w="50"/>
              <w:right w:type="dxa" w:w="90"/>
            </w:tcMar>
          </w:tcPr>
          <w:p>
            <w:pPr>
              <w:keepNext/>
              <w:jc w:val="right"/>
            </w:pPr>
            <w:r>
              <w:rPr>
                <w:rFonts w:ascii="Calibri" w:cs="Calibri" w:eastAsia="Calibri" w:hAnsi="Calibri"/>
                <w:b w:val="false"/>
                <w:bCs w:val="false"/>
                <w:sz w:val="18"/>
                <w:szCs w:val="18"/>
              </w:rPr>
              <w:t xml:space="preserve">74.8%</w:t>
            </w:r>
          </w:p>
        </w:tc>
        <w:tc>
          <w:tcPr>
            <w:tcW w:type="dxa" w:w="1800"/>
            <w:tcBorders>
              <w:top w:val="single" w:color="C9C8C3" w:sz="4"/>
              <w:left w:val="single" w:color="C9C8C3" w:sz="4"/>
              <w:bottom w:val="single" w:color="C9C8C3" w:sz="4"/>
              <w:right w:val="single" w:color="C9C8C3" w:sz="4"/>
            </w:tcBorders>
            <w:tcMar>
              <w:top w:type="dxa" w:w="50"/>
              <w:left w:type="dxa" w:w="90"/>
              <w:bottom w:type="dxa" w:w="50"/>
              <w:right w:type="dxa" w:w="90"/>
            </w:tcMar>
          </w:tcPr>
          <w:p>
            <w:pPr>
              <w:keepNext/>
              <w:jc w:val="right"/>
            </w:pPr>
            <w:r>
              <w:rPr>
                <w:rFonts w:ascii="Calibri" w:cs="Calibri" w:eastAsia="Calibri" w:hAnsi="Calibri"/>
                <w:b w:val="false"/>
                <w:bCs w:val="false"/>
                <w:sz w:val="18"/>
                <w:szCs w:val="18"/>
              </w:rPr>
              <w:t xml:space="preserve">19.11</w:t>
            </w:r>
          </w:p>
        </w:tc>
        <w:tc>
          <w:tcPr>
            <w:tcW w:type="dxa" w:w="1800"/>
            <w:tcBorders>
              <w:top w:val="single" w:color="C9C8C3" w:sz="4"/>
              <w:left w:val="single" w:color="C9C8C3" w:sz="4"/>
              <w:bottom w:val="single" w:color="C9C8C3" w:sz="4"/>
              <w:right w:val="single" w:color="C9C8C3" w:sz="4"/>
            </w:tcBorders>
            <w:tcMar>
              <w:top w:type="dxa" w:w="50"/>
              <w:left w:type="dxa" w:w="90"/>
              <w:bottom w:type="dxa" w:w="50"/>
              <w:right w:type="dxa" w:w="90"/>
            </w:tcMar>
          </w:tcPr>
          <w:p>
            <w:pPr>
              <w:keepNext/>
              <w:jc w:val="right"/>
            </w:pPr>
            <w:r>
              <w:rPr>
                <w:rFonts w:ascii="Calibri" w:cs="Calibri" w:eastAsia="Calibri" w:hAnsi="Calibri"/>
                <w:b w:val="false"/>
                <w:bCs w:val="false"/>
                <w:sz w:val="18"/>
                <w:szCs w:val="18"/>
              </w:rPr>
              <w:t xml:space="preserve">20.32</w:t>
            </w:r>
          </w:p>
        </w:tc>
        <w:tc>
          <w:tcPr>
            <w:tcW w:type="dxa" w:w="1800"/>
            <w:tcBorders>
              <w:top w:val="single" w:color="C9C8C3" w:sz="4"/>
              <w:left w:val="single" w:color="C9C8C3" w:sz="4"/>
              <w:bottom w:val="single" w:color="C9C8C3" w:sz="4"/>
              <w:right w:val="single" w:color="C9C8C3" w:sz="4"/>
            </w:tcBorders>
            <w:tcMar>
              <w:top w:type="dxa" w:w="50"/>
              <w:left w:type="dxa" w:w="90"/>
              <w:bottom w:type="dxa" w:w="50"/>
              <w:right w:type="dxa" w:w="90"/>
            </w:tcMar>
          </w:tcPr>
          <w:p>
            <w:pPr>
              <w:keepNext/>
              <w:jc w:val="right"/>
            </w:pPr>
            <w:r>
              <w:rPr>
                <w:rFonts w:ascii="Calibri" w:cs="Calibri" w:eastAsia="Calibri" w:hAnsi="Calibri"/>
                <w:b w:val="false"/>
                <w:bCs w:val="false"/>
                <w:sz w:val="18"/>
                <w:szCs w:val="18"/>
              </w:rPr>
              <w:t xml:space="preserve">18.06</w:t>
            </w:r>
          </w:p>
        </w:tc>
        <w:tc>
          <w:tcPr>
            <w:tcW w:type="dxa" w:w="1760"/>
            <w:tcBorders>
              <w:top w:val="single" w:color="C9C8C3" w:sz="4"/>
              <w:left w:val="single" w:color="C9C8C3" w:sz="4"/>
              <w:bottom w:val="single" w:color="C9C8C3" w:sz="4"/>
              <w:right w:val="single" w:color="C9C8C3" w:sz="4"/>
            </w:tcBorders>
            <w:tcMar>
              <w:top w:type="dxa" w:w="50"/>
              <w:left w:type="dxa" w:w="90"/>
              <w:bottom w:type="dxa" w:w="50"/>
              <w:right w:type="dxa" w:w="90"/>
            </w:tcMar>
          </w:tcPr>
          <w:p>
            <w:pPr>
              <w:keepNext/>
              <w:jc w:val="right"/>
            </w:pPr>
            <w:r>
              <w:rPr>
                <w:rFonts w:ascii="Calibri" w:cs="Calibri" w:eastAsia="Calibri" w:hAnsi="Calibri"/>
                <w:b w:val="false"/>
                <w:bCs w:val="false"/>
                <w:sz w:val="18"/>
                <w:szCs w:val="18"/>
              </w:rPr>
              <w:t xml:space="preserve">23.67</w:t>
            </w:r>
          </w:p>
        </w:tc>
      </w:tr>
      <w:tr>
        <w:trPr>
          <w:cantSplit/>
        </w:trPr>
        <w:tc>
          <w:tcPr>
            <w:tcW w:type="dxa" w:w="900"/>
            <w:tcBorders>
              <w:top w:val="single" w:color="C9C8C3" w:sz="4"/>
              <w:left w:val="single" w:color="C9C8C3" w:sz="4"/>
              <w:bottom w:val="single" w:color="C9C8C3" w:sz="4"/>
              <w:right w:val="single" w:color="C9C8C3" w:sz="4"/>
            </w:tcBorders>
            <w:tcMar>
              <w:top w:type="dxa" w:w="50"/>
              <w:left w:type="dxa" w:w="90"/>
              <w:bottom w:type="dxa" w:w="50"/>
              <w:right w:type="dxa" w:w="90"/>
            </w:tcMar>
          </w:tcPr>
          <w:p>
            <w:pPr>
              <w:keepNext/>
              <w:jc w:val="left"/>
            </w:pPr>
            <w:r>
              <w:rPr>
                <w:rFonts w:ascii="Calibri" w:cs="Calibri" w:eastAsia="Calibri" w:hAnsi="Calibri"/>
                <w:b w:val="false"/>
                <w:bCs w:val="false"/>
                <w:sz w:val="18"/>
                <w:szCs w:val="18"/>
              </w:rPr>
              <w:t xml:space="preserve">#2</w:t>
            </w:r>
          </w:p>
        </w:tc>
        <w:tc>
          <w:tcPr>
            <w:tcW w:type="dxa" w:w="1300"/>
            <w:tcBorders>
              <w:top w:val="single" w:color="C9C8C3" w:sz="4"/>
              <w:left w:val="single" w:color="C9C8C3" w:sz="4"/>
              <w:bottom w:val="single" w:color="C9C8C3" w:sz="4"/>
              <w:right w:val="single" w:color="C9C8C3" w:sz="4"/>
            </w:tcBorders>
            <w:tcMar>
              <w:top w:type="dxa" w:w="50"/>
              <w:left w:type="dxa" w:w="90"/>
              <w:bottom w:type="dxa" w:w="50"/>
              <w:right w:type="dxa" w:w="90"/>
            </w:tcMar>
          </w:tcPr>
          <w:p>
            <w:pPr>
              <w:keepNext/>
              <w:jc w:val="right"/>
            </w:pPr>
            <w:r>
              <w:rPr>
                <w:rFonts w:ascii="Calibri" w:cs="Calibri" w:eastAsia="Calibri" w:hAnsi="Calibri"/>
                <w:b w:val="false"/>
                <w:bCs w:val="false"/>
                <w:sz w:val="18"/>
                <w:szCs w:val="18"/>
              </w:rPr>
              <w:t xml:space="preserve">59.0%</w:t>
            </w:r>
          </w:p>
        </w:tc>
        <w:tc>
          <w:tcPr>
            <w:tcW w:type="dxa" w:w="1800"/>
            <w:tcBorders>
              <w:top w:val="single" w:color="C9C8C3" w:sz="4"/>
              <w:left w:val="single" w:color="C9C8C3" w:sz="4"/>
              <w:bottom w:val="single" w:color="C9C8C3" w:sz="4"/>
              <w:right w:val="single" w:color="C9C8C3" w:sz="4"/>
            </w:tcBorders>
            <w:tcMar>
              <w:top w:type="dxa" w:w="50"/>
              <w:left w:type="dxa" w:w="90"/>
              <w:bottom w:type="dxa" w:w="50"/>
              <w:right w:type="dxa" w:w="90"/>
            </w:tcMar>
          </w:tcPr>
          <w:p>
            <w:pPr>
              <w:keepNext/>
              <w:jc w:val="right"/>
            </w:pPr>
            <w:r>
              <w:rPr>
                <w:rFonts w:ascii="Calibri" w:cs="Calibri" w:eastAsia="Calibri" w:hAnsi="Calibri"/>
                <w:b w:val="false"/>
                <w:bCs w:val="false"/>
                <w:sz w:val="18"/>
                <w:szCs w:val="18"/>
              </w:rPr>
              <w:t xml:space="preserve">15.08</w:t>
            </w:r>
          </w:p>
        </w:tc>
        <w:tc>
          <w:tcPr>
            <w:tcW w:type="dxa" w:w="1800"/>
            <w:tcBorders>
              <w:top w:val="single" w:color="C9C8C3" w:sz="4"/>
              <w:left w:val="single" w:color="C9C8C3" w:sz="4"/>
              <w:bottom w:val="single" w:color="C9C8C3" w:sz="4"/>
              <w:right w:val="single" w:color="C9C8C3" w:sz="4"/>
            </w:tcBorders>
            <w:tcMar>
              <w:top w:type="dxa" w:w="50"/>
              <w:left w:type="dxa" w:w="90"/>
              <w:bottom w:type="dxa" w:w="50"/>
              <w:right w:type="dxa" w:w="90"/>
            </w:tcMar>
          </w:tcPr>
          <w:p>
            <w:pPr>
              <w:keepNext/>
              <w:jc w:val="right"/>
            </w:pPr>
            <w:r>
              <w:rPr>
                <w:rFonts w:ascii="Calibri" w:cs="Calibri" w:eastAsia="Calibri" w:hAnsi="Calibri"/>
                <w:b w:val="false"/>
                <w:bCs w:val="false"/>
                <w:sz w:val="18"/>
                <w:szCs w:val="18"/>
              </w:rPr>
              <w:t xml:space="preserve">16.04</w:t>
            </w:r>
          </w:p>
        </w:tc>
        <w:tc>
          <w:tcPr>
            <w:tcW w:type="dxa" w:w="1800"/>
            <w:tcBorders>
              <w:top w:val="single" w:color="C9C8C3" w:sz="4"/>
              <w:left w:val="single" w:color="C9C8C3" w:sz="4"/>
              <w:bottom w:val="single" w:color="C9C8C3" w:sz="4"/>
              <w:right w:val="single" w:color="C9C8C3" w:sz="4"/>
            </w:tcBorders>
            <w:tcMar>
              <w:top w:type="dxa" w:w="50"/>
              <w:left w:type="dxa" w:w="90"/>
              <w:bottom w:type="dxa" w:w="50"/>
              <w:right w:type="dxa" w:w="90"/>
            </w:tcMar>
          </w:tcPr>
          <w:p>
            <w:pPr>
              <w:keepNext/>
              <w:jc w:val="right"/>
            </w:pPr>
            <w:r>
              <w:rPr>
                <w:rFonts w:ascii="Calibri" w:cs="Calibri" w:eastAsia="Calibri" w:hAnsi="Calibri"/>
                <w:b w:val="false"/>
                <w:bCs w:val="false"/>
                <w:sz w:val="18"/>
                <w:szCs w:val="18"/>
              </w:rPr>
              <w:t xml:space="preserve">14.25</w:t>
            </w:r>
          </w:p>
        </w:tc>
        <w:tc>
          <w:tcPr>
            <w:tcW w:type="dxa" w:w="1760"/>
            <w:tcBorders>
              <w:top w:val="single" w:color="C9C8C3" w:sz="4"/>
              <w:left w:val="single" w:color="C9C8C3" w:sz="4"/>
              <w:bottom w:val="single" w:color="C9C8C3" w:sz="4"/>
              <w:right w:val="single" w:color="C9C8C3" w:sz="4"/>
            </w:tcBorders>
            <w:tcMar>
              <w:top w:type="dxa" w:w="50"/>
              <w:left w:type="dxa" w:w="90"/>
              <w:bottom w:type="dxa" w:w="50"/>
              <w:right w:type="dxa" w:w="90"/>
            </w:tcMar>
          </w:tcPr>
          <w:p>
            <w:pPr>
              <w:keepNext/>
              <w:jc w:val="right"/>
            </w:pPr>
            <w:r>
              <w:rPr>
                <w:rFonts w:ascii="Calibri" w:cs="Calibri" w:eastAsia="Calibri" w:hAnsi="Calibri"/>
                <w:b w:val="false"/>
                <w:bCs w:val="false"/>
                <w:sz w:val="18"/>
                <w:szCs w:val="18"/>
              </w:rPr>
              <w:t xml:space="preserve">18.68</w:t>
            </w:r>
          </w:p>
        </w:tc>
      </w:tr>
      <w:tr>
        <w:trPr>
          <w:cantSplit/>
        </w:trPr>
        <w:tc>
          <w:tcPr>
            <w:tcW w:type="dxa" w:w="900"/>
            <w:tcBorders>
              <w:top w:val="single" w:color="C9C8C3" w:sz="4"/>
              <w:left w:val="single" w:color="C9C8C3" w:sz="4"/>
              <w:bottom w:val="single" w:color="C9C8C3" w:sz="4"/>
              <w:right w:val="single" w:color="C9C8C3" w:sz="4"/>
            </w:tcBorders>
            <w:tcMar>
              <w:top w:type="dxa" w:w="50"/>
              <w:left w:type="dxa" w:w="90"/>
              <w:bottom w:type="dxa" w:w="50"/>
              <w:right w:type="dxa" w:w="90"/>
            </w:tcMar>
          </w:tcPr>
          <w:p>
            <w:pPr>
              <w:keepNext/>
              <w:jc w:val="left"/>
            </w:pPr>
            <w:r>
              <w:rPr>
                <w:rFonts w:ascii="Calibri" w:cs="Calibri" w:eastAsia="Calibri" w:hAnsi="Calibri"/>
                <w:b w:val="false"/>
                <w:bCs w:val="false"/>
                <w:sz w:val="18"/>
                <w:szCs w:val="18"/>
              </w:rPr>
              <w:t xml:space="preserve">#3</w:t>
            </w:r>
          </w:p>
        </w:tc>
        <w:tc>
          <w:tcPr>
            <w:tcW w:type="dxa" w:w="1300"/>
            <w:tcBorders>
              <w:top w:val="single" w:color="C9C8C3" w:sz="4"/>
              <w:left w:val="single" w:color="C9C8C3" w:sz="4"/>
              <w:bottom w:val="single" w:color="C9C8C3" w:sz="4"/>
              <w:right w:val="single" w:color="C9C8C3" w:sz="4"/>
            </w:tcBorders>
            <w:tcMar>
              <w:top w:type="dxa" w:w="50"/>
              <w:left w:type="dxa" w:w="90"/>
              <w:bottom w:type="dxa" w:w="50"/>
              <w:right w:type="dxa" w:w="90"/>
            </w:tcMar>
          </w:tcPr>
          <w:p>
            <w:pPr>
              <w:keepNext/>
              <w:jc w:val="right"/>
            </w:pPr>
            <w:r>
              <w:rPr>
                <w:rFonts w:ascii="Calibri" w:cs="Calibri" w:eastAsia="Calibri" w:hAnsi="Calibri"/>
                <w:b w:val="false"/>
                <w:bCs w:val="false"/>
                <w:sz w:val="18"/>
                <w:szCs w:val="18"/>
              </w:rPr>
              <w:t xml:space="preserve">48.5%</w:t>
            </w:r>
          </w:p>
        </w:tc>
        <w:tc>
          <w:tcPr>
            <w:tcW w:type="dxa" w:w="1800"/>
            <w:tcBorders>
              <w:top w:val="single" w:color="C9C8C3" w:sz="4"/>
              <w:left w:val="single" w:color="C9C8C3" w:sz="4"/>
              <w:bottom w:val="single" w:color="C9C8C3" w:sz="4"/>
              <w:right w:val="single" w:color="C9C8C3" w:sz="4"/>
            </w:tcBorders>
            <w:tcMar>
              <w:top w:type="dxa" w:w="50"/>
              <w:left w:type="dxa" w:w="90"/>
              <w:bottom w:type="dxa" w:w="50"/>
              <w:right w:type="dxa" w:w="90"/>
            </w:tcMar>
          </w:tcPr>
          <w:p>
            <w:pPr>
              <w:keepNext/>
              <w:jc w:val="right"/>
            </w:pPr>
            <w:r>
              <w:rPr>
                <w:rFonts w:ascii="Calibri" w:cs="Calibri" w:eastAsia="Calibri" w:hAnsi="Calibri"/>
                <w:b w:val="false"/>
                <w:bCs w:val="false"/>
                <w:sz w:val="18"/>
                <w:szCs w:val="18"/>
              </w:rPr>
              <w:t xml:space="preserve">12.41</w:t>
            </w:r>
          </w:p>
        </w:tc>
        <w:tc>
          <w:tcPr>
            <w:tcW w:type="dxa" w:w="1800"/>
            <w:tcBorders>
              <w:top w:val="single" w:color="C9C8C3" w:sz="4"/>
              <w:left w:val="single" w:color="C9C8C3" w:sz="4"/>
              <w:bottom w:val="single" w:color="C9C8C3" w:sz="4"/>
              <w:right w:val="single" w:color="C9C8C3" w:sz="4"/>
            </w:tcBorders>
            <w:tcMar>
              <w:top w:type="dxa" w:w="50"/>
              <w:left w:type="dxa" w:w="90"/>
              <w:bottom w:type="dxa" w:w="50"/>
              <w:right w:type="dxa" w:w="90"/>
            </w:tcMar>
          </w:tcPr>
          <w:p>
            <w:pPr>
              <w:keepNext/>
              <w:jc w:val="right"/>
            </w:pPr>
            <w:r>
              <w:rPr>
                <w:rFonts w:ascii="Calibri" w:cs="Calibri" w:eastAsia="Calibri" w:hAnsi="Calibri"/>
                <w:b w:val="false"/>
                <w:bCs w:val="false"/>
                <w:sz w:val="18"/>
                <w:szCs w:val="18"/>
              </w:rPr>
              <w:t xml:space="preserve">13.19</w:t>
            </w:r>
          </w:p>
        </w:tc>
        <w:tc>
          <w:tcPr>
            <w:tcW w:type="dxa" w:w="1800"/>
            <w:tcBorders>
              <w:top w:val="single" w:color="C9C8C3" w:sz="4"/>
              <w:left w:val="single" w:color="C9C8C3" w:sz="4"/>
              <w:bottom w:val="single" w:color="C9C8C3" w:sz="4"/>
              <w:right w:val="single" w:color="C9C8C3" w:sz="4"/>
            </w:tcBorders>
            <w:tcMar>
              <w:top w:type="dxa" w:w="50"/>
              <w:left w:type="dxa" w:w="90"/>
              <w:bottom w:type="dxa" w:w="50"/>
              <w:right w:type="dxa" w:w="90"/>
            </w:tcMar>
          </w:tcPr>
          <w:p>
            <w:pPr>
              <w:keepNext/>
              <w:jc w:val="right"/>
            </w:pPr>
            <w:r>
              <w:rPr>
                <w:rFonts w:ascii="Calibri" w:cs="Calibri" w:eastAsia="Calibri" w:hAnsi="Calibri"/>
                <w:b w:val="false"/>
                <w:bCs w:val="false"/>
                <w:sz w:val="18"/>
                <w:szCs w:val="18"/>
              </w:rPr>
              <w:t xml:space="preserve">11.73</w:t>
            </w:r>
          </w:p>
        </w:tc>
        <w:tc>
          <w:tcPr>
            <w:tcW w:type="dxa" w:w="1760"/>
            <w:tcBorders>
              <w:top w:val="single" w:color="C9C8C3" w:sz="4"/>
              <w:left w:val="single" w:color="C9C8C3" w:sz="4"/>
              <w:bottom w:val="single" w:color="C9C8C3" w:sz="4"/>
              <w:right w:val="single" w:color="C9C8C3" w:sz="4"/>
            </w:tcBorders>
            <w:tcMar>
              <w:top w:type="dxa" w:w="50"/>
              <w:left w:type="dxa" w:w="90"/>
              <w:bottom w:type="dxa" w:w="50"/>
              <w:right w:type="dxa" w:w="90"/>
            </w:tcMar>
          </w:tcPr>
          <w:p>
            <w:pPr>
              <w:keepNext/>
              <w:jc w:val="right"/>
            </w:pPr>
            <w:r>
              <w:rPr>
                <w:rFonts w:ascii="Calibri" w:cs="Calibri" w:eastAsia="Calibri" w:hAnsi="Calibri"/>
                <w:b w:val="false"/>
                <w:bCs w:val="false"/>
                <w:sz w:val="18"/>
                <w:szCs w:val="18"/>
              </w:rPr>
              <w:t xml:space="preserve">15.37</w:t>
            </w:r>
          </w:p>
        </w:tc>
      </w:tr>
      <w:tr>
        <w:trPr>
          <w:cantSplit/>
        </w:trPr>
        <w:tc>
          <w:tcPr>
            <w:tcW w:type="dxa" w:w="900"/>
            <w:tcBorders>
              <w:top w:val="single" w:color="C9C8C3" w:sz="4"/>
              <w:left w:val="single" w:color="C9C8C3" w:sz="4"/>
              <w:bottom w:val="single" w:color="C9C8C3" w:sz="4"/>
              <w:right w:val="single" w:color="C9C8C3" w:sz="4"/>
            </w:tcBorders>
            <w:tcMar>
              <w:top w:type="dxa" w:w="50"/>
              <w:left w:type="dxa" w:w="90"/>
              <w:bottom w:type="dxa" w:w="50"/>
              <w:right w:type="dxa" w:w="90"/>
            </w:tcMar>
          </w:tcPr>
          <w:p>
            <w:pPr>
              <w:keepNext/>
              <w:jc w:val="left"/>
            </w:pPr>
            <w:r>
              <w:rPr>
                <w:rFonts w:ascii="Calibri" w:cs="Calibri" w:eastAsia="Calibri" w:hAnsi="Calibri"/>
                <w:b w:val="false"/>
                <w:bCs w:val="false"/>
                <w:sz w:val="18"/>
                <w:szCs w:val="18"/>
              </w:rPr>
              <w:t xml:space="preserve">#5</w:t>
            </w:r>
          </w:p>
        </w:tc>
        <w:tc>
          <w:tcPr>
            <w:tcW w:type="dxa" w:w="1300"/>
            <w:tcBorders>
              <w:top w:val="single" w:color="C9C8C3" w:sz="4"/>
              <w:left w:val="single" w:color="C9C8C3" w:sz="4"/>
              <w:bottom w:val="single" w:color="C9C8C3" w:sz="4"/>
              <w:right w:val="single" w:color="C9C8C3" w:sz="4"/>
            </w:tcBorders>
            <w:tcMar>
              <w:top w:type="dxa" w:w="50"/>
              <w:left w:type="dxa" w:w="90"/>
              <w:bottom w:type="dxa" w:w="50"/>
              <w:right w:type="dxa" w:w="90"/>
            </w:tcMar>
          </w:tcPr>
          <w:p>
            <w:pPr>
              <w:keepNext/>
              <w:jc w:val="right"/>
            </w:pPr>
            <w:r>
              <w:rPr>
                <w:rFonts w:ascii="Calibri" w:cs="Calibri" w:eastAsia="Calibri" w:hAnsi="Calibri"/>
                <w:b w:val="false"/>
                <w:bCs w:val="false"/>
                <w:sz w:val="18"/>
                <w:szCs w:val="18"/>
              </w:rPr>
              <w:t xml:space="preserve">35.6%</w:t>
            </w:r>
          </w:p>
        </w:tc>
        <w:tc>
          <w:tcPr>
            <w:tcW w:type="dxa" w:w="1800"/>
            <w:tcBorders>
              <w:top w:val="single" w:color="C9C8C3" w:sz="4"/>
              <w:left w:val="single" w:color="C9C8C3" w:sz="4"/>
              <w:bottom w:val="single" w:color="C9C8C3" w:sz="4"/>
              <w:right w:val="single" w:color="C9C8C3" w:sz="4"/>
            </w:tcBorders>
            <w:tcMar>
              <w:top w:type="dxa" w:w="50"/>
              <w:left w:type="dxa" w:w="90"/>
              <w:bottom w:type="dxa" w:w="50"/>
              <w:right w:type="dxa" w:w="90"/>
            </w:tcMar>
          </w:tcPr>
          <w:p>
            <w:pPr>
              <w:keepNext/>
              <w:jc w:val="right"/>
            </w:pPr>
            <w:r>
              <w:rPr>
                <w:rFonts w:ascii="Calibri" w:cs="Calibri" w:eastAsia="Calibri" w:hAnsi="Calibri"/>
                <w:b w:val="false"/>
                <w:bCs w:val="false"/>
                <w:sz w:val="18"/>
                <w:szCs w:val="18"/>
              </w:rPr>
              <w:t xml:space="preserve">9.11</w:t>
            </w:r>
          </w:p>
        </w:tc>
        <w:tc>
          <w:tcPr>
            <w:tcW w:type="dxa" w:w="1800"/>
            <w:tcBorders>
              <w:top w:val="single" w:color="C9C8C3" w:sz="4"/>
              <w:left w:val="single" w:color="C9C8C3" w:sz="4"/>
              <w:bottom w:val="single" w:color="C9C8C3" w:sz="4"/>
              <w:right w:val="single" w:color="C9C8C3" w:sz="4"/>
            </w:tcBorders>
            <w:tcMar>
              <w:top w:type="dxa" w:w="50"/>
              <w:left w:type="dxa" w:w="90"/>
              <w:bottom w:type="dxa" w:w="50"/>
              <w:right w:type="dxa" w:w="90"/>
            </w:tcMar>
          </w:tcPr>
          <w:p>
            <w:pPr>
              <w:keepNext/>
              <w:jc w:val="right"/>
            </w:pPr>
            <w:r>
              <w:rPr>
                <w:rFonts w:ascii="Calibri" w:cs="Calibri" w:eastAsia="Calibri" w:hAnsi="Calibri"/>
                <w:b w:val="false"/>
                <w:bCs w:val="false"/>
                <w:sz w:val="18"/>
                <w:szCs w:val="18"/>
              </w:rPr>
              <w:t xml:space="preserve">9.69</w:t>
            </w:r>
          </w:p>
        </w:tc>
        <w:tc>
          <w:tcPr>
            <w:tcW w:type="dxa" w:w="1800"/>
            <w:tcBorders>
              <w:top w:val="single" w:color="C9C8C3" w:sz="4"/>
              <w:left w:val="single" w:color="C9C8C3" w:sz="4"/>
              <w:bottom w:val="single" w:color="C9C8C3" w:sz="4"/>
              <w:right w:val="single" w:color="C9C8C3" w:sz="4"/>
            </w:tcBorders>
            <w:tcMar>
              <w:top w:type="dxa" w:w="50"/>
              <w:left w:type="dxa" w:w="90"/>
              <w:bottom w:type="dxa" w:w="50"/>
              <w:right w:type="dxa" w:w="90"/>
            </w:tcMar>
          </w:tcPr>
          <w:p>
            <w:pPr>
              <w:keepNext/>
              <w:jc w:val="right"/>
            </w:pPr>
            <w:r>
              <w:rPr>
                <w:rFonts w:ascii="Calibri" w:cs="Calibri" w:eastAsia="Calibri" w:hAnsi="Calibri"/>
                <w:b w:val="false"/>
                <w:bCs w:val="false"/>
                <w:sz w:val="18"/>
                <w:szCs w:val="18"/>
              </w:rPr>
              <w:t xml:space="preserve">8.61</w:t>
            </w:r>
          </w:p>
        </w:tc>
        <w:tc>
          <w:tcPr>
            <w:tcW w:type="dxa" w:w="1760"/>
            <w:tcBorders>
              <w:top w:val="single" w:color="C9C8C3" w:sz="4"/>
              <w:left w:val="single" w:color="C9C8C3" w:sz="4"/>
              <w:bottom w:val="single" w:color="C9C8C3" w:sz="4"/>
              <w:right w:val="single" w:color="C9C8C3" w:sz="4"/>
            </w:tcBorders>
            <w:tcMar>
              <w:top w:type="dxa" w:w="50"/>
              <w:left w:type="dxa" w:w="90"/>
              <w:bottom w:type="dxa" w:w="50"/>
              <w:right w:type="dxa" w:w="90"/>
            </w:tcMar>
          </w:tcPr>
          <w:p>
            <w:pPr>
              <w:keepNext/>
              <w:jc w:val="right"/>
            </w:pPr>
            <w:r>
              <w:rPr>
                <w:rFonts w:ascii="Calibri" w:cs="Calibri" w:eastAsia="Calibri" w:hAnsi="Calibri"/>
                <w:b w:val="false"/>
                <w:bCs w:val="false"/>
                <w:sz w:val="18"/>
                <w:szCs w:val="18"/>
              </w:rPr>
              <w:t xml:space="preserve">11.29</w:t>
            </w:r>
          </w:p>
        </w:tc>
      </w:tr>
      <w:tr>
        <w:trPr>
          <w:cantSplit/>
        </w:trPr>
        <w:tc>
          <w:tcPr>
            <w:tcW w:type="dxa" w:w="900"/>
            <w:tcBorders>
              <w:top w:val="single" w:color="C9C8C3" w:sz="4"/>
              <w:left w:val="single" w:color="C9C8C3" w:sz="4"/>
              <w:bottom w:val="single" w:color="C9C8C3" w:sz="4"/>
              <w:right w:val="single" w:color="C9C8C3" w:sz="4"/>
            </w:tcBorders>
            <w:tcMar>
              <w:top w:type="dxa" w:w="50"/>
              <w:left w:type="dxa" w:w="90"/>
              <w:bottom w:type="dxa" w:w="50"/>
              <w:right w:type="dxa" w:w="90"/>
            </w:tcMar>
          </w:tcPr>
          <w:p>
            <w:pPr>
              <w:keepNext/>
              <w:jc w:val="left"/>
            </w:pPr>
            <w:r>
              <w:rPr>
                <w:rFonts w:ascii="Calibri" w:cs="Calibri" w:eastAsia="Calibri" w:hAnsi="Calibri"/>
                <w:b w:val="false"/>
                <w:bCs w:val="false"/>
                <w:sz w:val="18"/>
                <w:szCs w:val="18"/>
              </w:rPr>
              <w:t xml:space="preserve">#10</w:t>
            </w:r>
          </w:p>
        </w:tc>
        <w:tc>
          <w:tcPr>
            <w:tcW w:type="dxa" w:w="1300"/>
            <w:tcBorders>
              <w:top w:val="single" w:color="C9C8C3" w:sz="4"/>
              <w:left w:val="single" w:color="C9C8C3" w:sz="4"/>
              <w:bottom w:val="single" w:color="C9C8C3" w:sz="4"/>
              <w:right w:val="single" w:color="C9C8C3" w:sz="4"/>
            </w:tcBorders>
            <w:tcMar>
              <w:top w:type="dxa" w:w="50"/>
              <w:left w:type="dxa" w:w="90"/>
              <w:bottom w:type="dxa" w:w="50"/>
              <w:right w:type="dxa" w:w="90"/>
            </w:tcMar>
          </w:tcPr>
          <w:p>
            <w:pPr>
              <w:keepNext/>
              <w:jc w:val="right"/>
            </w:pPr>
            <w:r>
              <w:rPr>
                <w:rFonts w:ascii="Calibri" w:cs="Calibri" w:eastAsia="Calibri" w:hAnsi="Calibri"/>
                <w:b w:val="false"/>
                <w:bCs w:val="false"/>
                <w:sz w:val="18"/>
                <w:szCs w:val="18"/>
              </w:rPr>
              <w:t xml:space="preserve">21.2%</w:t>
            </w:r>
          </w:p>
        </w:tc>
        <w:tc>
          <w:tcPr>
            <w:tcW w:type="dxa" w:w="1800"/>
            <w:tcBorders>
              <w:top w:val="single" w:color="C9C8C3" w:sz="4"/>
              <w:left w:val="single" w:color="C9C8C3" w:sz="4"/>
              <w:bottom w:val="single" w:color="C9C8C3" w:sz="4"/>
              <w:right w:val="single" w:color="C9C8C3" w:sz="4"/>
            </w:tcBorders>
            <w:tcMar>
              <w:top w:type="dxa" w:w="50"/>
              <w:left w:type="dxa" w:w="90"/>
              <w:bottom w:type="dxa" w:w="50"/>
              <w:right w:type="dxa" w:w="90"/>
            </w:tcMar>
          </w:tcPr>
          <w:p>
            <w:pPr>
              <w:keepNext/>
              <w:jc w:val="right"/>
            </w:pPr>
            <w:r>
              <w:rPr>
                <w:rFonts w:ascii="Calibri" w:cs="Calibri" w:eastAsia="Calibri" w:hAnsi="Calibri"/>
                <w:b w:val="false"/>
                <w:bCs w:val="false"/>
                <w:sz w:val="18"/>
                <w:szCs w:val="18"/>
              </w:rPr>
              <w:t xml:space="preserve">5.42</w:t>
            </w:r>
          </w:p>
        </w:tc>
        <w:tc>
          <w:tcPr>
            <w:tcW w:type="dxa" w:w="1800"/>
            <w:tcBorders>
              <w:top w:val="single" w:color="C9C8C3" w:sz="4"/>
              <w:left w:val="single" w:color="C9C8C3" w:sz="4"/>
              <w:bottom w:val="single" w:color="C9C8C3" w:sz="4"/>
              <w:right w:val="single" w:color="C9C8C3" w:sz="4"/>
            </w:tcBorders>
            <w:tcMar>
              <w:top w:type="dxa" w:w="50"/>
              <w:left w:type="dxa" w:w="90"/>
              <w:bottom w:type="dxa" w:w="50"/>
              <w:right w:type="dxa" w:w="90"/>
            </w:tcMar>
          </w:tcPr>
          <w:p>
            <w:pPr>
              <w:keepNext/>
              <w:jc w:val="right"/>
            </w:pPr>
            <w:r>
              <w:rPr>
                <w:rFonts w:ascii="Calibri" w:cs="Calibri" w:eastAsia="Calibri" w:hAnsi="Calibri"/>
                <w:b w:val="false"/>
                <w:bCs w:val="false"/>
                <w:sz w:val="18"/>
                <w:szCs w:val="18"/>
              </w:rPr>
              <w:t xml:space="preserve">5.76</w:t>
            </w:r>
          </w:p>
        </w:tc>
        <w:tc>
          <w:tcPr>
            <w:tcW w:type="dxa" w:w="1800"/>
            <w:tcBorders>
              <w:top w:val="single" w:color="C9C8C3" w:sz="4"/>
              <w:left w:val="single" w:color="C9C8C3" w:sz="4"/>
              <w:bottom w:val="single" w:color="C9C8C3" w:sz="4"/>
              <w:right w:val="single" w:color="C9C8C3" w:sz="4"/>
            </w:tcBorders>
            <w:tcMar>
              <w:top w:type="dxa" w:w="50"/>
              <w:left w:type="dxa" w:w="90"/>
              <w:bottom w:type="dxa" w:w="50"/>
              <w:right w:type="dxa" w:w="90"/>
            </w:tcMar>
          </w:tcPr>
          <w:p>
            <w:pPr>
              <w:keepNext/>
              <w:jc w:val="right"/>
            </w:pPr>
            <w:r>
              <w:rPr>
                <w:rFonts w:ascii="Calibri" w:cs="Calibri" w:eastAsia="Calibri" w:hAnsi="Calibri"/>
                <w:b w:val="false"/>
                <w:bCs w:val="false"/>
                <w:sz w:val="18"/>
                <w:szCs w:val="18"/>
              </w:rPr>
              <w:t xml:space="preserve">5.12</w:t>
            </w:r>
          </w:p>
        </w:tc>
        <w:tc>
          <w:tcPr>
            <w:tcW w:type="dxa" w:w="1760"/>
            <w:tcBorders>
              <w:top w:val="single" w:color="C9C8C3" w:sz="4"/>
              <w:left w:val="single" w:color="C9C8C3" w:sz="4"/>
              <w:bottom w:val="single" w:color="C9C8C3" w:sz="4"/>
              <w:right w:val="single" w:color="C9C8C3" w:sz="4"/>
            </w:tcBorders>
            <w:tcMar>
              <w:top w:type="dxa" w:w="50"/>
              <w:left w:type="dxa" w:w="90"/>
              <w:bottom w:type="dxa" w:w="50"/>
              <w:right w:type="dxa" w:w="90"/>
            </w:tcMar>
          </w:tcPr>
          <w:p>
            <w:pPr>
              <w:keepNext/>
              <w:jc w:val="right"/>
            </w:pPr>
            <w:r>
              <w:rPr>
                <w:rFonts w:ascii="Calibri" w:cs="Calibri" w:eastAsia="Calibri" w:hAnsi="Calibri"/>
                <w:b w:val="false"/>
                <w:bCs w:val="false"/>
                <w:sz w:val="18"/>
                <w:szCs w:val="18"/>
              </w:rPr>
              <w:t xml:space="preserve">6.71</w:t>
            </w:r>
          </w:p>
        </w:tc>
      </w:tr>
      <w:tr>
        <w:trPr>
          <w:cantSplit/>
        </w:trPr>
        <w:tc>
          <w:tcPr>
            <w:tcW w:type="dxa" w:w="900"/>
            <w:tcBorders>
              <w:top w:val="single" w:color="C9C8C3" w:sz="4"/>
              <w:left w:val="single" w:color="C9C8C3" w:sz="4"/>
              <w:bottom w:val="single" w:color="C9C8C3" w:sz="4"/>
              <w:right w:val="single" w:color="C9C8C3" w:sz="4"/>
            </w:tcBorders>
            <w:tcMar>
              <w:top w:type="dxa" w:w="50"/>
              <w:left w:type="dxa" w:w="90"/>
              <w:bottom w:type="dxa" w:w="50"/>
              <w:right w:type="dxa" w:w="90"/>
            </w:tcMar>
          </w:tcPr>
          <w:p>
            <w:pPr>
              <w:keepNext/>
              <w:jc w:val="left"/>
            </w:pPr>
            <w:r>
              <w:rPr>
                <w:rFonts w:ascii="Calibri" w:cs="Calibri" w:eastAsia="Calibri" w:hAnsi="Calibri"/>
                <w:b w:val="false"/>
                <w:bCs w:val="false"/>
                <w:sz w:val="18"/>
                <w:szCs w:val="18"/>
              </w:rPr>
              <w:t xml:space="preserve">#16</w:t>
            </w:r>
          </w:p>
        </w:tc>
        <w:tc>
          <w:tcPr>
            <w:tcW w:type="dxa" w:w="1300"/>
            <w:tcBorders>
              <w:top w:val="single" w:color="C9C8C3" w:sz="4"/>
              <w:left w:val="single" w:color="C9C8C3" w:sz="4"/>
              <w:bottom w:val="single" w:color="C9C8C3" w:sz="4"/>
              <w:right w:val="single" w:color="C9C8C3" w:sz="4"/>
            </w:tcBorders>
            <w:tcMar>
              <w:top w:type="dxa" w:w="50"/>
              <w:left w:type="dxa" w:w="90"/>
              <w:bottom w:type="dxa" w:w="50"/>
              <w:right w:type="dxa" w:w="90"/>
            </w:tcMar>
          </w:tcPr>
          <w:p>
            <w:pPr>
              <w:keepNext/>
              <w:jc w:val="right"/>
            </w:pPr>
            <w:r>
              <w:rPr>
                <w:rFonts w:ascii="Calibri" w:cs="Calibri" w:eastAsia="Calibri" w:hAnsi="Calibri"/>
                <w:b w:val="false"/>
                <w:bCs w:val="false"/>
                <w:sz w:val="18"/>
                <w:szCs w:val="18"/>
              </w:rPr>
              <w:t xml:space="preserve">14.2%</w:t>
            </w:r>
          </w:p>
        </w:tc>
        <w:tc>
          <w:tcPr>
            <w:tcW w:type="dxa" w:w="1800"/>
            <w:tcBorders>
              <w:top w:val="single" w:color="C9C8C3" w:sz="4"/>
              <w:left w:val="single" w:color="C9C8C3" w:sz="4"/>
              <w:bottom w:val="single" w:color="C9C8C3" w:sz="4"/>
              <w:right w:val="single" w:color="C9C8C3" w:sz="4"/>
            </w:tcBorders>
            <w:tcMar>
              <w:top w:type="dxa" w:w="50"/>
              <w:left w:type="dxa" w:w="90"/>
              <w:bottom w:type="dxa" w:w="50"/>
              <w:right w:type="dxa" w:w="90"/>
            </w:tcMar>
          </w:tcPr>
          <w:p>
            <w:pPr>
              <w:keepNext/>
              <w:jc w:val="right"/>
            </w:pPr>
            <w:r>
              <w:rPr>
                <w:rFonts w:ascii="Calibri" w:cs="Calibri" w:eastAsia="Calibri" w:hAnsi="Calibri"/>
                <w:b w:val="false"/>
                <w:bCs w:val="false"/>
                <w:sz w:val="18"/>
                <w:szCs w:val="18"/>
              </w:rPr>
              <w:t xml:space="preserve">3.62</w:t>
            </w:r>
          </w:p>
        </w:tc>
        <w:tc>
          <w:tcPr>
            <w:tcW w:type="dxa" w:w="1800"/>
            <w:tcBorders>
              <w:top w:val="single" w:color="C9C8C3" w:sz="4"/>
              <w:left w:val="single" w:color="C9C8C3" w:sz="4"/>
              <w:bottom w:val="single" w:color="C9C8C3" w:sz="4"/>
              <w:right w:val="single" w:color="C9C8C3" w:sz="4"/>
            </w:tcBorders>
            <w:tcMar>
              <w:top w:type="dxa" w:w="50"/>
              <w:left w:type="dxa" w:w="90"/>
              <w:bottom w:type="dxa" w:w="50"/>
              <w:right w:type="dxa" w:w="90"/>
            </w:tcMar>
          </w:tcPr>
          <w:p>
            <w:pPr>
              <w:keepNext/>
              <w:jc w:val="right"/>
            </w:pPr>
            <w:r>
              <w:rPr>
                <w:rFonts w:ascii="Calibri" w:cs="Calibri" w:eastAsia="Calibri" w:hAnsi="Calibri"/>
                <w:b w:val="false"/>
                <w:bCs w:val="false"/>
                <w:sz w:val="18"/>
                <w:szCs w:val="18"/>
              </w:rPr>
              <w:t xml:space="preserve">3.85</w:t>
            </w:r>
          </w:p>
        </w:tc>
        <w:tc>
          <w:tcPr>
            <w:tcW w:type="dxa" w:w="1800"/>
            <w:tcBorders>
              <w:top w:val="single" w:color="C9C8C3" w:sz="4"/>
              <w:left w:val="single" w:color="C9C8C3" w:sz="4"/>
              <w:bottom w:val="single" w:color="C9C8C3" w:sz="4"/>
              <w:right w:val="single" w:color="C9C8C3" w:sz="4"/>
            </w:tcBorders>
            <w:tcMar>
              <w:top w:type="dxa" w:w="50"/>
              <w:left w:type="dxa" w:w="90"/>
              <w:bottom w:type="dxa" w:w="50"/>
              <w:right w:type="dxa" w:w="90"/>
            </w:tcMar>
          </w:tcPr>
          <w:p>
            <w:pPr>
              <w:keepNext/>
              <w:jc w:val="right"/>
            </w:pPr>
            <w:r>
              <w:rPr>
                <w:rFonts w:ascii="Calibri" w:cs="Calibri" w:eastAsia="Calibri" w:hAnsi="Calibri"/>
                <w:b w:val="false"/>
                <w:bCs w:val="false"/>
                <w:sz w:val="18"/>
                <w:szCs w:val="18"/>
              </w:rPr>
              <w:t xml:space="preserve">3.42</w:t>
            </w:r>
          </w:p>
        </w:tc>
        <w:tc>
          <w:tcPr>
            <w:tcW w:type="dxa" w:w="1760"/>
            <w:tcBorders>
              <w:top w:val="single" w:color="C9C8C3" w:sz="4"/>
              <w:left w:val="single" w:color="C9C8C3" w:sz="4"/>
              <w:bottom w:val="single" w:color="C9C8C3" w:sz="4"/>
              <w:right w:val="single" w:color="C9C8C3" w:sz="4"/>
            </w:tcBorders>
            <w:tcMar>
              <w:top w:type="dxa" w:w="50"/>
              <w:left w:type="dxa" w:w="90"/>
              <w:bottom w:type="dxa" w:w="50"/>
              <w:right w:type="dxa" w:w="90"/>
            </w:tcMar>
          </w:tcPr>
          <w:p>
            <w:pPr>
              <w:keepNext/>
              <w:jc w:val="right"/>
            </w:pPr>
            <w:r>
              <w:rPr>
                <w:rFonts w:ascii="Calibri" w:cs="Calibri" w:eastAsia="Calibri" w:hAnsi="Calibri"/>
                <w:b w:val="false"/>
                <w:bCs w:val="false"/>
                <w:sz w:val="18"/>
                <w:szCs w:val="18"/>
              </w:rPr>
              <w:t xml:space="preserve">4.48</w:t>
            </w:r>
          </w:p>
        </w:tc>
      </w:tr>
      <w:tr>
        <w:trPr>
          <w:cantSplit/>
        </w:trPr>
        <w:tc>
          <w:tcPr>
            <w:tcW w:type="dxa" w:w="900"/>
            <w:tcBorders>
              <w:top w:val="single" w:color="C9C8C3" w:sz="4"/>
              <w:left w:val="single" w:color="C9C8C3" w:sz="4"/>
              <w:bottom w:val="single" w:color="C9C8C3" w:sz="4"/>
              <w:right w:val="single" w:color="C9C8C3" w:sz="4"/>
            </w:tcBorders>
            <w:tcMar>
              <w:top w:type="dxa" w:w="50"/>
              <w:left w:type="dxa" w:w="90"/>
              <w:bottom w:type="dxa" w:w="50"/>
              <w:right w:type="dxa" w:w="90"/>
            </w:tcMar>
          </w:tcPr>
          <w:p>
            <w:pPr>
              <w:keepNext/>
              <w:jc w:val="left"/>
            </w:pPr>
            <w:r>
              <w:rPr>
                <w:rFonts w:ascii="Calibri" w:cs="Calibri" w:eastAsia="Calibri" w:hAnsi="Calibri"/>
                <w:b w:val="false"/>
                <w:bCs w:val="false"/>
                <w:sz w:val="18"/>
                <w:szCs w:val="18"/>
              </w:rPr>
              <w:t xml:space="preserve">#20</w:t>
            </w:r>
          </w:p>
        </w:tc>
        <w:tc>
          <w:tcPr>
            <w:tcW w:type="dxa" w:w="1300"/>
            <w:tcBorders>
              <w:top w:val="single" w:color="C9C8C3" w:sz="4"/>
              <w:left w:val="single" w:color="C9C8C3" w:sz="4"/>
              <w:bottom w:val="single" w:color="C9C8C3" w:sz="4"/>
              <w:right w:val="single" w:color="C9C8C3" w:sz="4"/>
            </w:tcBorders>
            <w:tcMar>
              <w:top w:type="dxa" w:w="50"/>
              <w:left w:type="dxa" w:w="90"/>
              <w:bottom w:type="dxa" w:w="50"/>
              <w:right w:type="dxa" w:w="90"/>
            </w:tcMar>
          </w:tcPr>
          <w:p>
            <w:pPr>
              <w:keepNext/>
              <w:jc w:val="right"/>
            </w:pPr>
            <w:r>
              <w:rPr>
                <w:rFonts w:ascii="Calibri" w:cs="Calibri" w:eastAsia="Calibri" w:hAnsi="Calibri"/>
                <w:b w:val="false"/>
                <w:bCs w:val="false"/>
                <w:sz w:val="18"/>
                <w:szCs w:val="18"/>
              </w:rPr>
              <w:t xml:space="preserve">11.6%</w:t>
            </w:r>
          </w:p>
        </w:tc>
        <w:tc>
          <w:tcPr>
            <w:tcW w:type="dxa" w:w="1800"/>
            <w:tcBorders>
              <w:top w:val="single" w:color="C9C8C3" w:sz="4"/>
              <w:left w:val="single" w:color="C9C8C3" w:sz="4"/>
              <w:bottom w:val="single" w:color="C9C8C3" w:sz="4"/>
              <w:right w:val="single" w:color="C9C8C3" w:sz="4"/>
            </w:tcBorders>
            <w:tcMar>
              <w:top w:type="dxa" w:w="50"/>
              <w:left w:type="dxa" w:w="90"/>
              <w:bottom w:type="dxa" w:w="50"/>
              <w:right w:type="dxa" w:w="90"/>
            </w:tcMar>
          </w:tcPr>
          <w:p>
            <w:pPr>
              <w:keepNext/>
              <w:jc w:val="right"/>
            </w:pPr>
            <w:r>
              <w:rPr>
                <w:rFonts w:ascii="Calibri" w:cs="Calibri" w:eastAsia="Calibri" w:hAnsi="Calibri"/>
                <w:b w:val="false"/>
                <w:bCs w:val="false"/>
                <w:sz w:val="18"/>
                <w:szCs w:val="18"/>
              </w:rPr>
              <w:t xml:space="preserve">2.96</w:t>
            </w:r>
          </w:p>
        </w:tc>
        <w:tc>
          <w:tcPr>
            <w:tcW w:type="dxa" w:w="1800"/>
            <w:tcBorders>
              <w:top w:val="single" w:color="C9C8C3" w:sz="4"/>
              <w:left w:val="single" w:color="C9C8C3" w:sz="4"/>
              <w:bottom w:val="single" w:color="C9C8C3" w:sz="4"/>
              <w:right w:val="single" w:color="C9C8C3" w:sz="4"/>
            </w:tcBorders>
            <w:tcMar>
              <w:top w:type="dxa" w:w="50"/>
              <w:left w:type="dxa" w:w="90"/>
              <w:bottom w:type="dxa" w:w="50"/>
              <w:right w:type="dxa" w:w="90"/>
            </w:tcMar>
          </w:tcPr>
          <w:p>
            <w:pPr>
              <w:keepNext/>
              <w:jc w:val="right"/>
            </w:pPr>
            <w:r>
              <w:rPr>
                <w:rFonts w:ascii="Calibri" w:cs="Calibri" w:eastAsia="Calibri" w:hAnsi="Calibri"/>
                <w:b w:val="false"/>
                <w:bCs w:val="false"/>
                <w:sz w:val="18"/>
                <w:szCs w:val="18"/>
              </w:rPr>
              <w:t xml:space="preserve">3.14</w:t>
            </w:r>
          </w:p>
        </w:tc>
        <w:tc>
          <w:tcPr>
            <w:tcW w:type="dxa" w:w="1800"/>
            <w:tcBorders>
              <w:top w:val="single" w:color="C9C8C3" w:sz="4"/>
              <w:left w:val="single" w:color="C9C8C3" w:sz="4"/>
              <w:bottom w:val="single" w:color="C9C8C3" w:sz="4"/>
              <w:right w:val="single" w:color="C9C8C3" w:sz="4"/>
            </w:tcBorders>
            <w:tcMar>
              <w:top w:type="dxa" w:w="50"/>
              <w:left w:type="dxa" w:w="90"/>
              <w:bottom w:type="dxa" w:w="50"/>
              <w:right w:type="dxa" w:w="90"/>
            </w:tcMar>
          </w:tcPr>
          <w:p>
            <w:pPr>
              <w:keepNext/>
              <w:jc w:val="right"/>
            </w:pPr>
            <w:r>
              <w:rPr>
                <w:rFonts w:ascii="Calibri" w:cs="Calibri" w:eastAsia="Calibri" w:hAnsi="Calibri"/>
                <w:b w:val="false"/>
                <w:bCs w:val="false"/>
                <w:sz w:val="18"/>
                <w:szCs w:val="18"/>
              </w:rPr>
              <w:t xml:space="preserve">2.79</w:t>
            </w:r>
          </w:p>
        </w:tc>
        <w:tc>
          <w:tcPr>
            <w:tcW w:type="dxa" w:w="1760"/>
            <w:tcBorders>
              <w:top w:val="single" w:color="C9C8C3" w:sz="4"/>
              <w:left w:val="single" w:color="C9C8C3" w:sz="4"/>
              <w:bottom w:val="single" w:color="C9C8C3" w:sz="4"/>
              <w:right w:val="single" w:color="C9C8C3" w:sz="4"/>
            </w:tcBorders>
            <w:tcMar>
              <w:top w:type="dxa" w:w="50"/>
              <w:left w:type="dxa" w:w="90"/>
              <w:bottom w:type="dxa" w:w="50"/>
              <w:right w:type="dxa" w:w="90"/>
            </w:tcMar>
          </w:tcPr>
          <w:p>
            <w:pPr>
              <w:keepNext/>
              <w:jc w:val="right"/>
            </w:pPr>
            <w:r>
              <w:rPr>
                <w:rFonts w:ascii="Calibri" w:cs="Calibri" w:eastAsia="Calibri" w:hAnsi="Calibri"/>
                <w:b w:val="false"/>
                <w:bCs w:val="false"/>
                <w:sz w:val="18"/>
                <w:szCs w:val="18"/>
              </w:rPr>
              <w:t xml:space="preserve">3.66</w:t>
            </w:r>
          </w:p>
        </w:tc>
      </w:tr>
      <w:tr>
        <w:trPr>
          <w:cantSplit/>
        </w:trPr>
        <w:tc>
          <w:tcPr>
            <w:tcW w:type="dxa" w:w="900"/>
            <w:tcBorders>
              <w:top w:val="single" w:color="C9C8C3" w:sz="4"/>
              <w:left w:val="single" w:color="C9C8C3" w:sz="4"/>
              <w:bottom w:val="single" w:color="C9C8C3" w:sz="4"/>
              <w:right w:val="single" w:color="C9C8C3" w:sz="4"/>
            </w:tcBorders>
            <w:tcMar>
              <w:top w:type="dxa" w:w="50"/>
              <w:left w:type="dxa" w:w="90"/>
              <w:bottom w:type="dxa" w:w="50"/>
              <w:right w:type="dxa" w:w="90"/>
            </w:tcMar>
          </w:tcPr>
          <w:p>
            <w:pPr>
              <w:keepNext/>
              <w:jc w:val="left"/>
            </w:pPr>
            <w:r>
              <w:rPr>
                <w:rFonts w:ascii="Calibri" w:cs="Calibri" w:eastAsia="Calibri" w:hAnsi="Calibri"/>
                <w:b w:val="false"/>
                <w:bCs w:val="false"/>
                <w:sz w:val="18"/>
                <w:szCs w:val="18"/>
              </w:rPr>
              <w:t xml:space="preserve">#32</w:t>
            </w:r>
          </w:p>
        </w:tc>
        <w:tc>
          <w:tcPr>
            <w:tcW w:type="dxa" w:w="1300"/>
            <w:tcBorders>
              <w:top w:val="single" w:color="C9C8C3" w:sz="4"/>
              <w:left w:val="single" w:color="C9C8C3" w:sz="4"/>
              <w:bottom w:val="single" w:color="C9C8C3" w:sz="4"/>
              <w:right w:val="single" w:color="C9C8C3" w:sz="4"/>
            </w:tcBorders>
            <w:tcMar>
              <w:top w:type="dxa" w:w="50"/>
              <w:left w:type="dxa" w:w="90"/>
              <w:bottom w:type="dxa" w:w="50"/>
              <w:right w:type="dxa" w:w="90"/>
            </w:tcMar>
          </w:tcPr>
          <w:p>
            <w:pPr>
              <w:keepNext/>
              <w:jc w:val="right"/>
            </w:pPr>
            <w:r>
              <w:rPr>
                <w:rFonts w:ascii="Calibri" w:cs="Calibri" w:eastAsia="Calibri" w:hAnsi="Calibri"/>
                <w:b w:val="false"/>
                <w:bCs w:val="false"/>
                <w:sz w:val="18"/>
                <w:szCs w:val="18"/>
              </w:rPr>
              <w:t xml:space="preserve">7.4%</w:t>
            </w:r>
          </w:p>
        </w:tc>
        <w:tc>
          <w:tcPr>
            <w:tcW w:type="dxa" w:w="1800"/>
            <w:tcBorders>
              <w:top w:val="single" w:color="C9C8C3" w:sz="4"/>
              <w:left w:val="single" w:color="C9C8C3" w:sz="4"/>
              <w:bottom w:val="single" w:color="C9C8C3" w:sz="4"/>
              <w:right w:val="single" w:color="C9C8C3" w:sz="4"/>
            </w:tcBorders>
            <w:tcMar>
              <w:top w:type="dxa" w:w="50"/>
              <w:left w:type="dxa" w:w="90"/>
              <w:bottom w:type="dxa" w:w="50"/>
              <w:right w:type="dxa" w:w="90"/>
            </w:tcMar>
          </w:tcPr>
          <w:p>
            <w:pPr>
              <w:keepNext/>
              <w:jc w:val="right"/>
            </w:pPr>
            <w:r>
              <w:rPr>
                <w:rFonts w:ascii="Calibri" w:cs="Calibri" w:eastAsia="Calibri" w:hAnsi="Calibri"/>
                <w:b w:val="false"/>
                <w:bCs w:val="false"/>
                <w:sz w:val="18"/>
                <w:szCs w:val="18"/>
              </w:rPr>
              <w:t xml:space="preserve">1.90</w:t>
            </w:r>
          </w:p>
        </w:tc>
        <w:tc>
          <w:tcPr>
            <w:tcW w:type="dxa" w:w="1800"/>
            <w:tcBorders>
              <w:top w:val="single" w:color="C9C8C3" w:sz="4"/>
              <w:left w:val="single" w:color="C9C8C3" w:sz="4"/>
              <w:bottom w:val="single" w:color="C9C8C3" w:sz="4"/>
              <w:right w:val="single" w:color="C9C8C3" w:sz="4"/>
            </w:tcBorders>
            <w:tcMar>
              <w:top w:type="dxa" w:w="50"/>
              <w:left w:type="dxa" w:w="90"/>
              <w:bottom w:type="dxa" w:w="50"/>
              <w:right w:type="dxa" w:w="90"/>
            </w:tcMar>
          </w:tcPr>
          <w:p>
            <w:pPr>
              <w:keepNext/>
              <w:jc w:val="right"/>
            </w:pPr>
            <w:r>
              <w:rPr>
                <w:rFonts w:ascii="Calibri" w:cs="Calibri" w:eastAsia="Calibri" w:hAnsi="Calibri"/>
                <w:b w:val="false"/>
                <w:bCs w:val="false"/>
                <w:sz w:val="18"/>
                <w:szCs w:val="18"/>
              </w:rPr>
              <w:t xml:space="preserve">2.02</w:t>
            </w:r>
          </w:p>
        </w:tc>
        <w:tc>
          <w:tcPr>
            <w:tcW w:type="dxa" w:w="1800"/>
            <w:tcBorders>
              <w:top w:val="single" w:color="C9C8C3" w:sz="4"/>
              <w:left w:val="single" w:color="C9C8C3" w:sz="4"/>
              <w:bottom w:val="single" w:color="C9C8C3" w:sz="4"/>
              <w:right w:val="single" w:color="C9C8C3" w:sz="4"/>
            </w:tcBorders>
            <w:tcMar>
              <w:top w:type="dxa" w:w="50"/>
              <w:left w:type="dxa" w:w="90"/>
              <w:bottom w:type="dxa" w:w="50"/>
              <w:right w:type="dxa" w:w="90"/>
            </w:tcMar>
          </w:tcPr>
          <w:p>
            <w:pPr>
              <w:keepNext/>
              <w:jc w:val="right"/>
            </w:pPr>
            <w:r>
              <w:rPr>
                <w:rFonts w:ascii="Calibri" w:cs="Calibri" w:eastAsia="Calibri" w:hAnsi="Calibri"/>
                <w:b w:val="false"/>
                <w:bCs w:val="false"/>
                <w:sz w:val="18"/>
                <w:szCs w:val="18"/>
              </w:rPr>
              <w:t xml:space="preserve">1.79</w:t>
            </w:r>
          </w:p>
        </w:tc>
        <w:tc>
          <w:tcPr>
            <w:tcW w:type="dxa" w:w="1760"/>
            <w:tcBorders>
              <w:top w:val="single" w:color="C9C8C3" w:sz="4"/>
              <w:left w:val="single" w:color="C9C8C3" w:sz="4"/>
              <w:bottom w:val="single" w:color="C9C8C3" w:sz="4"/>
              <w:right w:val="single" w:color="C9C8C3" w:sz="4"/>
            </w:tcBorders>
            <w:tcMar>
              <w:top w:type="dxa" w:w="50"/>
              <w:left w:type="dxa" w:w="90"/>
              <w:bottom w:type="dxa" w:w="50"/>
              <w:right w:type="dxa" w:w="90"/>
            </w:tcMar>
          </w:tcPr>
          <w:p>
            <w:pPr>
              <w:keepNext/>
              <w:jc w:val="right"/>
            </w:pPr>
            <w:r>
              <w:rPr>
                <w:rFonts w:ascii="Calibri" w:cs="Calibri" w:eastAsia="Calibri" w:hAnsi="Calibri"/>
                <w:b w:val="false"/>
                <w:bCs w:val="false"/>
                <w:sz w:val="18"/>
                <w:szCs w:val="18"/>
              </w:rPr>
              <w:t xml:space="preserve">2.35</w:t>
            </w:r>
          </w:p>
        </w:tc>
      </w:tr>
      <w:tr>
        <w:trPr>
          <w:cantSplit/>
        </w:trPr>
        <w:tc>
          <w:tcPr>
            <w:tcW w:type="dxa" w:w="900"/>
            <w:tcBorders>
              <w:top w:val="single" w:color="C9C8C3" w:sz="4"/>
              <w:left w:val="single" w:color="C9C8C3" w:sz="4"/>
              <w:bottom w:val="single" w:color="C9C8C3" w:sz="4"/>
              <w:right w:val="single" w:color="C9C8C3" w:sz="4"/>
            </w:tcBorders>
            <w:tcMar>
              <w:top w:type="dxa" w:w="50"/>
              <w:left w:type="dxa" w:w="90"/>
              <w:bottom w:type="dxa" w:w="50"/>
              <w:right w:type="dxa" w:w="90"/>
            </w:tcMar>
          </w:tcPr>
          <w:p>
            <w:pPr>
              <w:keepNext/>
              <w:jc w:val="left"/>
            </w:pPr>
            <w:r>
              <w:rPr>
                <w:rFonts w:ascii="Calibri" w:cs="Calibri" w:eastAsia="Calibri" w:hAnsi="Calibri"/>
                <w:b w:val="false"/>
                <w:bCs w:val="false"/>
                <w:sz w:val="18"/>
                <w:szCs w:val="18"/>
              </w:rPr>
              <w:t xml:space="preserve">#64</w:t>
            </w:r>
          </w:p>
        </w:tc>
        <w:tc>
          <w:tcPr>
            <w:tcW w:type="dxa" w:w="1300"/>
            <w:tcBorders>
              <w:top w:val="single" w:color="C9C8C3" w:sz="4"/>
              <w:left w:val="single" w:color="C9C8C3" w:sz="4"/>
              <w:bottom w:val="single" w:color="C9C8C3" w:sz="4"/>
              <w:right w:val="single" w:color="C9C8C3" w:sz="4"/>
            </w:tcBorders>
            <w:tcMar>
              <w:top w:type="dxa" w:w="50"/>
              <w:left w:type="dxa" w:w="90"/>
              <w:bottom w:type="dxa" w:w="50"/>
              <w:right w:type="dxa" w:w="90"/>
            </w:tcMar>
          </w:tcPr>
          <w:p>
            <w:pPr>
              <w:keepNext/>
              <w:jc w:val="right"/>
            </w:pPr>
            <w:r>
              <w:rPr>
                <w:rFonts w:ascii="Calibri" w:cs="Calibri" w:eastAsia="Calibri" w:hAnsi="Calibri"/>
                <w:b w:val="false"/>
                <w:bCs w:val="false"/>
                <w:sz w:val="18"/>
                <w:szCs w:val="18"/>
              </w:rPr>
              <w:t xml:space="preserve">3.7%</w:t>
            </w:r>
          </w:p>
        </w:tc>
        <w:tc>
          <w:tcPr>
            <w:tcW w:type="dxa" w:w="1800"/>
            <w:tcBorders>
              <w:top w:val="single" w:color="C9C8C3" w:sz="4"/>
              <w:left w:val="single" w:color="C9C8C3" w:sz="4"/>
              <w:bottom w:val="single" w:color="C9C8C3" w:sz="4"/>
              <w:right w:val="single" w:color="C9C8C3" w:sz="4"/>
            </w:tcBorders>
            <w:tcMar>
              <w:top w:type="dxa" w:w="50"/>
              <w:left w:type="dxa" w:w="90"/>
              <w:bottom w:type="dxa" w:w="50"/>
              <w:right w:type="dxa" w:w="90"/>
            </w:tcMar>
          </w:tcPr>
          <w:p>
            <w:pPr>
              <w:keepNext/>
              <w:jc w:val="right"/>
            </w:pPr>
            <w:r>
              <w:rPr>
                <w:rFonts w:ascii="Calibri" w:cs="Calibri" w:eastAsia="Calibri" w:hAnsi="Calibri"/>
                <w:b w:val="false"/>
                <w:bCs w:val="false"/>
                <w:sz w:val="18"/>
                <w:szCs w:val="18"/>
              </w:rPr>
              <w:t xml:space="preserve">0.96</w:t>
            </w:r>
          </w:p>
        </w:tc>
        <w:tc>
          <w:tcPr>
            <w:tcW w:type="dxa" w:w="1800"/>
            <w:tcBorders>
              <w:top w:val="single" w:color="C9C8C3" w:sz="4"/>
              <w:left w:val="single" w:color="C9C8C3" w:sz="4"/>
              <w:bottom w:val="single" w:color="C9C8C3" w:sz="4"/>
              <w:right w:val="single" w:color="C9C8C3" w:sz="4"/>
            </w:tcBorders>
            <w:tcMar>
              <w:top w:type="dxa" w:w="50"/>
              <w:left w:type="dxa" w:w="90"/>
              <w:bottom w:type="dxa" w:w="50"/>
              <w:right w:type="dxa" w:w="90"/>
            </w:tcMar>
          </w:tcPr>
          <w:p>
            <w:pPr>
              <w:keepNext/>
              <w:jc w:val="right"/>
            </w:pPr>
            <w:r>
              <w:rPr>
                <w:rFonts w:ascii="Calibri" w:cs="Calibri" w:eastAsia="Calibri" w:hAnsi="Calibri"/>
                <w:b w:val="false"/>
                <w:bCs w:val="false"/>
                <w:sz w:val="18"/>
                <w:szCs w:val="18"/>
              </w:rPr>
              <w:t xml:space="preserve">1.02</w:t>
            </w:r>
          </w:p>
        </w:tc>
        <w:tc>
          <w:tcPr>
            <w:tcW w:type="dxa" w:w="1800"/>
            <w:tcBorders>
              <w:top w:val="single" w:color="C9C8C3" w:sz="4"/>
              <w:left w:val="single" w:color="C9C8C3" w:sz="4"/>
              <w:bottom w:val="single" w:color="C9C8C3" w:sz="4"/>
              <w:right w:val="single" w:color="C9C8C3" w:sz="4"/>
            </w:tcBorders>
            <w:tcMar>
              <w:top w:type="dxa" w:w="50"/>
              <w:left w:type="dxa" w:w="90"/>
              <w:bottom w:type="dxa" w:w="50"/>
              <w:right w:type="dxa" w:w="90"/>
            </w:tcMar>
          </w:tcPr>
          <w:p>
            <w:pPr>
              <w:keepNext/>
              <w:jc w:val="right"/>
            </w:pPr>
            <w:r>
              <w:rPr>
                <w:rFonts w:ascii="Calibri" w:cs="Calibri" w:eastAsia="Calibri" w:hAnsi="Calibri"/>
                <w:b w:val="false"/>
                <w:bCs w:val="false"/>
                <w:sz w:val="18"/>
                <w:szCs w:val="18"/>
              </w:rPr>
              <w:t xml:space="preserve">0.91</w:t>
            </w:r>
          </w:p>
        </w:tc>
        <w:tc>
          <w:tcPr>
            <w:tcW w:type="dxa" w:w="1760"/>
            <w:tcBorders>
              <w:top w:val="single" w:color="C9C8C3" w:sz="4"/>
              <w:left w:val="single" w:color="C9C8C3" w:sz="4"/>
              <w:bottom w:val="single" w:color="C9C8C3" w:sz="4"/>
              <w:right w:val="single" w:color="C9C8C3" w:sz="4"/>
            </w:tcBorders>
            <w:tcMar>
              <w:top w:type="dxa" w:w="50"/>
              <w:left w:type="dxa" w:w="90"/>
              <w:bottom w:type="dxa" w:w="50"/>
              <w:right w:type="dxa" w:w="90"/>
            </w:tcMar>
          </w:tcPr>
          <w:p>
            <w:pPr>
              <w:keepNext/>
              <w:jc w:val="right"/>
            </w:pPr>
            <w:r>
              <w:rPr>
                <w:rFonts w:ascii="Calibri" w:cs="Calibri" w:eastAsia="Calibri" w:hAnsi="Calibri"/>
                <w:b w:val="false"/>
                <w:bCs w:val="false"/>
                <w:sz w:val="18"/>
                <w:szCs w:val="18"/>
              </w:rPr>
              <w:t xml:space="preserve">1.19</w:t>
            </w:r>
          </w:p>
        </w:tc>
      </w:tr>
      <w:tr>
        <w:trPr>
          <w:cantSplit/>
        </w:trPr>
        <w:tc>
          <w:tcPr>
            <w:tcW w:type="dxa" w:w="900"/>
            <w:tcBorders>
              <w:top w:val="single" w:color="C9C8C3" w:sz="4"/>
              <w:left w:val="single" w:color="C9C8C3" w:sz="4"/>
              <w:bottom w:val="single" w:color="C9C8C3" w:sz="4"/>
              <w:right w:val="single" w:color="C9C8C3" w:sz="4"/>
            </w:tcBorders>
            <w:tcMar>
              <w:top w:type="dxa" w:w="50"/>
              <w:left w:type="dxa" w:w="90"/>
              <w:bottom w:type="dxa" w:w="50"/>
              <w:right w:type="dxa" w:w="90"/>
            </w:tcMar>
          </w:tcPr>
          <w:p>
            <w:pPr>
              <w:keepNext/>
              <w:jc w:val="left"/>
            </w:pPr>
            <w:r>
              <w:rPr>
                <w:rFonts w:ascii="Calibri" w:cs="Calibri" w:eastAsia="Calibri" w:hAnsi="Calibri"/>
                <w:b w:val="false"/>
                <w:bCs w:val="false"/>
                <w:sz w:val="18"/>
                <w:szCs w:val="18"/>
              </w:rPr>
              <w:t xml:space="preserve">#100</w:t>
            </w:r>
          </w:p>
        </w:tc>
        <w:tc>
          <w:tcPr>
            <w:tcW w:type="dxa" w:w="1300"/>
            <w:tcBorders>
              <w:top w:val="single" w:color="C9C8C3" w:sz="4"/>
              <w:left w:val="single" w:color="C9C8C3" w:sz="4"/>
              <w:bottom w:val="single" w:color="C9C8C3" w:sz="4"/>
              <w:right w:val="single" w:color="C9C8C3" w:sz="4"/>
            </w:tcBorders>
            <w:tcMar>
              <w:top w:type="dxa" w:w="50"/>
              <w:left w:type="dxa" w:w="90"/>
              <w:bottom w:type="dxa" w:w="50"/>
              <w:right w:type="dxa" w:w="90"/>
            </w:tcMar>
          </w:tcPr>
          <w:p>
            <w:pPr>
              <w:keepNext/>
              <w:jc w:val="right"/>
            </w:pPr>
            <w:r>
              <w:rPr>
                <w:rFonts w:ascii="Calibri" w:cs="Calibri" w:eastAsia="Calibri" w:hAnsi="Calibri"/>
                <w:b w:val="false"/>
                <w:bCs w:val="false"/>
                <w:sz w:val="18"/>
                <w:szCs w:val="18"/>
              </w:rPr>
              <w:t xml:space="preserve">2.4%</w:t>
            </w:r>
          </w:p>
        </w:tc>
        <w:tc>
          <w:tcPr>
            <w:tcW w:type="dxa" w:w="1800"/>
            <w:tcBorders>
              <w:top w:val="single" w:color="C9C8C3" w:sz="4"/>
              <w:left w:val="single" w:color="C9C8C3" w:sz="4"/>
              <w:bottom w:val="single" w:color="C9C8C3" w:sz="4"/>
              <w:right w:val="single" w:color="C9C8C3" w:sz="4"/>
            </w:tcBorders>
            <w:tcMar>
              <w:top w:type="dxa" w:w="50"/>
              <w:left w:type="dxa" w:w="90"/>
              <w:bottom w:type="dxa" w:w="50"/>
              <w:right w:type="dxa" w:w="90"/>
            </w:tcMar>
          </w:tcPr>
          <w:p>
            <w:pPr>
              <w:keepNext/>
              <w:jc w:val="right"/>
            </w:pPr>
            <w:r>
              <w:rPr>
                <w:rFonts w:ascii="Calibri" w:cs="Calibri" w:eastAsia="Calibri" w:hAnsi="Calibri"/>
                <w:b w:val="false"/>
                <w:bCs w:val="false"/>
                <w:sz w:val="18"/>
                <w:szCs w:val="18"/>
              </w:rPr>
              <w:t xml:space="preserve">0.61</w:t>
            </w:r>
          </w:p>
        </w:tc>
        <w:tc>
          <w:tcPr>
            <w:tcW w:type="dxa" w:w="1800"/>
            <w:tcBorders>
              <w:top w:val="single" w:color="C9C8C3" w:sz="4"/>
              <w:left w:val="single" w:color="C9C8C3" w:sz="4"/>
              <w:bottom w:val="single" w:color="C9C8C3" w:sz="4"/>
              <w:right w:val="single" w:color="C9C8C3" w:sz="4"/>
            </w:tcBorders>
            <w:tcMar>
              <w:top w:type="dxa" w:w="50"/>
              <w:left w:type="dxa" w:w="90"/>
              <w:bottom w:type="dxa" w:w="50"/>
              <w:right w:type="dxa" w:w="90"/>
            </w:tcMar>
          </w:tcPr>
          <w:p>
            <w:pPr>
              <w:keepNext/>
              <w:jc w:val="right"/>
            </w:pPr>
            <w:r>
              <w:rPr>
                <w:rFonts w:ascii="Calibri" w:cs="Calibri" w:eastAsia="Calibri" w:hAnsi="Calibri"/>
                <w:b w:val="false"/>
                <w:bCs w:val="false"/>
                <w:sz w:val="18"/>
                <w:szCs w:val="18"/>
              </w:rPr>
              <w:t xml:space="preserve">0.65</w:t>
            </w:r>
          </w:p>
        </w:tc>
        <w:tc>
          <w:tcPr>
            <w:tcW w:type="dxa" w:w="1800"/>
            <w:tcBorders>
              <w:top w:val="single" w:color="C9C8C3" w:sz="4"/>
              <w:left w:val="single" w:color="C9C8C3" w:sz="4"/>
              <w:bottom w:val="single" w:color="C9C8C3" w:sz="4"/>
              <w:right w:val="single" w:color="C9C8C3" w:sz="4"/>
            </w:tcBorders>
            <w:tcMar>
              <w:top w:type="dxa" w:w="50"/>
              <w:left w:type="dxa" w:w="90"/>
              <w:bottom w:type="dxa" w:w="50"/>
              <w:right w:type="dxa" w:w="90"/>
            </w:tcMar>
          </w:tcPr>
          <w:p>
            <w:pPr>
              <w:keepNext/>
              <w:jc w:val="right"/>
            </w:pPr>
            <w:r>
              <w:rPr>
                <w:rFonts w:ascii="Calibri" w:cs="Calibri" w:eastAsia="Calibri" w:hAnsi="Calibri"/>
                <w:b w:val="false"/>
                <w:bCs w:val="false"/>
                <w:sz w:val="18"/>
                <w:szCs w:val="18"/>
              </w:rPr>
              <w:t xml:space="preserve">0.58</w:t>
            </w:r>
          </w:p>
        </w:tc>
        <w:tc>
          <w:tcPr>
            <w:tcW w:type="dxa" w:w="1760"/>
            <w:tcBorders>
              <w:top w:val="single" w:color="C9C8C3" w:sz="4"/>
              <w:left w:val="single" w:color="C9C8C3" w:sz="4"/>
              <w:bottom w:val="single" w:color="C9C8C3" w:sz="4"/>
              <w:right w:val="single" w:color="C9C8C3" w:sz="4"/>
            </w:tcBorders>
            <w:tcMar>
              <w:top w:type="dxa" w:w="50"/>
              <w:left w:type="dxa" w:w="90"/>
              <w:bottom w:type="dxa" w:w="50"/>
              <w:right w:type="dxa" w:w="90"/>
            </w:tcMar>
          </w:tcPr>
          <w:p>
            <w:pPr>
              <w:keepNext/>
              <w:jc w:val="right"/>
            </w:pPr>
            <w:r>
              <w:rPr>
                <w:rFonts w:ascii="Calibri" w:cs="Calibri" w:eastAsia="Calibri" w:hAnsi="Calibri"/>
                <w:b w:val="false"/>
                <w:bCs w:val="false"/>
                <w:sz w:val="18"/>
                <w:szCs w:val="18"/>
              </w:rPr>
              <w:t xml:space="preserve">0.76</w:t>
            </w:r>
          </w:p>
        </w:tc>
      </w:tr>
      <w:tr>
        <w:trPr>
          <w:cantSplit/>
        </w:trPr>
        <w:tc>
          <w:tcPr>
            <w:tcW w:type="dxa" w:w="900"/>
            <w:tcBorders>
              <w:top w:val="single" w:color="C9C8C3" w:sz="4"/>
              <w:left w:val="single" w:color="C9C8C3" w:sz="4"/>
              <w:bottom w:val="single" w:color="C9C8C3" w:sz="4"/>
              <w:right w:val="single" w:color="C9C8C3" w:sz="4"/>
            </w:tcBorders>
            <w:tcMar>
              <w:top w:type="dxa" w:w="50"/>
              <w:left w:type="dxa" w:w="90"/>
              <w:bottom w:type="dxa" w:w="50"/>
              <w:right w:type="dxa" w:w="90"/>
            </w:tcMar>
          </w:tcPr>
          <w:p>
            <w:pPr>
              <w:keepNext w:val="false"/>
              <w:jc w:val="left"/>
            </w:pPr>
            <w:r>
              <w:rPr>
                <w:rFonts w:ascii="Calibri" w:cs="Calibri" w:eastAsia="Calibri" w:hAnsi="Calibri"/>
                <w:b w:val="false"/>
                <w:bCs w:val="false"/>
                <w:sz w:val="18"/>
                <w:szCs w:val="18"/>
              </w:rPr>
              <w:t xml:space="preserve">#200</w:t>
            </w:r>
          </w:p>
        </w:tc>
        <w:tc>
          <w:tcPr>
            <w:tcW w:type="dxa" w:w="1300"/>
            <w:tcBorders>
              <w:top w:val="single" w:color="C9C8C3" w:sz="4"/>
              <w:left w:val="single" w:color="C9C8C3" w:sz="4"/>
              <w:bottom w:val="single" w:color="C9C8C3" w:sz="4"/>
              <w:right w:val="single" w:color="C9C8C3" w:sz="4"/>
            </w:tcBorders>
            <w:tcMar>
              <w:top w:type="dxa" w:w="50"/>
              <w:left w:type="dxa" w:w="90"/>
              <w:bottom w:type="dxa" w:w="50"/>
              <w:right w:type="dxa" w:w="90"/>
            </w:tcMar>
          </w:tcPr>
          <w:p>
            <w:pPr>
              <w:keepNext w:val="false"/>
              <w:jc w:val="right"/>
            </w:pPr>
            <w:r>
              <w:rPr>
                <w:rFonts w:ascii="Calibri" w:cs="Calibri" w:eastAsia="Calibri" w:hAnsi="Calibri"/>
                <w:b w:val="false"/>
                <w:bCs w:val="false"/>
                <w:sz w:val="18"/>
                <w:szCs w:val="18"/>
              </w:rPr>
              <w:t xml:space="preserve">0.4%</w:t>
            </w:r>
          </w:p>
        </w:tc>
        <w:tc>
          <w:tcPr>
            <w:tcW w:type="dxa" w:w="1800"/>
            <w:tcBorders>
              <w:top w:val="single" w:color="C9C8C3" w:sz="4"/>
              <w:left w:val="single" w:color="C9C8C3" w:sz="4"/>
              <w:bottom w:val="single" w:color="C9C8C3" w:sz="4"/>
              <w:right w:val="single" w:color="C9C8C3" w:sz="4"/>
            </w:tcBorders>
            <w:tcMar>
              <w:top w:type="dxa" w:w="50"/>
              <w:left w:type="dxa" w:w="90"/>
              <w:bottom w:type="dxa" w:w="50"/>
              <w:right w:type="dxa" w:w="90"/>
            </w:tcMar>
          </w:tcPr>
          <w:p>
            <w:pPr>
              <w:keepNext w:val="false"/>
              <w:jc w:val="right"/>
            </w:pPr>
            <w:r>
              <w:rPr>
                <w:rFonts w:ascii="Calibri" w:cs="Calibri" w:eastAsia="Calibri" w:hAnsi="Calibri"/>
                <w:b w:val="false"/>
                <w:bCs w:val="false"/>
                <w:sz w:val="18"/>
                <w:szCs w:val="18"/>
              </w:rPr>
              <w:t xml:space="preserve">0.10</w:t>
            </w:r>
          </w:p>
        </w:tc>
        <w:tc>
          <w:tcPr>
            <w:tcW w:type="dxa" w:w="1800"/>
            <w:tcBorders>
              <w:top w:val="single" w:color="C9C8C3" w:sz="4"/>
              <w:left w:val="single" w:color="C9C8C3" w:sz="4"/>
              <w:bottom w:val="single" w:color="C9C8C3" w:sz="4"/>
              <w:right w:val="single" w:color="C9C8C3" w:sz="4"/>
            </w:tcBorders>
            <w:tcMar>
              <w:top w:type="dxa" w:w="50"/>
              <w:left w:type="dxa" w:w="90"/>
              <w:bottom w:type="dxa" w:w="50"/>
              <w:right w:type="dxa" w:w="90"/>
            </w:tcMar>
          </w:tcPr>
          <w:p>
            <w:pPr>
              <w:keepNext w:val="false"/>
              <w:jc w:val="right"/>
            </w:pPr>
            <w:r>
              <w:rPr>
                <w:rFonts w:ascii="Calibri" w:cs="Calibri" w:eastAsia="Calibri" w:hAnsi="Calibri"/>
                <w:b w:val="false"/>
                <w:bCs w:val="false"/>
                <w:sz w:val="18"/>
                <w:szCs w:val="18"/>
              </w:rPr>
              <w:t xml:space="preserve">0.11</w:t>
            </w:r>
          </w:p>
        </w:tc>
        <w:tc>
          <w:tcPr>
            <w:tcW w:type="dxa" w:w="1800"/>
            <w:tcBorders>
              <w:top w:val="single" w:color="C9C8C3" w:sz="4"/>
              <w:left w:val="single" w:color="C9C8C3" w:sz="4"/>
              <w:bottom w:val="single" w:color="C9C8C3" w:sz="4"/>
              <w:right w:val="single" w:color="C9C8C3" w:sz="4"/>
            </w:tcBorders>
            <w:tcMar>
              <w:top w:type="dxa" w:w="50"/>
              <w:left w:type="dxa" w:w="90"/>
              <w:bottom w:type="dxa" w:w="50"/>
              <w:right w:type="dxa" w:w="90"/>
            </w:tcMar>
          </w:tcPr>
          <w:p>
            <w:pPr>
              <w:keepNext w:val="false"/>
              <w:jc w:val="right"/>
            </w:pPr>
            <w:r>
              <w:rPr>
                <w:rFonts w:ascii="Calibri" w:cs="Calibri" w:eastAsia="Calibri" w:hAnsi="Calibri"/>
                <w:b w:val="false"/>
                <w:bCs w:val="false"/>
                <w:sz w:val="18"/>
                <w:szCs w:val="18"/>
              </w:rPr>
              <w:t xml:space="preserve">0.10</w:t>
            </w:r>
          </w:p>
        </w:tc>
        <w:tc>
          <w:tcPr>
            <w:tcW w:type="dxa" w:w="1760"/>
            <w:tcBorders>
              <w:top w:val="single" w:color="C9C8C3" w:sz="4"/>
              <w:left w:val="single" w:color="C9C8C3" w:sz="4"/>
              <w:bottom w:val="single" w:color="C9C8C3" w:sz="4"/>
              <w:right w:val="single" w:color="C9C8C3" w:sz="4"/>
            </w:tcBorders>
            <w:tcMar>
              <w:top w:type="dxa" w:w="50"/>
              <w:left w:type="dxa" w:w="90"/>
              <w:bottom w:type="dxa" w:w="50"/>
              <w:right w:type="dxa" w:w="90"/>
            </w:tcMar>
          </w:tcPr>
          <w:p>
            <w:pPr>
              <w:keepNext w:val="false"/>
              <w:jc w:val="right"/>
            </w:pPr>
            <w:r>
              <w:rPr>
                <w:rFonts w:ascii="Calibri" w:cs="Calibri" w:eastAsia="Calibri" w:hAnsi="Calibri"/>
                <w:b w:val="false"/>
                <w:bCs w:val="false"/>
                <w:sz w:val="18"/>
                <w:szCs w:val="18"/>
              </w:rPr>
              <w:t xml:space="preserve">0.12</w:t>
            </w:r>
          </w:p>
        </w:tc>
      </w:tr>
    </w:tbl>
    <w:p>
      <w:pPr>
        <w:spacing w:after="200" w:before="40"/>
      </w:pPr>
      <w:r>
        <w:rPr>
          <w:rFonts w:ascii="Calibri" w:cs="Calibri" w:eastAsia="Calibri" w:hAnsi="Calibri"/>
          <w:color w:val="52514E"/>
          <w:sz w:val="18"/>
          <w:szCs w:val="18"/>
        </w:rPr>
        <w:t xml:space="preserve">Standard errors of the knowable scale: 6.2 (2017-18, two drafts), 3.7 (2019-20), 3.1 (2021-22); pooled 2.7. Source: pick_curve.py v1.1.</w:t>
      </w:r>
    </w:p>
    <w:p>
      <w:pPr>
        <w:spacing w:after="120" w:before="60" w:line="276"/>
        <w:jc w:val="left"/>
      </w:pPr>
      <w:r>
        <w:rPr>
          <w:rFonts w:ascii="Calibri" w:cs="Calibri" w:eastAsia="Calibri" w:hAnsi="Calibri"/>
        </w:rPr>
        <w:t xml:space="preserve">The cost is noise early on: the 2017-18 scale rests on two drafts. Across the 634 traded picks, the knowable scale values them at $575.4M in all against $704.8M pooled, -18.4%. The player model pools its price line across seasons; that is defensible there because the line passed its test of stability over time, which the pick scale fails.</w:t>
      </w:r>
    </w:p>
    <w:p>
      <w:pPr>
        <w:pStyle w:val="Heading1"/>
        <w:spacing w:after="120" w:before="280"/>
      </w:pPr>
      <w:r>
        <w:rPr>
          <w:rFonts w:ascii="Calibri" w:cs="Calibri" w:eastAsia="Calibri" w:hAnsi="Calibri"/>
        </w:rPr>
        <w:t xml:space="preserve">6. Valuing the Picks That Changed Hands</w:t>
      </w:r>
    </w:p>
    <w:p>
      <w:pPr>
        <w:spacing w:after="120" w:before="60" w:line="276"/>
        <w:jc w:val="left"/>
      </w:pPr>
      <w:r>
        <w:rPr>
          <w:rFonts w:ascii="Calibri" w:cs="Calibri" w:eastAsia="Calibri" w:hAnsi="Calibri"/>
        </w:rPr>
        <w:t xml:space="preserve">A traded pick's slot is often unknown at the trade. The curve needs a slot, or a set of slots, for each one:</w:t>
      </w:r>
    </w:p>
    <w:p>
      <w:pPr>
        <w:pStyle w:val="ListParagraph"/>
        <w:numPr>
          <w:ilvl w:val="0"/>
          <w:numId w:val="3"/>
        </w:numPr>
        <w:spacing w:after="60"/>
      </w:pPr>
      <w:r>
        <w:rPr>
          <w:rFonts w:ascii="Calibri" w:cs="Calibri" w:eastAsia="Calibri" w:hAnsi="Calibri"/>
          <w:b/>
          <w:bCs/>
        </w:rPr>
        <w:t xml:space="preserve">Traded during its own draft:</w:t>
      </w:r>
      <w:r>
        <w:rPr>
          <w:rFonts w:ascii="Calibri" w:cs="Calibri" w:eastAsia="Calibri" w:hAnsi="Calibri"/>
        </w:rPr>
        <w:t xml:space="preserve"> the actual slot, which is known on the draft floor.</w:t>
      </w:r>
    </w:p>
    <w:p>
      <w:pPr>
        <w:pStyle w:val="ListParagraph"/>
        <w:numPr>
          <w:ilvl w:val="0"/>
          <w:numId w:val="3"/>
        </w:numPr>
        <w:spacing w:after="60"/>
      </w:pPr>
      <w:r>
        <w:rPr>
          <w:rFonts w:ascii="Calibri" w:cs="Calibri" w:eastAsia="Calibri" w:hAnsi="Calibri"/>
          <w:b/>
          <w:bCs/>
        </w:rPr>
        <w:t xml:space="preserve">The next draft's pick, traded during the season:</w:t>
      </w:r>
      <w:r>
        <w:rPr>
          <w:rFonts w:ascii="Calibri" w:cs="Calibri" w:eastAsia="Calibri" w:hAnsi="Calibri"/>
        </w:rPr>
        <w:t xml:space="preserve"> the slot that the original team's place in the standings on the trade date gives (points percentage, worst first). The lottery and playoff results that later reorder the draft are not modelled; once the regular season ends, the standings are final.</w:t>
      </w:r>
    </w:p>
    <w:p>
      <w:pPr>
        <w:pStyle w:val="ListParagraph"/>
        <w:numPr>
          <w:ilvl w:val="0"/>
          <w:numId w:val="3"/>
        </w:numPr>
        <w:spacing w:after="60"/>
      </w:pPr>
      <w:r>
        <w:rPr>
          <w:rFonts w:ascii="Calibri" w:cs="Calibri" w:eastAsia="Calibri" w:hAnsi="Calibri"/>
          <w:b/>
          <w:bCs/>
        </w:rPr>
        <w:t xml:space="preserve">The next draft's pick traded before that season's first game, or any later draft's pick:</w:t>
      </w:r>
      <w:r>
        <w:rPr>
          <w:rFonts w:ascii="Calibri" w:cs="Calibri" w:eastAsia="Calibri" w:hAnsi="Calibri"/>
        </w:rPr>
        <w:t xml:space="preserve"> the average star probability over the round's slots, for that draft's number of teams. A slot a year or more ahead is not known, and the round average assumes no information about it.</w:t>
      </w:r>
    </w:p>
    <w:p>
      <w:pPr>
        <w:spacing w:after="120" w:before="60" w:line="276"/>
        <w:jc w:val="left"/>
      </w:pPr>
      <w:r>
        <w:rPr>
          <w:rFonts w:ascii="Calibri" w:cs="Calibri" w:eastAsia="Calibri" w:hAnsi="Calibri"/>
        </w:rPr>
        <w:t xml:space="preserve">"The next draft" is the first draft on or after the trade date. This matters because the 2020 draft was held in October and the 2021 draft in late July, so picks for them were still being traded after July 1. Table 6 counts the 634 picks traded from July 2017 to March 28, 2022, where the trade inventory ends. Projected from the trade-date standings, 97 of 156 slots land within three of the slot actually used (median miss 2); the largest miss among first-round picks is 10, which is lottery movement.</w:t>
      </w:r>
    </w:p>
    <w:p>
      <w:pPr>
        <w:keepNext/>
        <w:spacing w:after="60" w:before="160"/>
      </w:pPr>
      <w:r>
        <w:rPr>
          <w:rFonts w:ascii="Calibri" w:cs="Calibri" w:eastAsia="Calibri" w:hAnsi="Calibri"/>
          <w:b/>
          <w:bCs/>
          <w:sz w:val="20"/>
          <w:szCs w:val="20"/>
        </w:rPr>
        <w:t xml:space="preserve">Table 6. Traded picks by how the slot was set ($M)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200"/>
        <w:gridCol w:w="1100"/>
        <w:gridCol w:w="2000"/>
        <w:gridCol w:w="2060"/>
      </w:tblGrid>
      <w:tr>
        <w:trPr>
          <w:tblHeader/>
        </w:trPr>
        <w:tc>
          <w:tcPr>
            <w:tcW w:type="dxa" w:w="4200"/>
            <w:tcBorders>
              <w:top w:val="single" w:color="C9C8C3" w:sz="4"/>
              <w:left w:val="single" w:color="C9C8C3" w:sz="4"/>
              <w:bottom w:val="single" w:color="C9C8C3" w:sz="4"/>
              <w:right w:val="single" w:color="C9C8C3" w:sz="4"/>
            </w:tcBorders>
            <w:shd w:fill="EFEEEA" w:color="auto" w:val="clear"/>
            <w:tcMar>
              <w:top w:type="dxa" w:w="50"/>
              <w:left w:type="dxa" w:w="90"/>
              <w:bottom w:type="dxa" w:w="50"/>
              <w:right w:type="dxa" w:w="90"/>
            </w:tcMar>
          </w:tcPr>
          <w:p>
            <w:pPr>
              <w:keepNext/>
              <w:jc w:val="left"/>
            </w:pPr>
            <w:r>
              <w:rPr>
                <w:rFonts w:ascii="Calibri" w:cs="Calibri" w:eastAsia="Calibri" w:hAnsi="Calibri"/>
                <w:b/>
                <w:bCs/>
                <w:sz w:val="18"/>
                <w:szCs w:val="18"/>
              </w:rPr>
              <w:t xml:space="preserve">How the slot was set</w:t>
            </w:r>
          </w:p>
        </w:tc>
        <w:tc>
          <w:tcPr>
            <w:tcW w:type="dxa" w:w="1100"/>
            <w:tcBorders>
              <w:top w:val="single" w:color="C9C8C3" w:sz="4"/>
              <w:left w:val="single" w:color="C9C8C3" w:sz="4"/>
              <w:bottom w:val="single" w:color="C9C8C3" w:sz="4"/>
              <w:right w:val="single" w:color="C9C8C3" w:sz="4"/>
            </w:tcBorders>
            <w:shd w:fill="EFEEEA" w:color="auto" w:val="clear"/>
            <w:tcMar>
              <w:top w:type="dxa" w:w="50"/>
              <w:left w:type="dxa" w:w="90"/>
              <w:bottom w:type="dxa" w:w="50"/>
              <w:right w:type="dxa" w:w="90"/>
            </w:tcMar>
          </w:tcPr>
          <w:p>
            <w:pPr>
              <w:keepNext/>
              <w:jc w:val="right"/>
            </w:pPr>
            <w:r>
              <w:rPr>
                <w:rFonts w:ascii="Calibri" w:cs="Calibri" w:eastAsia="Calibri" w:hAnsi="Calibri"/>
                <w:b/>
                <w:bCs/>
                <w:sz w:val="18"/>
                <w:szCs w:val="18"/>
              </w:rPr>
              <w:t xml:space="preserve">Picks</w:t>
            </w:r>
          </w:p>
        </w:tc>
        <w:tc>
          <w:tcPr>
            <w:tcW w:type="dxa" w:w="2000"/>
            <w:tcBorders>
              <w:top w:val="single" w:color="C9C8C3" w:sz="4"/>
              <w:left w:val="single" w:color="C9C8C3" w:sz="4"/>
              <w:bottom w:val="single" w:color="C9C8C3" w:sz="4"/>
              <w:right w:val="single" w:color="C9C8C3" w:sz="4"/>
            </w:tcBorders>
            <w:shd w:fill="EFEEEA" w:color="auto" w:val="clear"/>
            <w:tcMar>
              <w:top w:type="dxa" w:w="50"/>
              <w:left w:type="dxa" w:w="90"/>
              <w:bottom w:type="dxa" w:w="50"/>
              <w:right w:type="dxa" w:w="90"/>
            </w:tcMar>
          </w:tcPr>
          <w:p>
            <w:pPr>
              <w:keepNext/>
              <w:jc w:val="right"/>
            </w:pPr>
            <w:r>
              <w:rPr>
                <w:rFonts w:ascii="Calibri" w:cs="Calibri" w:eastAsia="Calibri" w:hAnsi="Calibri"/>
                <w:b/>
                <w:bCs/>
                <w:sz w:val="18"/>
                <w:szCs w:val="18"/>
              </w:rPr>
              <w:t xml:space="preserve">Knowable scale</w:t>
            </w:r>
          </w:p>
        </w:tc>
        <w:tc>
          <w:tcPr>
            <w:tcW w:type="dxa" w:w="2060"/>
            <w:tcBorders>
              <w:top w:val="single" w:color="C9C8C3" w:sz="4"/>
              <w:left w:val="single" w:color="C9C8C3" w:sz="4"/>
              <w:bottom w:val="single" w:color="C9C8C3" w:sz="4"/>
              <w:right w:val="single" w:color="C9C8C3" w:sz="4"/>
            </w:tcBorders>
            <w:shd w:fill="EFEEEA" w:color="auto" w:val="clear"/>
            <w:tcMar>
              <w:top w:type="dxa" w:w="50"/>
              <w:left w:type="dxa" w:w="90"/>
              <w:bottom w:type="dxa" w:w="50"/>
              <w:right w:type="dxa" w:w="90"/>
            </w:tcMar>
          </w:tcPr>
          <w:p>
            <w:pPr>
              <w:keepNext/>
              <w:jc w:val="right"/>
            </w:pPr>
            <w:r>
              <w:rPr>
                <w:rFonts w:ascii="Calibri" w:cs="Calibri" w:eastAsia="Calibri" w:hAnsi="Calibri"/>
                <w:b/>
                <w:bCs/>
                <w:sz w:val="18"/>
                <w:szCs w:val="18"/>
              </w:rPr>
              <w:t xml:space="preserve">Pooled scale</w:t>
            </w:r>
          </w:p>
        </w:tc>
      </w:tr>
      <w:tr>
        <w:trPr>
          <w:cantSplit/>
        </w:trPr>
        <w:tc>
          <w:tcPr>
            <w:tcW w:type="dxa" w:w="4200"/>
            <w:tcBorders>
              <w:top w:val="single" w:color="C9C8C3" w:sz="4"/>
              <w:left w:val="single" w:color="C9C8C3" w:sz="4"/>
              <w:bottom w:val="single" w:color="C9C8C3" w:sz="4"/>
              <w:right w:val="single" w:color="C9C8C3" w:sz="4"/>
            </w:tcBorders>
            <w:tcMar>
              <w:top w:type="dxa" w:w="50"/>
              <w:left w:type="dxa" w:w="90"/>
              <w:bottom w:type="dxa" w:w="50"/>
              <w:right w:type="dxa" w:w="90"/>
            </w:tcMar>
          </w:tcPr>
          <w:p>
            <w:pPr>
              <w:keepNext/>
              <w:jc w:val="left"/>
            </w:pPr>
            <w:r>
              <w:rPr>
                <w:rFonts w:ascii="Calibri" w:cs="Calibri" w:eastAsia="Calibri" w:hAnsi="Calibri"/>
                <w:b w:val="false"/>
                <w:bCs w:val="false"/>
                <w:sz w:val="18"/>
                <w:szCs w:val="18"/>
              </w:rPr>
              <w:t xml:space="preserve">Actual slot, traded during the draft</w:t>
            </w:r>
          </w:p>
        </w:tc>
        <w:tc>
          <w:tcPr>
            <w:tcW w:type="dxa" w:w="1100"/>
            <w:tcBorders>
              <w:top w:val="single" w:color="C9C8C3" w:sz="4"/>
              <w:left w:val="single" w:color="C9C8C3" w:sz="4"/>
              <w:bottom w:val="single" w:color="C9C8C3" w:sz="4"/>
              <w:right w:val="single" w:color="C9C8C3" w:sz="4"/>
            </w:tcBorders>
            <w:tcMar>
              <w:top w:type="dxa" w:w="50"/>
              <w:left w:type="dxa" w:w="90"/>
              <w:bottom w:type="dxa" w:w="50"/>
              <w:right w:type="dxa" w:w="90"/>
            </w:tcMar>
          </w:tcPr>
          <w:p>
            <w:pPr>
              <w:keepNext/>
              <w:jc w:val="right"/>
            </w:pPr>
            <w:r>
              <w:rPr>
                <w:rFonts w:ascii="Calibri" w:cs="Calibri" w:eastAsia="Calibri" w:hAnsi="Calibri"/>
                <w:b w:val="false"/>
                <w:bCs w:val="false"/>
                <w:sz w:val="18"/>
                <w:szCs w:val="18"/>
              </w:rPr>
              <w:t xml:space="preserve">188</w:t>
            </w:r>
          </w:p>
        </w:tc>
        <w:tc>
          <w:tcPr>
            <w:tcW w:type="dxa" w:w="2000"/>
            <w:tcBorders>
              <w:top w:val="single" w:color="C9C8C3" w:sz="4"/>
              <w:left w:val="single" w:color="C9C8C3" w:sz="4"/>
              <w:bottom w:val="single" w:color="C9C8C3" w:sz="4"/>
              <w:right w:val="single" w:color="C9C8C3" w:sz="4"/>
            </w:tcBorders>
            <w:tcMar>
              <w:top w:type="dxa" w:w="50"/>
              <w:left w:type="dxa" w:w="90"/>
              <w:bottom w:type="dxa" w:w="50"/>
              <w:right w:type="dxa" w:w="90"/>
            </w:tcMar>
          </w:tcPr>
          <w:p>
            <w:pPr>
              <w:keepNext/>
              <w:jc w:val="right"/>
            </w:pPr>
            <w:r>
              <w:rPr>
                <w:rFonts w:ascii="Calibri" w:cs="Calibri" w:eastAsia="Calibri" w:hAnsi="Calibri"/>
                <w:b w:val="false"/>
                <w:bCs w:val="false"/>
                <w:sz w:val="18"/>
                <w:szCs w:val="18"/>
              </w:rPr>
              <w:t xml:space="preserve">173.4</w:t>
            </w:r>
          </w:p>
        </w:tc>
        <w:tc>
          <w:tcPr>
            <w:tcW w:type="dxa" w:w="2060"/>
            <w:tcBorders>
              <w:top w:val="single" w:color="C9C8C3" w:sz="4"/>
              <w:left w:val="single" w:color="C9C8C3" w:sz="4"/>
              <w:bottom w:val="single" w:color="C9C8C3" w:sz="4"/>
              <w:right w:val="single" w:color="C9C8C3" w:sz="4"/>
            </w:tcBorders>
            <w:tcMar>
              <w:top w:type="dxa" w:w="50"/>
              <w:left w:type="dxa" w:w="90"/>
              <w:bottom w:type="dxa" w:w="50"/>
              <w:right w:type="dxa" w:w="90"/>
            </w:tcMar>
          </w:tcPr>
          <w:p>
            <w:pPr>
              <w:keepNext/>
              <w:jc w:val="right"/>
            </w:pPr>
            <w:r>
              <w:rPr>
                <w:rFonts w:ascii="Calibri" w:cs="Calibri" w:eastAsia="Calibri" w:hAnsi="Calibri"/>
                <w:b w:val="false"/>
                <w:bCs w:val="false"/>
                <w:sz w:val="18"/>
                <w:szCs w:val="18"/>
              </w:rPr>
              <w:t xml:space="preserve">213.3</w:t>
            </w:r>
          </w:p>
        </w:tc>
      </w:tr>
      <w:tr>
        <w:trPr>
          <w:cantSplit/>
        </w:trPr>
        <w:tc>
          <w:tcPr>
            <w:tcW w:type="dxa" w:w="4200"/>
            <w:tcBorders>
              <w:top w:val="single" w:color="C9C8C3" w:sz="4"/>
              <w:left w:val="single" w:color="C9C8C3" w:sz="4"/>
              <w:bottom w:val="single" w:color="C9C8C3" w:sz="4"/>
              <w:right w:val="single" w:color="C9C8C3" w:sz="4"/>
            </w:tcBorders>
            <w:tcMar>
              <w:top w:type="dxa" w:w="50"/>
              <w:left w:type="dxa" w:w="90"/>
              <w:bottom w:type="dxa" w:w="50"/>
              <w:right w:type="dxa" w:w="90"/>
            </w:tcMar>
          </w:tcPr>
          <w:p>
            <w:pPr>
              <w:keepNext/>
              <w:jc w:val="left"/>
            </w:pPr>
            <w:r>
              <w:rPr>
                <w:rFonts w:ascii="Calibri" w:cs="Calibri" w:eastAsia="Calibri" w:hAnsi="Calibri"/>
                <w:b w:val="false"/>
                <w:bCs w:val="false"/>
                <w:sz w:val="18"/>
                <w:szCs w:val="18"/>
              </w:rPr>
              <w:t xml:space="preserve">Standings on the trade date</w:t>
            </w:r>
          </w:p>
        </w:tc>
        <w:tc>
          <w:tcPr>
            <w:tcW w:type="dxa" w:w="1100"/>
            <w:tcBorders>
              <w:top w:val="single" w:color="C9C8C3" w:sz="4"/>
              <w:left w:val="single" w:color="C9C8C3" w:sz="4"/>
              <w:bottom w:val="single" w:color="C9C8C3" w:sz="4"/>
              <w:right w:val="single" w:color="C9C8C3" w:sz="4"/>
            </w:tcBorders>
            <w:tcMar>
              <w:top w:type="dxa" w:w="50"/>
              <w:left w:type="dxa" w:w="90"/>
              <w:bottom w:type="dxa" w:w="50"/>
              <w:right w:type="dxa" w:w="90"/>
            </w:tcMar>
          </w:tcPr>
          <w:p>
            <w:pPr>
              <w:keepNext/>
              <w:jc w:val="right"/>
            </w:pPr>
            <w:r>
              <w:rPr>
                <w:rFonts w:ascii="Calibri" w:cs="Calibri" w:eastAsia="Calibri" w:hAnsi="Calibri"/>
                <w:b w:val="false"/>
                <w:bCs w:val="false"/>
                <w:sz w:val="18"/>
                <w:szCs w:val="18"/>
              </w:rPr>
              <w:t xml:space="preserve">156</w:t>
            </w:r>
          </w:p>
        </w:tc>
        <w:tc>
          <w:tcPr>
            <w:tcW w:type="dxa" w:w="2000"/>
            <w:tcBorders>
              <w:top w:val="single" w:color="C9C8C3" w:sz="4"/>
              <w:left w:val="single" w:color="C9C8C3" w:sz="4"/>
              <w:bottom w:val="single" w:color="C9C8C3" w:sz="4"/>
              <w:right w:val="single" w:color="C9C8C3" w:sz="4"/>
            </w:tcBorders>
            <w:tcMar>
              <w:top w:type="dxa" w:w="50"/>
              <w:left w:type="dxa" w:w="90"/>
              <w:bottom w:type="dxa" w:w="50"/>
              <w:right w:type="dxa" w:w="90"/>
            </w:tcMar>
          </w:tcPr>
          <w:p>
            <w:pPr>
              <w:keepNext/>
              <w:jc w:val="right"/>
            </w:pPr>
            <w:r>
              <w:rPr>
                <w:rFonts w:ascii="Calibri" w:cs="Calibri" w:eastAsia="Calibri" w:hAnsi="Calibri"/>
                <w:b w:val="false"/>
                <w:bCs w:val="false"/>
                <w:sz w:val="18"/>
                <w:szCs w:val="18"/>
              </w:rPr>
              <w:t xml:space="preserve">152.7</w:t>
            </w:r>
          </w:p>
        </w:tc>
        <w:tc>
          <w:tcPr>
            <w:tcW w:type="dxa" w:w="2060"/>
            <w:tcBorders>
              <w:top w:val="single" w:color="C9C8C3" w:sz="4"/>
              <w:left w:val="single" w:color="C9C8C3" w:sz="4"/>
              <w:bottom w:val="single" w:color="C9C8C3" w:sz="4"/>
              <w:right w:val="single" w:color="C9C8C3" w:sz="4"/>
            </w:tcBorders>
            <w:tcMar>
              <w:top w:type="dxa" w:w="50"/>
              <w:left w:type="dxa" w:w="90"/>
              <w:bottom w:type="dxa" w:w="50"/>
              <w:right w:type="dxa" w:w="90"/>
            </w:tcMar>
          </w:tcPr>
          <w:p>
            <w:pPr>
              <w:keepNext/>
              <w:jc w:val="right"/>
            </w:pPr>
            <w:r>
              <w:rPr>
                <w:rFonts w:ascii="Calibri" w:cs="Calibri" w:eastAsia="Calibri" w:hAnsi="Calibri"/>
                <w:b w:val="false"/>
                <w:bCs w:val="false"/>
                <w:sz w:val="18"/>
                <w:szCs w:val="18"/>
              </w:rPr>
              <w:t xml:space="preserve">185.4</w:t>
            </w:r>
          </w:p>
        </w:tc>
      </w:tr>
      <w:tr>
        <w:trPr>
          <w:cantSplit/>
        </w:trPr>
        <w:tc>
          <w:tcPr>
            <w:tcW w:type="dxa" w:w="4200"/>
            <w:tcBorders>
              <w:top w:val="single" w:color="C9C8C3" w:sz="4"/>
              <w:left w:val="single" w:color="C9C8C3" w:sz="4"/>
              <w:bottom w:val="single" w:color="C9C8C3" w:sz="4"/>
              <w:right w:val="single" w:color="C9C8C3" w:sz="4"/>
            </w:tcBorders>
            <w:tcMar>
              <w:top w:type="dxa" w:w="50"/>
              <w:left w:type="dxa" w:w="90"/>
              <w:bottom w:type="dxa" w:w="50"/>
              <w:right w:type="dxa" w:w="90"/>
            </w:tcMar>
          </w:tcPr>
          <w:p>
            <w:pPr>
              <w:keepNext/>
              <w:jc w:val="left"/>
            </w:pPr>
            <w:r>
              <w:rPr>
                <w:rFonts w:ascii="Calibri" w:cs="Calibri" w:eastAsia="Calibri" w:hAnsi="Calibri"/>
                <w:b w:val="false"/>
                <w:bCs w:val="false"/>
                <w:sz w:val="18"/>
                <w:szCs w:val="18"/>
              </w:rPr>
              <w:t xml:space="preserve">Round average, before the season began</w:t>
            </w:r>
          </w:p>
        </w:tc>
        <w:tc>
          <w:tcPr>
            <w:tcW w:type="dxa" w:w="1100"/>
            <w:tcBorders>
              <w:top w:val="single" w:color="C9C8C3" w:sz="4"/>
              <w:left w:val="single" w:color="C9C8C3" w:sz="4"/>
              <w:bottom w:val="single" w:color="C9C8C3" w:sz="4"/>
              <w:right w:val="single" w:color="C9C8C3" w:sz="4"/>
            </w:tcBorders>
            <w:tcMar>
              <w:top w:type="dxa" w:w="50"/>
              <w:left w:type="dxa" w:w="90"/>
              <w:bottom w:type="dxa" w:w="50"/>
              <w:right w:type="dxa" w:w="90"/>
            </w:tcMar>
          </w:tcPr>
          <w:p>
            <w:pPr>
              <w:keepNext/>
              <w:jc w:val="right"/>
            </w:pPr>
            <w:r>
              <w:rPr>
                <w:rFonts w:ascii="Calibri" w:cs="Calibri" w:eastAsia="Calibri" w:hAnsi="Calibri"/>
                <w:b w:val="false"/>
                <w:bCs w:val="false"/>
                <w:sz w:val="18"/>
                <w:szCs w:val="18"/>
              </w:rPr>
              <w:t xml:space="preserve">51</w:t>
            </w:r>
          </w:p>
        </w:tc>
        <w:tc>
          <w:tcPr>
            <w:tcW w:type="dxa" w:w="2000"/>
            <w:tcBorders>
              <w:top w:val="single" w:color="C9C8C3" w:sz="4"/>
              <w:left w:val="single" w:color="C9C8C3" w:sz="4"/>
              <w:bottom w:val="single" w:color="C9C8C3" w:sz="4"/>
              <w:right w:val="single" w:color="C9C8C3" w:sz="4"/>
            </w:tcBorders>
            <w:tcMar>
              <w:top w:type="dxa" w:w="50"/>
              <w:left w:type="dxa" w:w="90"/>
              <w:bottom w:type="dxa" w:w="50"/>
              <w:right w:type="dxa" w:w="90"/>
            </w:tcMar>
          </w:tcPr>
          <w:p>
            <w:pPr>
              <w:keepNext/>
              <w:jc w:val="right"/>
            </w:pPr>
            <w:r>
              <w:rPr>
                <w:rFonts w:ascii="Calibri" w:cs="Calibri" w:eastAsia="Calibri" w:hAnsi="Calibri"/>
                <w:b w:val="false"/>
                <w:bCs w:val="false"/>
                <w:sz w:val="18"/>
                <w:szCs w:val="18"/>
              </w:rPr>
              <w:t xml:space="preserve">47.0</w:t>
            </w:r>
          </w:p>
        </w:tc>
        <w:tc>
          <w:tcPr>
            <w:tcW w:type="dxa" w:w="2060"/>
            <w:tcBorders>
              <w:top w:val="single" w:color="C9C8C3" w:sz="4"/>
              <w:left w:val="single" w:color="C9C8C3" w:sz="4"/>
              <w:bottom w:val="single" w:color="C9C8C3" w:sz="4"/>
              <w:right w:val="single" w:color="C9C8C3" w:sz="4"/>
            </w:tcBorders>
            <w:tcMar>
              <w:top w:type="dxa" w:w="50"/>
              <w:left w:type="dxa" w:w="90"/>
              <w:bottom w:type="dxa" w:w="50"/>
              <w:right w:type="dxa" w:w="90"/>
            </w:tcMar>
          </w:tcPr>
          <w:p>
            <w:pPr>
              <w:keepNext/>
              <w:jc w:val="right"/>
            </w:pPr>
            <w:r>
              <w:rPr>
                <w:rFonts w:ascii="Calibri" w:cs="Calibri" w:eastAsia="Calibri" w:hAnsi="Calibri"/>
                <w:b w:val="false"/>
                <w:bCs w:val="false"/>
                <w:sz w:val="18"/>
                <w:szCs w:val="18"/>
              </w:rPr>
              <w:t xml:space="preserve">57.2</w:t>
            </w:r>
          </w:p>
        </w:tc>
      </w:tr>
      <w:tr>
        <w:trPr>
          <w:cantSplit/>
        </w:trPr>
        <w:tc>
          <w:tcPr>
            <w:tcW w:type="dxa" w:w="4200"/>
            <w:tcBorders>
              <w:top w:val="single" w:color="C9C8C3" w:sz="4"/>
              <w:left w:val="single" w:color="C9C8C3" w:sz="4"/>
              <w:bottom w:val="single" w:color="C9C8C3" w:sz="4"/>
              <w:right w:val="single" w:color="C9C8C3" w:sz="4"/>
            </w:tcBorders>
            <w:tcMar>
              <w:top w:type="dxa" w:w="50"/>
              <w:left w:type="dxa" w:w="90"/>
              <w:bottom w:type="dxa" w:w="50"/>
              <w:right w:type="dxa" w:w="90"/>
            </w:tcMar>
          </w:tcPr>
          <w:p>
            <w:pPr>
              <w:keepNext/>
              <w:jc w:val="left"/>
            </w:pPr>
            <w:r>
              <w:rPr>
                <w:rFonts w:ascii="Calibri" w:cs="Calibri" w:eastAsia="Calibri" w:hAnsi="Calibri"/>
                <w:b w:val="false"/>
                <w:bCs w:val="false"/>
                <w:sz w:val="18"/>
                <w:szCs w:val="18"/>
              </w:rPr>
              <w:t xml:space="preserve">Round average, a later draft</w:t>
            </w:r>
          </w:p>
        </w:tc>
        <w:tc>
          <w:tcPr>
            <w:tcW w:type="dxa" w:w="1100"/>
            <w:tcBorders>
              <w:top w:val="single" w:color="C9C8C3" w:sz="4"/>
              <w:left w:val="single" w:color="C9C8C3" w:sz="4"/>
              <w:bottom w:val="single" w:color="C9C8C3" w:sz="4"/>
              <w:right w:val="single" w:color="C9C8C3" w:sz="4"/>
            </w:tcBorders>
            <w:tcMar>
              <w:top w:type="dxa" w:w="50"/>
              <w:left w:type="dxa" w:w="90"/>
              <w:bottom w:type="dxa" w:w="50"/>
              <w:right w:type="dxa" w:w="90"/>
            </w:tcMar>
          </w:tcPr>
          <w:p>
            <w:pPr>
              <w:keepNext/>
              <w:jc w:val="right"/>
            </w:pPr>
            <w:r>
              <w:rPr>
                <w:rFonts w:ascii="Calibri" w:cs="Calibri" w:eastAsia="Calibri" w:hAnsi="Calibri"/>
                <w:b w:val="false"/>
                <w:bCs w:val="false"/>
                <w:sz w:val="18"/>
                <w:szCs w:val="18"/>
              </w:rPr>
              <w:t xml:space="preserve">239</w:t>
            </w:r>
          </w:p>
        </w:tc>
        <w:tc>
          <w:tcPr>
            <w:tcW w:type="dxa" w:w="2000"/>
            <w:tcBorders>
              <w:top w:val="single" w:color="C9C8C3" w:sz="4"/>
              <w:left w:val="single" w:color="C9C8C3" w:sz="4"/>
              <w:bottom w:val="single" w:color="C9C8C3" w:sz="4"/>
              <w:right w:val="single" w:color="C9C8C3" w:sz="4"/>
            </w:tcBorders>
            <w:tcMar>
              <w:top w:type="dxa" w:w="50"/>
              <w:left w:type="dxa" w:w="90"/>
              <w:bottom w:type="dxa" w:w="50"/>
              <w:right w:type="dxa" w:w="90"/>
            </w:tcMar>
          </w:tcPr>
          <w:p>
            <w:pPr>
              <w:keepNext/>
              <w:jc w:val="right"/>
            </w:pPr>
            <w:r>
              <w:rPr>
                <w:rFonts w:ascii="Calibri" w:cs="Calibri" w:eastAsia="Calibri" w:hAnsi="Calibri"/>
                <w:b w:val="false"/>
                <w:bCs w:val="false"/>
                <w:sz w:val="18"/>
                <w:szCs w:val="18"/>
              </w:rPr>
              <w:t xml:space="preserve">202.3</w:t>
            </w:r>
          </w:p>
        </w:tc>
        <w:tc>
          <w:tcPr>
            <w:tcW w:type="dxa" w:w="2060"/>
            <w:tcBorders>
              <w:top w:val="single" w:color="C9C8C3" w:sz="4"/>
              <w:left w:val="single" w:color="C9C8C3" w:sz="4"/>
              <w:bottom w:val="single" w:color="C9C8C3" w:sz="4"/>
              <w:right w:val="single" w:color="C9C8C3" w:sz="4"/>
            </w:tcBorders>
            <w:tcMar>
              <w:top w:type="dxa" w:w="50"/>
              <w:left w:type="dxa" w:w="90"/>
              <w:bottom w:type="dxa" w:w="50"/>
              <w:right w:type="dxa" w:w="90"/>
            </w:tcMar>
          </w:tcPr>
          <w:p>
            <w:pPr>
              <w:keepNext/>
              <w:jc w:val="right"/>
            </w:pPr>
            <w:r>
              <w:rPr>
                <w:rFonts w:ascii="Calibri" w:cs="Calibri" w:eastAsia="Calibri" w:hAnsi="Calibri"/>
                <w:b w:val="false"/>
                <w:bCs w:val="false"/>
                <w:sz w:val="18"/>
                <w:szCs w:val="18"/>
              </w:rPr>
              <w:t xml:space="preserve">248.9</w:t>
            </w:r>
          </w:p>
        </w:tc>
      </w:tr>
      <w:tr>
        <w:trPr>
          <w:cantSplit/>
        </w:trPr>
        <w:tc>
          <w:tcPr>
            <w:tcW w:type="dxa" w:w="4200"/>
            <w:tcBorders>
              <w:top w:val="single" w:color="C9C8C3" w:sz="4"/>
              <w:left w:val="single" w:color="C9C8C3" w:sz="4"/>
              <w:bottom w:val="single" w:color="C9C8C3" w:sz="4"/>
              <w:right w:val="single" w:color="C9C8C3" w:sz="4"/>
            </w:tcBorders>
            <w:tcMar>
              <w:top w:type="dxa" w:w="50"/>
              <w:left w:type="dxa" w:w="90"/>
              <w:bottom w:type="dxa" w:w="50"/>
              <w:right w:type="dxa" w:w="90"/>
            </w:tcMar>
          </w:tcPr>
          <w:p>
            <w:pPr>
              <w:keepNext w:val="false"/>
              <w:jc w:val="left"/>
            </w:pPr>
            <w:r>
              <w:rPr>
                <w:rFonts w:ascii="Calibri" w:cs="Calibri" w:eastAsia="Calibri" w:hAnsi="Calibri"/>
                <w:b w:val="false"/>
                <w:bCs w:val="false"/>
                <w:sz w:val="18"/>
                <w:szCs w:val="18"/>
              </w:rPr>
              <w:t xml:space="preserve">Total</w:t>
            </w:r>
          </w:p>
        </w:tc>
        <w:tc>
          <w:tcPr>
            <w:tcW w:type="dxa" w:w="1100"/>
            <w:tcBorders>
              <w:top w:val="single" w:color="C9C8C3" w:sz="4"/>
              <w:left w:val="single" w:color="C9C8C3" w:sz="4"/>
              <w:bottom w:val="single" w:color="C9C8C3" w:sz="4"/>
              <w:right w:val="single" w:color="C9C8C3" w:sz="4"/>
            </w:tcBorders>
            <w:tcMar>
              <w:top w:type="dxa" w:w="50"/>
              <w:left w:type="dxa" w:w="90"/>
              <w:bottom w:type="dxa" w:w="50"/>
              <w:right w:type="dxa" w:w="90"/>
            </w:tcMar>
          </w:tcPr>
          <w:p>
            <w:pPr>
              <w:keepNext w:val="false"/>
              <w:jc w:val="right"/>
            </w:pPr>
            <w:r>
              <w:rPr>
                <w:rFonts w:ascii="Calibri" w:cs="Calibri" w:eastAsia="Calibri" w:hAnsi="Calibri"/>
                <w:b w:val="false"/>
                <w:bCs w:val="false"/>
                <w:sz w:val="18"/>
                <w:szCs w:val="18"/>
              </w:rPr>
              <w:t xml:space="preserve">634</w:t>
            </w:r>
          </w:p>
        </w:tc>
        <w:tc>
          <w:tcPr>
            <w:tcW w:type="dxa" w:w="2000"/>
            <w:tcBorders>
              <w:top w:val="single" w:color="C9C8C3" w:sz="4"/>
              <w:left w:val="single" w:color="C9C8C3" w:sz="4"/>
              <w:bottom w:val="single" w:color="C9C8C3" w:sz="4"/>
              <w:right w:val="single" w:color="C9C8C3" w:sz="4"/>
            </w:tcBorders>
            <w:tcMar>
              <w:top w:type="dxa" w:w="50"/>
              <w:left w:type="dxa" w:w="90"/>
              <w:bottom w:type="dxa" w:w="50"/>
              <w:right w:type="dxa" w:w="90"/>
            </w:tcMar>
          </w:tcPr>
          <w:p>
            <w:pPr>
              <w:keepNext w:val="false"/>
              <w:jc w:val="right"/>
            </w:pPr>
            <w:r>
              <w:rPr>
                <w:rFonts w:ascii="Calibri" w:cs="Calibri" w:eastAsia="Calibri" w:hAnsi="Calibri"/>
                <w:b w:val="false"/>
                <w:bCs w:val="false"/>
                <w:sz w:val="18"/>
                <w:szCs w:val="18"/>
              </w:rPr>
              <w:t xml:space="preserve">575.4</w:t>
            </w:r>
          </w:p>
        </w:tc>
        <w:tc>
          <w:tcPr>
            <w:tcW w:type="dxa" w:w="2060"/>
            <w:tcBorders>
              <w:top w:val="single" w:color="C9C8C3" w:sz="4"/>
              <w:left w:val="single" w:color="C9C8C3" w:sz="4"/>
              <w:bottom w:val="single" w:color="C9C8C3" w:sz="4"/>
              <w:right w:val="single" w:color="C9C8C3" w:sz="4"/>
            </w:tcBorders>
            <w:tcMar>
              <w:top w:type="dxa" w:w="50"/>
              <w:left w:type="dxa" w:w="90"/>
              <w:bottom w:type="dxa" w:w="50"/>
              <w:right w:type="dxa" w:w="90"/>
            </w:tcMar>
          </w:tcPr>
          <w:p>
            <w:pPr>
              <w:keepNext w:val="false"/>
              <w:jc w:val="right"/>
            </w:pPr>
            <w:r>
              <w:rPr>
                <w:rFonts w:ascii="Calibri" w:cs="Calibri" w:eastAsia="Calibri" w:hAnsi="Calibri"/>
                <w:b w:val="false"/>
                <w:bCs w:val="false"/>
                <w:sz w:val="18"/>
                <w:szCs w:val="18"/>
              </w:rPr>
              <w:t xml:space="preserve">704.8</w:t>
            </w:r>
          </w:p>
        </w:tc>
      </w:tr>
    </w:tbl>
    <w:p>
      <w:pPr>
        <w:spacing w:after="120" w:before="60" w:line="276"/>
        <w:jc w:val="left"/>
      </w:pPr>
      <w:r>
        <w:rPr>
          <w:rFonts w:ascii="Calibri" w:cs="Calibri" w:eastAsia="Calibri" w:hAnsi="Calibri"/>
        </w:rPr>
        <w:t xml:space="preserve">By round, a first-round pick averages $3.45M, a second-round pick $1.31M, a third $0.79M, and a seventh $0.09M. Most traded picks are late: of these 634, 61 were first-round picks. The 113 conditional picks are valued as if unconditional until each condition is resolved against what happened.</w:t>
      </w:r>
    </w:p>
    <w:p>
      <w:pPr>
        <w:pStyle w:val="Heading1"/>
        <w:spacing w:after="120" w:before="280"/>
      </w:pPr>
      <w:r>
        <w:rPr>
          <w:rFonts w:ascii="Calibri" w:cs="Calibri" w:eastAsia="Calibri" w:hAnsi="Calibri"/>
        </w:rPr>
        <w:t xml:space="preserve">7. The Cost Side and Its Alternatives</w:t>
      </w:r>
    </w:p>
    <w:p>
      <w:pPr>
        <w:spacing w:after="120" w:before="60" w:line="276"/>
        <w:jc w:val="left"/>
      </w:pPr>
      <w:r>
        <w:rPr>
          <w:rFonts w:ascii="Calibri" w:cs="Calibri" w:eastAsia="Calibri" w:hAnsi="Calibri"/>
        </w:rPr>
        <w:t xml:space="preserve">The qualifying-offer chain is the main cost, and its alternatives are kept beside it. Each one changes what a player's surplus is, so they are compared by how far they move the curve, not by predictive fit. Table 7 gives the effect of each on the scale, measured on skaters.</w:t>
      </w:r>
    </w:p>
    <w:p>
      <w:pPr>
        <w:keepNext/>
        <w:spacing w:after="60" w:before="160"/>
      </w:pPr>
      <w:r>
        <w:rPr>
          <w:rFonts w:ascii="Calibri" w:cs="Calibri" w:eastAsia="Calibri" w:hAnsi="Calibri"/>
          <w:b/>
          <w:bCs/>
          <w:sz w:val="20"/>
          <w:szCs w:val="20"/>
        </w:rPr>
        <w:t xml:space="preserve">Table 7. Cost and definition alternatives (effect on the scale)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400"/>
        <w:gridCol w:w="1000"/>
        <w:gridCol w:w="1700"/>
        <w:gridCol w:w="2260"/>
      </w:tblGrid>
      <w:tr>
        <w:trPr>
          <w:tblHeader/>
        </w:trPr>
        <w:tc>
          <w:tcPr>
            <w:tcW w:type="dxa" w:w="4400"/>
            <w:tcBorders>
              <w:top w:val="single" w:color="C9C8C3" w:sz="4"/>
              <w:left w:val="single" w:color="C9C8C3" w:sz="4"/>
              <w:bottom w:val="single" w:color="C9C8C3" w:sz="4"/>
              <w:right w:val="single" w:color="C9C8C3" w:sz="4"/>
            </w:tcBorders>
            <w:shd w:fill="EFEEEA" w:color="auto" w:val="clear"/>
            <w:tcMar>
              <w:top w:type="dxa" w:w="50"/>
              <w:left w:type="dxa" w:w="90"/>
              <w:bottom w:type="dxa" w:w="50"/>
              <w:right w:type="dxa" w:w="90"/>
            </w:tcMar>
          </w:tcPr>
          <w:p>
            <w:pPr>
              <w:keepNext/>
              <w:jc w:val="left"/>
            </w:pPr>
            <w:r>
              <w:rPr>
                <w:rFonts w:ascii="Calibri" w:cs="Calibri" w:eastAsia="Calibri" w:hAnsi="Calibri"/>
                <w:b/>
                <w:bCs/>
                <w:sz w:val="18"/>
                <w:szCs w:val="18"/>
              </w:rPr>
              <w:t xml:space="preserve">Alternative</w:t>
            </w:r>
          </w:p>
        </w:tc>
        <w:tc>
          <w:tcPr>
            <w:tcW w:type="dxa" w:w="1000"/>
            <w:tcBorders>
              <w:top w:val="single" w:color="C9C8C3" w:sz="4"/>
              <w:left w:val="single" w:color="C9C8C3" w:sz="4"/>
              <w:bottom w:val="single" w:color="C9C8C3" w:sz="4"/>
              <w:right w:val="single" w:color="C9C8C3" w:sz="4"/>
            </w:tcBorders>
            <w:shd w:fill="EFEEEA" w:color="auto" w:val="clear"/>
            <w:tcMar>
              <w:top w:type="dxa" w:w="50"/>
              <w:left w:type="dxa" w:w="90"/>
              <w:bottom w:type="dxa" w:w="50"/>
              <w:right w:type="dxa" w:w="90"/>
            </w:tcMar>
          </w:tcPr>
          <w:p>
            <w:pPr>
              <w:keepNext/>
              <w:jc w:val="right"/>
            </w:pPr>
            <w:r>
              <w:rPr>
                <w:rFonts w:ascii="Calibri" w:cs="Calibri" w:eastAsia="Calibri" w:hAnsi="Calibri"/>
                <w:b/>
                <w:bCs/>
                <w:sz w:val="18"/>
                <w:szCs w:val="18"/>
              </w:rPr>
              <w:t xml:space="preserve">Scale</w:t>
            </w:r>
          </w:p>
        </w:tc>
        <w:tc>
          <w:tcPr>
            <w:tcW w:type="dxa" w:w="1700"/>
            <w:tcBorders>
              <w:top w:val="single" w:color="C9C8C3" w:sz="4"/>
              <w:left w:val="single" w:color="C9C8C3" w:sz="4"/>
              <w:bottom w:val="single" w:color="C9C8C3" w:sz="4"/>
              <w:right w:val="single" w:color="C9C8C3" w:sz="4"/>
            </w:tcBorders>
            <w:shd w:fill="EFEEEA" w:color="auto" w:val="clear"/>
            <w:tcMar>
              <w:top w:type="dxa" w:w="50"/>
              <w:left w:type="dxa" w:w="90"/>
              <w:bottom w:type="dxa" w:w="50"/>
              <w:right w:type="dxa" w:w="90"/>
            </w:tcMar>
          </w:tcPr>
          <w:p>
            <w:pPr>
              <w:keepNext/>
              <w:jc w:val="right"/>
            </w:pPr>
            <w:r>
              <w:rPr>
                <w:rFonts w:ascii="Calibri" w:cs="Calibri" w:eastAsia="Calibri" w:hAnsi="Calibri"/>
                <w:b/>
                <w:bCs/>
                <w:sz w:val="18"/>
                <w:szCs w:val="18"/>
              </w:rPr>
              <w:t xml:space="preserve">Change</w:t>
            </w:r>
          </w:p>
        </w:tc>
        <w:tc>
          <w:tcPr>
            <w:tcW w:type="dxa" w:w="2260"/>
            <w:tcBorders>
              <w:top w:val="single" w:color="C9C8C3" w:sz="4"/>
              <w:left w:val="single" w:color="C9C8C3" w:sz="4"/>
              <w:bottom w:val="single" w:color="C9C8C3" w:sz="4"/>
              <w:right w:val="single" w:color="C9C8C3" w:sz="4"/>
            </w:tcBorders>
            <w:shd w:fill="EFEEEA" w:color="auto" w:val="clear"/>
            <w:tcMar>
              <w:top w:type="dxa" w:w="50"/>
              <w:left w:type="dxa" w:w="90"/>
              <w:bottom w:type="dxa" w:w="50"/>
              <w:right w:type="dxa" w:w="90"/>
            </w:tcMar>
          </w:tcPr>
          <w:p>
            <w:pPr>
              <w:keepNext/>
              <w:jc w:val="left"/>
            </w:pPr>
            <w:r>
              <w:rPr>
                <w:rFonts w:ascii="Calibri" w:cs="Calibri" w:eastAsia="Calibri" w:hAnsi="Calibri"/>
                <w:b/>
                <w:bCs/>
                <w:sz w:val="18"/>
                <w:szCs w:val="18"/>
              </w:rPr>
              <w:t xml:space="preserve">Status</w:t>
            </w:r>
          </w:p>
        </w:tc>
      </w:tr>
      <w:tr>
        <w:trPr>
          <w:cantSplit/>
        </w:trPr>
        <w:tc>
          <w:tcPr>
            <w:tcW w:type="dxa" w:w="4400"/>
            <w:tcBorders>
              <w:top w:val="single" w:color="C9C8C3" w:sz="4"/>
              <w:left w:val="single" w:color="C9C8C3" w:sz="4"/>
              <w:bottom w:val="single" w:color="C9C8C3" w:sz="4"/>
              <w:right w:val="single" w:color="C9C8C3" w:sz="4"/>
            </w:tcBorders>
            <w:tcMar>
              <w:top w:type="dxa" w:w="50"/>
              <w:left w:type="dxa" w:w="90"/>
              <w:bottom w:type="dxa" w:w="50"/>
              <w:right w:type="dxa" w:w="90"/>
            </w:tcMar>
          </w:tcPr>
          <w:p>
            <w:pPr>
              <w:keepNext/>
              <w:jc w:val="left"/>
            </w:pPr>
            <w:r>
              <w:rPr>
                <w:rFonts w:ascii="Calibri" w:cs="Calibri" w:eastAsia="Calibri" w:hAnsi="Calibri"/>
                <w:b w:val="false"/>
                <w:bCs w:val="false"/>
                <w:sz w:val="18"/>
                <w:szCs w:val="18"/>
              </w:rPr>
              <w:t xml:space="preserve">Main: qualifying-offer chain, slides modelled (test basis)</w:t>
            </w:r>
          </w:p>
        </w:tc>
        <w:tc>
          <w:tcPr>
            <w:tcW w:type="dxa" w:w="1000"/>
            <w:tcBorders>
              <w:top w:val="single" w:color="C9C8C3" w:sz="4"/>
              <w:left w:val="single" w:color="C9C8C3" w:sz="4"/>
              <w:bottom w:val="single" w:color="C9C8C3" w:sz="4"/>
              <w:right w:val="single" w:color="C9C8C3" w:sz="4"/>
            </w:tcBorders>
            <w:tcMar>
              <w:top w:type="dxa" w:w="50"/>
              <w:left w:type="dxa" w:w="90"/>
              <w:bottom w:type="dxa" w:w="50"/>
              <w:right w:type="dxa" w:w="90"/>
            </w:tcMar>
          </w:tcPr>
          <w:p>
            <w:pPr>
              <w:keepNext/>
              <w:jc w:val="right"/>
            </w:pPr>
            <w:r>
              <w:rPr>
                <w:rFonts w:ascii="Calibri" w:cs="Calibri" w:eastAsia="Calibri" w:hAnsi="Calibri"/>
                <w:b w:val="false"/>
                <w:bCs w:val="false"/>
                <w:sz w:val="18"/>
                <w:szCs w:val="18"/>
              </w:rPr>
              <w:t xml:space="preserve">31.37</w:t>
            </w:r>
          </w:p>
        </w:tc>
        <w:tc>
          <w:tcPr>
            <w:tcW w:type="dxa" w:w="1700"/>
            <w:tcBorders>
              <w:top w:val="single" w:color="C9C8C3" w:sz="4"/>
              <w:left w:val="single" w:color="C9C8C3" w:sz="4"/>
              <w:bottom w:val="single" w:color="C9C8C3" w:sz="4"/>
              <w:right w:val="single" w:color="C9C8C3" w:sz="4"/>
            </w:tcBorders>
            <w:tcMar>
              <w:top w:type="dxa" w:w="50"/>
              <w:left w:type="dxa" w:w="90"/>
              <w:bottom w:type="dxa" w:w="50"/>
              <w:right w:type="dxa" w:w="90"/>
            </w:tcMar>
          </w:tcPr>
          <w:p>
            <w:pPr>
              <w:keepNext/>
              <w:jc w:val="right"/>
            </w:pPr>
            <w:r>
              <w:rPr>
                <w:rFonts w:ascii="Calibri" w:cs="Calibri" w:eastAsia="Calibri" w:hAnsi="Calibri"/>
                <w:b w:val="false"/>
                <w:bCs w:val="false"/>
                <w:sz w:val="18"/>
                <w:szCs w:val="18"/>
              </w:rPr>
              <w:t xml:space="preserve">-</w:t>
            </w:r>
          </w:p>
        </w:tc>
        <w:tc>
          <w:tcPr>
            <w:tcW w:type="dxa" w:w="2260"/>
            <w:tcBorders>
              <w:top w:val="single" w:color="C9C8C3" w:sz="4"/>
              <w:left w:val="single" w:color="C9C8C3" w:sz="4"/>
              <w:bottom w:val="single" w:color="C9C8C3" w:sz="4"/>
              <w:right w:val="single" w:color="C9C8C3" w:sz="4"/>
            </w:tcBorders>
            <w:tcMar>
              <w:top w:type="dxa" w:w="50"/>
              <w:left w:type="dxa" w:w="90"/>
              <w:bottom w:type="dxa" w:w="50"/>
              <w:right w:type="dxa" w:w="90"/>
            </w:tcMar>
          </w:tcPr>
          <w:p>
            <w:pPr>
              <w:keepNext/>
              <w:jc w:val="left"/>
            </w:pPr>
            <w:r>
              <w:rPr>
                <w:rFonts w:ascii="Calibri" w:cs="Calibri" w:eastAsia="Calibri" w:hAnsi="Calibri"/>
                <w:b w:val="false"/>
                <w:bCs w:val="false"/>
                <w:sz w:val="18"/>
                <w:szCs w:val="18"/>
              </w:rPr>
              <w:t xml:space="preserve">Reference</w:t>
            </w:r>
          </w:p>
        </w:tc>
      </w:tr>
      <w:tr>
        <w:trPr>
          <w:cantSplit/>
        </w:trPr>
        <w:tc>
          <w:tcPr>
            <w:tcW w:type="dxa" w:w="4400"/>
            <w:tcBorders>
              <w:top w:val="single" w:color="C9C8C3" w:sz="4"/>
              <w:left w:val="single" w:color="C9C8C3" w:sz="4"/>
              <w:bottom w:val="single" w:color="C9C8C3" w:sz="4"/>
              <w:right w:val="single" w:color="C9C8C3" w:sz="4"/>
            </w:tcBorders>
            <w:tcMar>
              <w:top w:type="dxa" w:w="50"/>
              <w:left w:type="dxa" w:w="90"/>
              <w:bottom w:type="dxa" w:w="50"/>
              <w:right w:type="dxa" w:w="90"/>
            </w:tcMar>
          </w:tcPr>
          <w:p>
            <w:pPr>
              <w:keepNext/>
              <w:jc w:val="left"/>
            </w:pPr>
            <w:r>
              <w:rPr>
                <w:rFonts w:ascii="Calibri" w:cs="Calibri" w:eastAsia="Calibri" w:hAnsi="Calibri"/>
                <w:b w:val="false"/>
                <w:bCs w:val="false"/>
                <w:sz w:val="18"/>
                <w:szCs w:val="18"/>
              </w:rPr>
              <w:t xml:space="preserve">Slides only for 18- and 19-year-olds (CBA 9.1(d))</w:t>
            </w:r>
          </w:p>
        </w:tc>
        <w:tc>
          <w:tcPr>
            <w:tcW w:type="dxa" w:w="1000"/>
            <w:tcBorders>
              <w:top w:val="single" w:color="C9C8C3" w:sz="4"/>
              <w:left w:val="single" w:color="C9C8C3" w:sz="4"/>
              <w:bottom w:val="single" w:color="C9C8C3" w:sz="4"/>
              <w:right w:val="single" w:color="C9C8C3" w:sz="4"/>
            </w:tcBorders>
            <w:tcMar>
              <w:top w:type="dxa" w:w="50"/>
              <w:left w:type="dxa" w:w="90"/>
              <w:bottom w:type="dxa" w:w="50"/>
              <w:right w:type="dxa" w:w="90"/>
            </w:tcMar>
          </w:tcPr>
          <w:p>
            <w:pPr>
              <w:keepNext/>
              <w:jc w:val="right"/>
            </w:pPr>
            <w:r>
              <w:rPr>
                <w:rFonts w:ascii="Calibri" w:cs="Calibri" w:eastAsia="Calibri" w:hAnsi="Calibri"/>
                <w:b w:val="false"/>
                <w:bCs w:val="false"/>
                <w:sz w:val="18"/>
                <w:szCs w:val="18"/>
              </w:rPr>
              <w:t xml:space="preserve">31.27</w:t>
            </w:r>
          </w:p>
        </w:tc>
        <w:tc>
          <w:tcPr>
            <w:tcW w:type="dxa" w:w="1700"/>
            <w:tcBorders>
              <w:top w:val="single" w:color="C9C8C3" w:sz="4"/>
              <w:left w:val="single" w:color="C9C8C3" w:sz="4"/>
              <w:bottom w:val="single" w:color="C9C8C3" w:sz="4"/>
              <w:right w:val="single" w:color="C9C8C3" w:sz="4"/>
            </w:tcBorders>
            <w:tcMar>
              <w:top w:type="dxa" w:w="50"/>
              <w:left w:type="dxa" w:w="90"/>
              <w:bottom w:type="dxa" w:w="50"/>
              <w:right w:type="dxa" w:w="90"/>
            </w:tcMar>
          </w:tcPr>
          <w:p>
            <w:pPr>
              <w:keepNext/>
              <w:jc w:val="right"/>
            </w:pPr>
            <w:r>
              <w:rPr>
                <w:rFonts w:ascii="Calibri" w:cs="Calibri" w:eastAsia="Calibri" w:hAnsi="Calibri"/>
                <w:b w:val="false"/>
                <w:bCs w:val="false"/>
                <w:sz w:val="18"/>
                <w:szCs w:val="18"/>
              </w:rPr>
              <w:t xml:space="preserve">-0.3%</w:t>
            </w:r>
          </w:p>
        </w:tc>
        <w:tc>
          <w:tcPr>
            <w:tcW w:type="dxa" w:w="2260"/>
            <w:tcBorders>
              <w:top w:val="single" w:color="C9C8C3" w:sz="4"/>
              <w:left w:val="single" w:color="C9C8C3" w:sz="4"/>
              <w:bottom w:val="single" w:color="C9C8C3" w:sz="4"/>
              <w:right w:val="single" w:color="C9C8C3" w:sz="4"/>
            </w:tcBorders>
            <w:tcMar>
              <w:top w:type="dxa" w:w="50"/>
              <w:left w:type="dxa" w:w="90"/>
              <w:bottom w:type="dxa" w:w="50"/>
              <w:right w:type="dxa" w:w="90"/>
            </w:tcMar>
          </w:tcPr>
          <w:p>
            <w:pPr>
              <w:keepNext/>
              <w:jc w:val="left"/>
            </w:pPr>
            <w:r>
              <w:rPr>
                <w:rFonts w:ascii="Calibri" w:cs="Calibri" w:eastAsia="Calibri" w:hAnsi="Calibri"/>
                <w:b w:val="false"/>
                <w:bCs w:val="false"/>
                <w:sz w:val="18"/>
                <w:szCs w:val="18"/>
              </w:rPr>
              <w:t xml:space="preserve">Not adopted</w:t>
            </w:r>
          </w:p>
        </w:tc>
      </w:tr>
      <w:tr>
        <w:trPr>
          <w:cantSplit/>
        </w:trPr>
        <w:tc>
          <w:tcPr>
            <w:tcW w:type="dxa" w:w="4400"/>
            <w:tcBorders>
              <w:top w:val="single" w:color="C9C8C3" w:sz="4"/>
              <w:left w:val="single" w:color="C9C8C3" w:sz="4"/>
              <w:bottom w:val="single" w:color="C9C8C3" w:sz="4"/>
              <w:right w:val="single" w:color="C9C8C3" w:sz="4"/>
            </w:tcBorders>
            <w:tcMar>
              <w:top w:type="dxa" w:w="50"/>
              <w:left w:type="dxa" w:w="90"/>
              <w:bottom w:type="dxa" w:w="50"/>
              <w:right w:type="dxa" w:w="90"/>
            </w:tcMar>
          </w:tcPr>
          <w:p>
            <w:pPr>
              <w:keepNext/>
              <w:jc w:val="left"/>
            </w:pPr>
            <w:r>
              <w:rPr>
                <w:rFonts w:ascii="Calibri" w:cs="Calibri" w:eastAsia="Calibri" w:hAnsi="Calibri"/>
                <w:b w:val="false"/>
                <w:bCs w:val="false"/>
                <w:sz w:val="18"/>
                <w:szCs w:val="18"/>
              </w:rPr>
              <w:t xml:space="preserve">No slides</w:t>
            </w:r>
          </w:p>
        </w:tc>
        <w:tc>
          <w:tcPr>
            <w:tcW w:type="dxa" w:w="1000"/>
            <w:tcBorders>
              <w:top w:val="single" w:color="C9C8C3" w:sz="4"/>
              <w:left w:val="single" w:color="C9C8C3" w:sz="4"/>
              <w:bottom w:val="single" w:color="C9C8C3" w:sz="4"/>
              <w:right w:val="single" w:color="C9C8C3" w:sz="4"/>
            </w:tcBorders>
            <w:tcMar>
              <w:top w:type="dxa" w:w="50"/>
              <w:left w:type="dxa" w:w="90"/>
              <w:bottom w:type="dxa" w:w="50"/>
              <w:right w:type="dxa" w:w="90"/>
            </w:tcMar>
          </w:tcPr>
          <w:p>
            <w:pPr>
              <w:keepNext/>
              <w:jc w:val="right"/>
            </w:pPr>
            <w:r>
              <w:rPr>
                <w:rFonts w:ascii="Calibri" w:cs="Calibri" w:eastAsia="Calibri" w:hAnsi="Calibri"/>
                <w:b w:val="false"/>
                <w:bCs w:val="false"/>
                <w:sz w:val="18"/>
                <w:szCs w:val="18"/>
              </w:rPr>
              <w:t xml:space="preserve">31.21</w:t>
            </w:r>
          </w:p>
        </w:tc>
        <w:tc>
          <w:tcPr>
            <w:tcW w:type="dxa" w:w="1700"/>
            <w:tcBorders>
              <w:top w:val="single" w:color="C9C8C3" w:sz="4"/>
              <w:left w:val="single" w:color="C9C8C3" w:sz="4"/>
              <w:bottom w:val="single" w:color="C9C8C3" w:sz="4"/>
              <w:right w:val="single" w:color="C9C8C3" w:sz="4"/>
            </w:tcBorders>
            <w:tcMar>
              <w:top w:type="dxa" w:w="50"/>
              <w:left w:type="dxa" w:w="90"/>
              <w:bottom w:type="dxa" w:w="50"/>
              <w:right w:type="dxa" w:w="90"/>
            </w:tcMar>
          </w:tcPr>
          <w:p>
            <w:pPr>
              <w:keepNext/>
              <w:jc w:val="right"/>
            </w:pPr>
            <w:r>
              <w:rPr>
                <w:rFonts w:ascii="Calibri" w:cs="Calibri" w:eastAsia="Calibri" w:hAnsi="Calibri"/>
                <w:b w:val="false"/>
                <w:bCs w:val="false"/>
                <w:sz w:val="18"/>
                <w:szCs w:val="18"/>
              </w:rPr>
              <w:t xml:space="preserve">-0.5%</w:t>
            </w:r>
          </w:p>
        </w:tc>
        <w:tc>
          <w:tcPr>
            <w:tcW w:type="dxa" w:w="2260"/>
            <w:tcBorders>
              <w:top w:val="single" w:color="C9C8C3" w:sz="4"/>
              <w:left w:val="single" w:color="C9C8C3" w:sz="4"/>
              <w:bottom w:val="single" w:color="C9C8C3" w:sz="4"/>
              <w:right w:val="single" w:color="C9C8C3" w:sz="4"/>
            </w:tcBorders>
            <w:tcMar>
              <w:top w:type="dxa" w:w="50"/>
              <w:left w:type="dxa" w:w="90"/>
              <w:bottom w:type="dxa" w:w="50"/>
              <w:right w:type="dxa" w:w="90"/>
            </w:tcMar>
          </w:tcPr>
          <w:p>
            <w:pPr>
              <w:keepNext/>
              <w:jc w:val="left"/>
            </w:pPr>
            <w:r>
              <w:rPr>
                <w:rFonts w:ascii="Calibri" w:cs="Calibri" w:eastAsia="Calibri" w:hAnsi="Calibri"/>
                <w:b w:val="false"/>
                <w:bCs w:val="false"/>
                <w:sz w:val="18"/>
                <w:szCs w:val="18"/>
              </w:rPr>
              <w:t xml:space="preserve">Adopted (simplest)</w:t>
            </w:r>
          </w:p>
        </w:tc>
      </w:tr>
      <w:tr>
        <w:trPr>
          <w:cantSplit/>
        </w:trPr>
        <w:tc>
          <w:tcPr>
            <w:tcW w:type="dxa" w:w="4400"/>
            <w:tcBorders>
              <w:top w:val="single" w:color="C9C8C3" w:sz="4"/>
              <w:left w:val="single" w:color="C9C8C3" w:sz="4"/>
              <w:bottom w:val="single" w:color="C9C8C3" w:sz="4"/>
              <w:right w:val="single" w:color="C9C8C3" w:sz="4"/>
            </w:tcBorders>
            <w:tcMar>
              <w:top w:type="dxa" w:w="50"/>
              <w:left w:type="dxa" w:w="90"/>
              <w:bottom w:type="dxa" w:w="50"/>
              <w:right w:type="dxa" w:w="90"/>
            </w:tcMar>
          </w:tcPr>
          <w:p>
            <w:pPr>
              <w:keepNext/>
              <w:jc w:val="left"/>
            </w:pPr>
            <w:r>
              <w:rPr>
                <w:rFonts w:ascii="Calibri" w:cs="Calibri" w:eastAsia="Calibri" w:hAnsi="Calibri"/>
                <w:b w:val="false"/>
                <w:bCs w:val="false"/>
                <w:sz w:val="18"/>
                <w:szCs w:val="18"/>
              </w:rPr>
              <w:t xml:space="preserve">Each career floored at zero</w:t>
            </w:r>
          </w:p>
        </w:tc>
        <w:tc>
          <w:tcPr>
            <w:tcW w:type="dxa" w:w="1000"/>
            <w:tcBorders>
              <w:top w:val="single" w:color="C9C8C3" w:sz="4"/>
              <w:left w:val="single" w:color="C9C8C3" w:sz="4"/>
              <w:bottom w:val="single" w:color="C9C8C3" w:sz="4"/>
              <w:right w:val="single" w:color="C9C8C3" w:sz="4"/>
            </w:tcBorders>
            <w:tcMar>
              <w:top w:type="dxa" w:w="50"/>
              <w:left w:type="dxa" w:w="90"/>
              <w:bottom w:type="dxa" w:w="50"/>
              <w:right w:type="dxa" w:w="90"/>
            </w:tcMar>
          </w:tcPr>
          <w:p>
            <w:pPr>
              <w:keepNext/>
              <w:jc w:val="right"/>
            </w:pPr>
            <w:r>
              <w:rPr>
                <w:rFonts w:ascii="Calibri" w:cs="Calibri" w:eastAsia="Calibri" w:hAnsi="Calibri"/>
                <w:b w:val="false"/>
                <w:bCs w:val="false"/>
                <w:sz w:val="18"/>
                <w:szCs w:val="18"/>
              </w:rPr>
              <w:t xml:space="preserve">32.64</w:t>
            </w:r>
          </w:p>
        </w:tc>
        <w:tc>
          <w:tcPr>
            <w:tcW w:type="dxa" w:w="1700"/>
            <w:tcBorders>
              <w:top w:val="single" w:color="C9C8C3" w:sz="4"/>
              <w:left w:val="single" w:color="C9C8C3" w:sz="4"/>
              <w:bottom w:val="single" w:color="C9C8C3" w:sz="4"/>
              <w:right w:val="single" w:color="C9C8C3" w:sz="4"/>
            </w:tcBorders>
            <w:tcMar>
              <w:top w:type="dxa" w:w="50"/>
              <w:left w:type="dxa" w:w="90"/>
              <w:bottom w:type="dxa" w:w="50"/>
              <w:right w:type="dxa" w:w="90"/>
            </w:tcMar>
          </w:tcPr>
          <w:p>
            <w:pPr>
              <w:keepNext/>
              <w:jc w:val="right"/>
            </w:pPr>
            <w:r>
              <w:rPr>
                <w:rFonts w:ascii="Calibri" w:cs="Calibri" w:eastAsia="Calibri" w:hAnsi="Calibri"/>
                <w:b w:val="false"/>
                <w:bCs w:val="false"/>
                <w:sz w:val="18"/>
                <w:szCs w:val="18"/>
              </w:rPr>
              <w:t xml:space="preserve">+4.1%</w:t>
            </w:r>
          </w:p>
        </w:tc>
        <w:tc>
          <w:tcPr>
            <w:tcW w:type="dxa" w:w="2260"/>
            <w:tcBorders>
              <w:top w:val="single" w:color="C9C8C3" w:sz="4"/>
              <w:left w:val="single" w:color="C9C8C3" w:sz="4"/>
              <w:bottom w:val="single" w:color="C9C8C3" w:sz="4"/>
              <w:right w:val="single" w:color="C9C8C3" w:sz="4"/>
            </w:tcBorders>
            <w:tcMar>
              <w:top w:type="dxa" w:w="50"/>
              <w:left w:type="dxa" w:w="90"/>
              <w:bottom w:type="dxa" w:w="50"/>
              <w:right w:type="dxa" w:w="90"/>
            </w:tcMar>
          </w:tcPr>
          <w:p>
            <w:pPr>
              <w:keepNext/>
              <w:jc w:val="left"/>
            </w:pPr>
            <w:r>
              <w:rPr>
                <w:rFonts w:ascii="Calibri" w:cs="Calibri" w:eastAsia="Calibri" w:hAnsi="Calibri"/>
                <w:b w:val="false"/>
                <w:bCs w:val="false"/>
                <w:sz w:val="18"/>
                <w:szCs w:val="18"/>
              </w:rPr>
              <w:t xml:space="preserve">Not adopted</w:t>
            </w:r>
          </w:p>
        </w:tc>
      </w:tr>
      <w:tr>
        <w:trPr>
          <w:cantSplit/>
        </w:trPr>
        <w:tc>
          <w:tcPr>
            <w:tcW w:type="dxa" w:w="4400"/>
            <w:tcBorders>
              <w:top w:val="single" w:color="C9C8C3" w:sz="4"/>
              <w:left w:val="single" w:color="C9C8C3" w:sz="4"/>
              <w:bottom w:val="single" w:color="C9C8C3" w:sz="4"/>
              <w:right w:val="single" w:color="C9C8C3" w:sz="4"/>
            </w:tcBorders>
            <w:tcMar>
              <w:top w:type="dxa" w:w="50"/>
              <w:left w:type="dxa" w:w="90"/>
              <w:bottom w:type="dxa" w:w="50"/>
              <w:right w:type="dxa" w:w="90"/>
            </w:tcMar>
          </w:tcPr>
          <w:p>
            <w:pPr>
              <w:keepNext/>
              <w:jc w:val="left"/>
            </w:pPr>
            <w:r>
              <w:rPr>
                <w:rFonts w:ascii="Calibri" w:cs="Calibri" w:eastAsia="Calibri" w:hAnsi="Calibri"/>
                <w:b w:val="false"/>
                <w:bCs w:val="false"/>
                <w:sz w:val="18"/>
                <w:szCs w:val="18"/>
              </w:rPr>
              <w:t xml:space="preserve">Market cost once eligible for arbitration (CBA 12.1)</w:t>
            </w:r>
          </w:p>
        </w:tc>
        <w:tc>
          <w:tcPr>
            <w:tcW w:type="dxa" w:w="1000"/>
            <w:tcBorders>
              <w:top w:val="single" w:color="C9C8C3" w:sz="4"/>
              <w:left w:val="single" w:color="C9C8C3" w:sz="4"/>
              <w:bottom w:val="single" w:color="C9C8C3" w:sz="4"/>
              <w:right w:val="single" w:color="C9C8C3" w:sz="4"/>
            </w:tcBorders>
            <w:tcMar>
              <w:top w:type="dxa" w:w="50"/>
              <w:left w:type="dxa" w:w="90"/>
              <w:bottom w:type="dxa" w:w="50"/>
              <w:right w:type="dxa" w:w="90"/>
            </w:tcMar>
          </w:tcPr>
          <w:p>
            <w:pPr>
              <w:keepNext/>
              <w:jc w:val="right"/>
            </w:pPr>
            <w:r>
              <w:rPr>
                <w:rFonts w:ascii="Calibri" w:cs="Calibri" w:eastAsia="Calibri" w:hAnsi="Calibri"/>
                <w:b w:val="false"/>
                <w:bCs w:val="false"/>
                <w:sz w:val="18"/>
                <w:szCs w:val="18"/>
              </w:rPr>
              <w:t xml:space="preserve">14.06</w:t>
            </w:r>
          </w:p>
        </w:tc>
        <w:tc>
          <w:tcPr>
            <w:tcW w:type="dxa" w:w="1700"/>
            <w:tcBorders>
              <w:top w:val="single" w:color="C9C8C3" w:sz="4"/>
              <w:left w:val="single" w:color="C9C8C3" w:sz="4"/>
              <w:bottom w:val="single" w:color="C9C8C3" w:sz="4"/>
              <w:right w:val="single" w:color="C9C8C3" w:sz="4"/>
            </w:tcBorders>
            <w:tcMar>
              <w:top w:type="dxa" w:w="50"/>
              <w:left w:type="dxa" w:w="90"/>
              <w:bottom w:type="dxa" w:w="50"/>
              <w:right w:type="dxa" w:w="90"/>
            </w:tcMar>
          </w:tcPr>
          <w:p>
            <w:pPr>
              <w:keepNext/>
              <w:jc w:val="right"/>
            </w:pPr>
            <w:r>
              <w:rPr>
                <w:rFonts w:ascii="Calibri" w:cs="Calibri" w:eastAsia="Calibri" w:hAnsi="Calibri"/>
                <w:b w:val="false"/>
                <w:bCs w:val="false"/>
                <w:sz w:val="18"/>
                <w:szCs w:val="18"/>
              </w:rPr>
              <w:t xml:space="preserve">-55%</w:t>
            </w:r>
          </w:p>
        </w:tc>
        <w:tc>
          <w:tcPr>
            <w:tcW w:type="dxa" w:w="2260"/>
            <w:tcBorders>
              <w:top w:val="single" w:color="C9C8C3" w:sz="4"/>
              <w:left w:val="single" w:color="C9C8C3" w:sz="4"/>
              <w:bottom w:val="single" w:color="C9C8C3" w:sz="4"/>
              <w:right w:val="single" w:color="C9C8C3" w:sz="4"/>
            </w:tcBorders>
            <w:tcMar>
              <w:top w:type="dxa" w:w="50"/>
              <w:left w:type="dxa" w:w="90"/>
              <w:bottom w:type="dxa" w:w="50"/>
              <w:right w:type="dxa" w:w="90"/>
            </w:tcMar>
          </w:tcPr>
          <w:p>
            <w:pPr>
              <w:keepNext/>
              <w:jc w:val="left"/>
            </w:pPr>
            <w:r>
              <w:rPr>
                <w:rFonts w:ascii="Calibri" w:cs="Calibri" w:eastAsia="Calibri" w:hAnsi="Calibri"/>
                <w:b w:val="false"/>
                <w:bCs w:val="false"/>
                <w:sz w:val="18"/>
                <w:szCs w:val="18"/>
              </w:rPr>
              <w:t xml:space="preserve">Kept as sensitivity</w:t>
            </w:r>
          </w:p>
        </w:tc>
      </w:tr>
      <w:tr>
        <w:trPr>
          <w:cantSplit/>
        </w:trPr>
        <w:tc>
          <w:tcPr>
            <w:tcW w:type="dxa" w:w="4400"/>
            <w:tcBorders>
              <w:top w:val="single" w:color="C9C8C3" w:sz="4"/>
              <w:left w:val="single" w:color="C9C8C3" w:sz="4"/>
              <w:bottom w:val="single" w:color="C9C8C3" w:sz="4"/>
              <w:right w:val="single" w:color="C9C8C3" w:sz="4"/>
            </w:tcBorders>
            <w:tcMar>
              <w:top w:type="dxa" w:w="50"/>
              <w:left w:type="dxa" w:w="90"/>
              <w:bottom w:type="dxa" w:w="50"/>
              <w:right w:type="dxa" w:w="90"/>
            </w:tcMar>
          </w:tcPr>
          <w:p>
            <w:pPr>
              <w:keepNext w:val="false"/>
              <w:jc w:val="left"/>
            </w:pPr>
            <w:r>
              <w:rPr>
                <w:rFonts w:ascii="Calibri" w:cs="Calibri" w:eastAsia="Calibri" w:hAnsi="Calibri"/>
                <w:b w:val="false"/>
                <w:bCs w:val="false"/>
                <w:sz w:val="18"/>
                <w:szCs w:val="18"/>
              </w:rPr>
              <w:t xml:space="preserve">Actual cap hits (first round only)</w:t>
            </w:r>
          </w:p>
        </w:tc>
        <w:tc>
          <w:tcPr>
            <w:tcW w:type="dxa" w:w="1000"/>
            <w:tcBorders>
              <w:top w:val="single" w:color="C9C8C3" w:sz="4"/>
              <w:left w:val="single" w:color="C9C8C3" w:sz="4"/>
              <w:bottom w:val="single" w:color="C9C8C3" w:sz="4"/>
              <w:right w:val="single" w:color="C9C8C3" w:sz="4"/>
            </w:tcBorders>
            <w:tcMar>
              <w:top w:type="dxa" w:w="50"/>
              <w:left w:type="dxa" w:w="90"/>
              <w:bottom w:type="dxa" w:w="50"/>
              <w:right w:type="dxa" w:w="90"/>
            </w:tcMar>
          </w:tcPr>
          <w:p>
            <w:pPr>
              <w:keepNext w:val="false"/>
              <w:jc w:val="right"/>
            </w:pPr>
            <w:r>
              <w:rPr>
                <w:rFonts w:ascii="Calibri" w:cs="Calibri" w:eastAsia="Calibri" w:hAnsi="Calibri"/>
                <w:b w:val="false"/>
                <w:bCs w:val="false"/>
                <w:sz w:val="18"/>
                <w:szCs w:val="18"/>
              </w:rPr>
              <w:t xml:space="preserve">-</w:t>
            </w:r>
          </w:p>
        </w:tc>
        <w:tc>
          <w:tcPr>
            <w:tcW w:type="dxa" w:w="1700"/>
            <w:tcBorders>
              <w:top w:val="single" w:color="C9C8C3" w:sz="4"/>
              <w:left w:val="single" w:color="C9C8C3" w:sz="4"/>
              <w:bottom w:val="single" w:color="C9C8C3" w:sz="4"/>
              <w:right w:val="single" w:color="C9C8C3" w:sz="4"/>
            </w:tcBorders>
            <w:tcMar>
              <w:top w:type="dxa" w:w="50"/>
              <w:left w:type="dxa" w:w="90"/>
              <w:bottom w:type="dxa" w:w="50"/>
              <w:right w:type="dxa" w:w="90"/>
            </w:tcMar>
          </w:tcPr>
          <w:p>
            <w:pPr>
              <w:keepNext w:val="false"/>
              <w:jc w:val="right"/>
            </w:pPr>
            <w:r>
              <w:rPr>
                <w:rFonts w:ascii="Calibri" w:cs="Calibri" w:eastAsia="Calibri" w:hAnsi="Calibri"/>
                <w:b w:val="false"/>
                <w:bCs w:val="false"/>
                <w:sz w:val="18"/>
                <w:szCs w:val="18"/>
              </w:rPr>
              <w:t xml:space="preserve">2-3 times the chain's cost</w:t>
            </w:r>
          </w:p>
        </w:tc>
        <w:tc>
          <w:tcPr>
            <w:tcW w:type="dxa" w:w="2260"/>
            <w:tcBorders>
              <w:top w:val="single" w:color="C9C8C3" w:sz="4"/>
              <w:left w:val="single" w:color="C9C8C3" w:sz="4"/>
              <w:bottom w:val="single" w:color="C9C8C3" w:sz="4"/>
              <w:right w:val="single" w:color="C9C8C3" w:sz="4"/>
            </w:tcBorders>
            <w:tcMar>
              <w:top w:type="dxa" w:w="50"/>
              <w:left w:type="dxa" w:w="90"/>
              <w:bottom w:type="dxa" w:w="50"/>
              <w:right w:type="dxa" w:w="90"/>
            </w:tcMar>
          </w:tcPr>
          <w:p>
            <w:pPr>
              <w:keepNext w:val="false"/>
              <w:jc w:val="left"/>
            </w:pPr>
            <w:r>
              <w:rPr>
                <w:rFonts w:ascii="Calibri" w:cs="Calibri" w:eastAsia="Calibri" w:hAnsi="Calibri"/>
                <w:b w:val="false"/>
                <w:bCs w:val="false"/>
                <w:sz w:val="18"/>
                <w:szCs w:val="18"/>
              </w:rPr>
              <w:t xml:space="preserve">Reference only (hindsight)</w:t>
            </w:r>
          </w:p>
        </w:tc>
      </w:tr>
    </w:tbl>
    <w:p>
      <w:pPr>
        <w:spacing w:after="200" w:before="40"/>
      </w:pPr>
      <w:r>
        <w:rPr>
          <w:rFonts w:ascii="Calibri" w:cs="Calibri" w:eastAsia="Calibri" w:hAnsi="Calibri"/>
          <w:color w:val="52514E"/>
          <w:sz w:val="18"/>
          <w:szCs w:val="18"/>
        </w:rPr>
        <w:t xml:space="preserve">Scale in $M per 100% star probability, pooled over all drafts. Source: pick_cost_and_year_tests.py v1.0; actual cap hits from top_pick_control_look.py v1.1.</w:t>
      </w:r>
    </w:p>
    <w:p>
      <w:pPr>
        <w:spacing w:after="120" w:before="60" w:line="276"/>
        <w:jc w:val="left"/>
      </w:pPr>
      <w:r>
        <w:rPr>
          <w:rFonts w:ascii="Calibri" w:cs="Calibri" w:eastAsia="Calibri" w:hAnsi="Calibri"/>
        </w:rPr>
        <w:t xml:space="preserve">Slides and the floor barely matter. The cost rule itself matters a great deal. Figure 5 compares the chain with what clubs actually paid their first-round picks over the same windows, using PuckPedia's cap hits from 2018-19 and CapWages' before then.</w:t>
      </w:r>
    </w:p>
    <w:p>
      <w:pPr>
        <w:keepNext/>
        <w:spacing w:before="120"/>
        <w:jc w:val="center"/>
      </w:pPr>
      <w:r>
        <w:drawing>
          <wp:inline distT="0" distB="0" distL="0" distR="0">
            <wp:extent cx="4953000" cy="2533650"/>
            <wp:effectExtent t="0" r="0" b="0" l="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953000" cy="2533650"/>
                    </a:xfrm>
                    <a:prstGeom prst="rect">
                      <a:avLst/>
                    </a:prstGeom>
                  </pic:spPr>
                </pic:pic>
              </a:graphicData>
            </a:graphic>
          </wp:inline>
        </w:drawing>
      </w:r>
    </w:p>
    <w:p>
      <w:pPr>
        <w:spacing w:after="200" w:before="40"/>
      </w:pPr>
      <w:r>
        <w:rPr>
          <w:rFonts w:ascii="Calibri" w:cs="Calibri" w:eastAsia="Calibri" w:hAnsi="Calibri"/>
          <w:color w:val="52514E"/>
          <w:sz w:val="18"/>
          <w:szCs w:val="18"/>
        </w:rPr>
        <w:t xml:space="preserve">Figure 5. Value delivered and cost over the control window, per first-round skater who reached the NHL (2007-2017 drafts). Source: top_pick_control_look.py v1.1.</w:t>
      </w:r>
    </w:p>
    <w:p>
      <w:pPr>
        <w:spacing w:after="120" w:before="60" w:line="276"/>
        <w:jc w:val="left"/>
      </w:pPr>
      <w:r>
        <w:rPr>
          <w:rFonts w:ascii="Calibri" w:cs="Calibri" w:eastAsia="Calibri" w:hAnsi="Calibri"/>
        </w:rPr>
        <w:t xml:space="preserve">Clubs paid 3.2 times the chain's cost for picks 1-10, 2.3 times for picks 11-15, and 2.1 times for picks 16-32. The gap runs through the whole first round. Actual cap hits are not adopted, for two reasons. They add hindsight to the cost side, since they record what each club and player negotiated years after the draft. And a long extension averages the price of the free-agent years it buys into each season's cap hit, so it charges the control window for seasons outside it.</w:t>
      </w:r>
    </w:p>
    <w:p>
      <w:pPr>
        <w:spacing w:after="120" w:before="60" w:line="276"/>
        <w:jc w:val="left"/>
      </w:pPr>
      <w:r>
        <w:rPr>
          <w:rFonts w:ascii="Calibri" w:cs="Calibri" w:eastAsia="Calibri" w:hAnsi="Calibri"/>
        </w:rPr>
        <w:t xml:space="preserve">The gap still matters for the trade study. Picks are costed on the chain and players on their actual cap hits, so pick surplus is overstated relative to player surplus. In a back-test, that asymmetry could make clubs look as if they give picks away too cheaply. The arbitration version, which charges market cost from the point a player can elect arbitration and cuts the scale by more than half, is the check: a finding about picks that survives it is not a product of the cost rule. It is to be run before the back-test results are read.</w:t>
      </w:r>
    </w:p>
    <w:p>
      <w:pPr>
        <w:spacing w:after="120" w:before="60" w:line="276"/>
        <w:jc w:val="left"/>
      </w:pPr>
      <w:r>
        <w:rPr>
          <w:rFonts w:ascii="Calibri" w:cs="Calibri" w:eastAsia="Calibri" w:hAnsi="Calibri"/>
        </w:rPr>
        <w:t xml:space="preserve">Goalies were tested the same way. The 233 goalie picks average $2.40M of surplus against $1.68M for skaters, but their value sits in late picks (Braden Holtby at #93, Juuse Saros at #99, Igor Shesterkin at #118) and does not follow the slot. A separate goalie scale comes out at 84.3, which would value a first-overall goalie near $63M, and pooling goalies with skaters moves the scale by 2%.</w:t>
      </w:r>
    </w:p>
    <w:p>
      <w:pPr>
        <w:pStyle w:val="Heading1"/>
        <w:spacing w:after="120" w:before="280"/>
      </w:pPr>
      <w:r>
        <w:rPr>
          <w:rFonts w:ascii="Calibri" w:cs="Calibri" w:eastAsia="Calibri" w:hAnsi="Calibri"/>
        </w:rPr>
        <w:t xml:space="preserve">8. Prospects: The Next Model</w:t>
      </w:r>
    </w:p>
    <w:p>
      <w:pPr>
        <w:spacing w:after="120" w:before="60" w:line="276"/>
        <w:jc w:val="left"/>
      </w:pPr>
      <w:r>
        <w:rPr>
          <w:rFonts w:ascii="Calibri" w:cs="Calibri" w:eastAsia="Calibri" w:hAnsi="Calibri"/>
        </w:rPr>
        <w:t xml:space="preserve">A prospect is a drafted or undrafted player who has not reached an NHL roster and whose signing rights are traded. Unlike a pick, the player is known: his draft slot, his production since the draft, his age, and his size. The planned approach starts from the pick curve's value for his slot and updates it with his own record:</w:t>
      </w:r>
    </w:p>
    <w:p>
      <w:pPr>
        <w:pStyle w:val="ListParagraph"/>
        <w:numPr>
          <w:ilvl w:val="0"/>
          <w:numId w:val="2"/>
        </w:numPr>
        <w:spacing w:after="60"/>
      </w:pPr>
      <w:r>
        <w:rPr>
          <w:rFonts w:ascii="Calibri" w:cs="Calibri" w:eastAsia="Calibri" w:hAnsi="Calibri"/>
          <w:b/>
          <w:bCs/>
        </w:rPr>
        <w:t xml:space="preserve">The starting value.</w:t>
      </w:r>
      <w:r>
        <w:rPr>
          <w:rFonts w:ascii="Calibri" w:cs="Calibri" w:eastAsia="Calibri" w:hAnsi="Calibri"/>
        </w:rPr>
        <w:t xml:space="preserve"> The pick curve's value for his draft slot, which already prices the chance that a player taken there becomes a star.</w:t>
      </w:r>
    </w:p>
    <w:p>
      <w:pPr>
        <w:pStyle w:val="ListParagraph"/>
        <w:numPr>
          <w:ilvl w:val="0"/>
          <w:numId w:val="2"/>
        </w:numPr>
        <w:spacing w:after="60"/>
      </w:pPr>
      <w:r>
        <w:rPr>
          <w:rFonts w:ascii="Calibri" w:cs="Calibri" w:eastAsia="Calibri" w:hAnsi="Calibri"/>
          <w:b/>
          <w:bCs/>
        </w:rPr>
        <w:t xml:space="preserve">His production.</w:t>
      </w:r>
      <w:r>
        <w:rPr>
          <w:rFonts w:ascii="Calibri" w:cs="Calibri" w:eastAsia="Calibri" w:hAnsi="Calibri"/>
        </w:rPr>
        <w:t xml:space="preserve"> Points per game in junior, college, and European leagues, converted to NHL terms with Bacon's era-varying equivalency factors, with his recent seasons weighted 50/30/20 as everywhere else in the model.</w:t>
      </w:r>
    </w:p>
    <w:p>
      <w:pPr>
        <w:pStyle w:val="ListParagraph"/>
        <w:numPr>
          <w:ilvl w:val="0"/>
          <w:numId w:val="2"/>
        </w:numPr>
        <w:spacing w:after="60"/>
      </w:pPr>
      <w:r>
        <w:rPr>
          <w:rFonts w:ascii="Calibri" w:cs="Calibri" w:eastAsia="Calibri" w:hAnsi="Calibri"/>
          <w:b/>
          <w:bCs/>
        </w:rPr>
        <w:t xml:space="preserve">His age and size.</w:t>
      </w:r>
      <w:r>
        <w:rPr>
          <w:rFonts w:ascii="Calibri" w:cs="Calibri" w:eastAsia="Calibri" w:hAnsi="Calibri"/>
        </w:rPr>
        <w:t xml:space="preserve"> Both are candidate inputs; whether each adds anything once production is known is a question for the specification's tests.</w:t>
      </w:r>
    </w:p>
    <w:p>
      <w:pPr>
        <w:pStyle w:val="ListParagraph"/>
        <w:numPr>
          <w:ilvl w:val="0"/>
          <w:numId w:val="2"/>
        </w:numPr>
        <w:spacing w:after="60"/>
      </w:pPr>
      <w:r>
        <w:rPr>
          <w:rFonts w:ascii="Calibri" w:cs="Calibri" w:eastAsia="Calibri" w:hAnsi="Calibri"/>
          <w:b/>
          <w:bCs/>
        </w:rPr>
        <w:t xml:space="preserve">Undrafted prospects.</w:t>
      </w:r>
      <w:r>
        <w:rPr>
          <w:rFonts w:ascii="Calibri" w:cs="Calibri" w:eastAsia="Calibri" w:hAnsi="Calibri"/>
        </w:rPr>
        <w:t xml:space="preserve"> The same model without the slot's starting value.</w:t>
      </w:r>
    </w:p>
    <w:p>
      <w:pPr>
        <w:spacing w:after="120" w:before="60" w:line="276"/>
        <w:jc w:val="left"/>
      </w:pPr>
      <w:r>
        <w:rPr>
          <w:rFonts w:ascii="Calibri" w:cs="Calibri" w:eastAsia="Calibri" w:hAnsi="Calibri"/>
        </w:rPr>
        <w:t xml:space="preserve">The data is in hand. The Elite Prospects pull covers 34 leagues from 2006-07 to 2025-26 (459,898 skater seasons), with biographies for 4,953 players, and the link from Elite Prospects to NHL records agrees on birthdates for 4,734 of 4,760 drafted players. The open questions for the specification are how much weight the slot keeps once a player's own production is observed, how the outcome is defined (the same control-window surplus as the pick curve is the natural choice), and how goalies are handled.</w:t>
      </w:r>
    </w:p>
    <w:p>
      <w:pPr>
        <w:pStyle w:val="Heading1"/>
        <w:spacing w:after="120" w:before="280"/>
      </w:pPr>
      <w:r>
        <w:rPr>
          <w:rFonts w:ascii="Calibri" w:cs="Calibri" w:eastAsia="Calibri" w:hAnsi="Calibri"/>
        </w:rPr>
        <w:t xml:space="preserve">9. Limitations and Remaining Work</w:t>
      </w:r>
    </w:p>
    <w:p>
      <w:pPr>
        <w:spacing w:after="120" w:before="60" w:line="276"/>
        <w:jc w:val="left"/>
      </w:pPr>
      <w:r>
        <w:rPr>
          <w:rFonts w:ascii="Calibri" w:cs="Calibri" w:eastAsia="Calibri" w:hAnsi="Calibri"/>
        </w:rPr>
        <w:t xml:space="preserve">The main limitations of the pick curve as built:</w:t>
      </w:r>
    </w:p>
    <w:p>
      <w:pPr>
        <w:pStyle w:val="ListParagraph"/>
        <w:numPr>
          <w:ilvl w:val="0"/>
          <w:numId w:val="2"/>
        </w:numPr>
        <w:spacing w:after="60"/>
      </w:pPr>
      <w:r>
        <w:rPr>
          <w:rFonts w:ascii="Calibri" w:cs="Calibri" w:eastAsia="Calibri" w:hAnsi="Calibri"/>
        </w:rPr>
        <w:t xml:space="preserve">Bacon's probabilities are fitted on drafts through 2021. The shape was shown to hold in early drafts, but his model cannot be refitted on what was knowable at each trade.</w:t>
      </w:r>
    </w:p>
    <w:p>
      <w:pPr>
        <w:pStyle w:val="ListParagraph"/>
        <w:numPr>
          <w:ilvl w:val="0"/>
          <w:numId w:val="2"/>
        </w:numPr>
        <w:spacing w:after="60"/>
      </w:pPr>
      <w:r>
        <w:rPr>
          <w:rFonts w:ascii="Calibri" w:cs="Calibri" w:eastAsia="Calibri" w:hAnsi="Calibri"/>
        </w:rPr>
        <w:t xml:space="preserve">The cost side understates what clubs pay for control (Figure 5). Entry-level performance bonuses are not charged, and the Group 6 rule that frees older players with few NHL games is not applied.</w:t>
      </w:r>
    </w:p>
    <w:p>
      <w:pPr>
        <w:pStyle w:val="ListParagraph"/>
        <w:numPr>
          <w:ilvl w:val="0"/>
          <w:numId w:val="2"/>
        </w:numPr>
        <w:spacing w:after="60"/>
      </w:pPr>
      <w:r>
        <w:rPr>
          <w:rFonts w:ascii="Calibri" w:cs="Calibri" w:eastAsia="Calibri" w:hAnsi="Calibri"/>
        </w:rPr>
        <w:t xml:space="preserve">Games played stand in for roster games in the window, the lottery is not modelled in projected slots, and 29 windows in the 2017 draft are one season short.</w:t>
      </w:r>
    </w:p>
    <w:p>
      <w:pPr>
        <w:spacing w:after="120" w:before="60" w:line="276"/>
        <w:jc w:val="left"/>
      </w:pPr>
      <w:r>
        <w:rPr>
          <w:rFonts w:ascii="Calibri" w:cs="Calibri" w:eastAsia="Calibri" w:hAnsi="Calibri"/>
        </w:rPr>
        <w:t xml:space="preserve">The remaining work on picks and prospects, in order:</w:t>
      </w:r>
    </w:p>
    <w:p>
      <w:pPr>
        <w:pStyle w:val="ListParagraph"/>
        <w:numPr>
          <w:ilvl w:val="0"/>
          <w:numId w:val="4"/>
        </w:numPr>
        <w:spacing w:after="60"/>
      </w:pPr>
      <w:r>
        <w:rPr>
          <w:rFonts w:ascii="Calibri" w:cs="Calibri" w:eastAsia="Calibri" w:hAnsi="Calibri"/>
        </w:rPr>
        <w:t xml:space="preserve">Resolve the 113 conditional picks against what happened.</w:t>
      </w:r>
    </w:p>
    <w:p>
      <w:pPr>
        <w:pStyle w:val="ListParagraph"/>
        <w:numPr>
          <w:ilvl w:val="0"/>
          <w:numId w:val="4"/>
        </w:numPr>
        <w:spacing w:after="60"/>
      </w:pPr>
      <w:r>
        <w:rPr>
          <w:rFonts w:ascii="Calibri" w:cs="Calibri" w:eastAsia="Calibri" w:hAnsi="Calibri"/>
        </w:rPr>
        <w:t xml:space="preserve">Run the arbitration cost version as a sensitivity before the back-test is read.</w:t>
      </w:r>
    </w:p>
    <w:p>
      <w:pPr>
        <w:pStyle w:val="ListParagraph"/>
        <w:numPr>
          <w:ilvl w:val="0"/>
          <w:numId w:val="4"/>
        </w:numPr>
        <w:spacing w:after="60"/>
      </w:pPr>
      <w:r>
        <w:rPr>
          <w:rFonts w:ascii="Calibri" w:cs="Calibri" w:eastAsia="Calibri" w:hAnsi="Calibri"/>
        </w:rPr>
        <w:t xml:space="preserve">Specify the prospect model step by step, then build it on the data above.</w:t>
      </w:r>
    </w:p>
    <w:p>
      <w:pPr>
        <w:pStyle w:val="Heading2"/>
        <w:spacing w:after="80" w:before="200"/>
      </w:pPr>
      <w:r>
        <w:rPr>
          <w:rFonts w:ascii="Calibri" w:cs="Calibri" w:eastAsia="Calibri" w:hAnsi="Calibri"/>
        </w:rPr>
        <w:t xml:space="preserve">References</w:t>
      </w:r>
    </w:p>
    <w:p>
      <w:pPr>
        <w:spacing w:after="120" w:before="60" w:line="276"/>
        <w:jc w:val="left"/>
      </w:pPr>
      <w:r>
        <w:rPr>
          <w:rFonts w:ascii="Calibri" w:cs="Calibri" w:eastAsia="Calibri" w:hAnsi="Calibri"/>
        </w:rPr>
        <w:t xml:space="preserve">Bacon, P. Draft model guide and baseline probability by draft slot. hockeystats.com/draft/guide, accessed October 9, 2026.</w:t>
      </w:r>
    </w:p>
    <w:p>
      <w:pPr>
        <w:spacing w:after="120" w:before="60" w:line="276"/>
        <w:jc w:val="left"/>
      </w:pPr>
      <w:r>
        <w:rPr>
          <w:rFonts w:ascii="Calibri" w:cs="Calibri" w:eastAsia="Calibri" w:hAnsi="Calibri"/>
        </w:rPr>
        <w:t xml:space="preserve">Box, G. E. P., and Cox, D. R. (1964). An analysis of transformations. Journal of the Royal Statistical Society, Series B, 26(2), 211-252.</w:t>
      </w:r>
    </w:p>
    <w:p>
      <w:pPr>
        <w:spacing w:after="120" w:before="60" w:line="276"/>
        <w:jc w:val="left"/>
      </w:pPr>
      <w:r>
        <w:rPr>
          <w:rFonts w:ascii="Calibri" w:cs="Calibri" w:eastAsia="Calibri" w:hAnsi="Calibri"/>
        </w:rPr>
        <w:t xml:space="preserve">National Hockey League and National Hockey League Players' Association (2013). Collective Bargaining Agreement, Article 1 and Sections 9.1, 10.1, and 12.1.</w:t>
      </w:r>
    </w:p>
    <w:sectPr>
      <w:footerReference w:type="default" r:id="rId6"/>
      <w:pgSz w:w="12240" w:h="15840" w:orient="portrait"/>
      <w:pgMar w:top="1260" w:right="1440" w:bottom="126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52514E"/>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abstractNum w:abstractNumId="3" w15:restartNumberingAfterBreak="0">
    <w:multiLevelType w:val="hybridMultilevel"/>
    <w:lvl w:ilvl="0" w:tentative="1">
      <w:start w:val="1"/>
      <w:numFmt w:val="decimal"/>
      <w:lvlText w:val="%1."/>
      <w:lvlJc w:val="left"/>
      <w:pPr>
        <w:ind w:left="540" w:hanging="300"/>
      </w:pPr>
    </w:lvl>
  </w:abstractNum>
  <w:abstractNum w:abstractNumId="4" w15:restartNumberingAfterBreak="0">
    <w:multiLevelType w:val="hybridMultilevel"/>
    <w:lvl w:ilvl="0" w:tentative="1">
      <w:start w:val="1"/>
      <w:numFmt w:val="decimal"/>
      <w:lvlText w:val="%1."/>
      <w:lvlJc w:val="left"/>
      <w:pPr>
        <w:ind w:left="54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outlineLvl w:val="0"/>
    </w:pPr>
    <w:rPr>
      <w:rFonts w:ascii="Calibri" w:cs="Calibri" w:eastAsia="Calibri" w:hAnsi="Calibri"/>
      <w:b/>
      <w:bCs/>
      <w:color w:val="0B0B0B"/>
      <w:sz w:val="28"/>
      <w:szCs w:val="28"/>
    </w:rPr>
  </w:style>
  <w:style w:type="paragraph" w:styleId="Heading2">
    <w:name w:val="Heading 2"/>
    <w:basedOn w:val="Normal"/>
    <w:next w:val="Normal"/>
    <w:qFormat/>
    <w:pPr>
      <w:keepNext/>
      <w:outlineLvl w:val="1"/>
    </w:pPr>
    <w:rPr>
      <w:rFonts w:ascii="Calibri" w:cs="Calibri" w:eastAsia="Calibri" w:hAnsi="Calibri"/>
      <w:b/>
      <w:bCs/>
      <w:color w:val="2A2A28"/>
      <w:sz w:val="23"/>
      <w:szCs w:val="23"/>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a195798858d5372631139cbfe2acc8a14a871507.png"/><Relationship Id="rId9" Type="http://schemas.openxmlformats.org/officeDocument/2006/relationships/image" Target="media/973b56102f9dd71448231633cb72944f083c95c6.png"/><Relationship Id="rId10" Type="http://schemas.openxmlformats.org/officeDocument/2006/relationships/image" Target="media/c77e35d0832ff92cb05d8d706660420bdec50204.png"/><Relationship Id="rId11" Type="http://schemas.openxmlformats.org/officeDocument/2006/relationships/image" Target="media/b08a3abf10a5e606c6015c6a8bf7f2360cab0474.png"/><Relationship Id="rId12" Type="http://schemas.openxmlformats.org/officeDocument/2006/relationships/image" Target="media/60a67911fccffe7ef1f12ce23c21704d475b23e9.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Valuing Draft Picks</dc:title>
  <dc:creator>Thomas Mihaljevic</dc:creator>
  <cp:lastModifiedBy>Un-named</cp:lastModifiedBy>
  <cp:revision>1</cp:revision>
  <dcterms:created xsi:type="dcterms:W3CDTF">2026-10-09T18:09:12.607Z</dcterms:created>
  <dcterms:modified xsi:type="dcterms:W3CDTF">2026-10-09T18:09:12.608Z</dcterms:modified>
</cp:coreProperties>
</file>

<file path=docProps/custom.xml><?xml version="1.0" encoding="utf-8"?>
<Properties xmlns="http://schemas.openxmlformats.org/officeDocument/2006/custom-properties" xmlns:vt="http://schemas.openxmlformats.org/officeDocument/2006/docPropsVTypes"/>
</file>