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Cross-Cutting: What the Model Can Establish</w:t>
      </w:r>
    </w:p>
    <w:p>
      <w:pPr>
        <w:spacing w:after="200"/>
        <w:jc w:val="left"/>
      </w:pPr>
      <w:r>
        <w:t>The project can now estimate player-contract surplus and historical draft yield. It cannot yet establish systematic mispricing across completed trades: the prospect pillar, trade-date pick pricing, and parts of the back-test remain unfinished. The main questions concern what information enters a valuation, what its comparisons actually test, and which missing features could explain an apparent pricing error.</w:t>
      </w:r>
    </w:p>
    <w:p>
      <w:pPr>
        <w:pStyle w:val="Heading2"/>
        <w:keepNext/>
        <w:spacing w:after="140" w:before="280"/>
      </w:pPr>
      <w:r>
        <w:t>1. Historical Information</w:t>
      </w:r>
    </w:p>
    <w:p>
      <w:pPr>
        <w:spacing w:after="200"/>
        <w:jc w:val="left"/>
      </w:pPr>
      <w:r>
        <w:t>Player baselines use completed seasons before the valuation season. The aging lookup starts from a trailing player profile, and survival for a future year is based on the preceding year's projected age and quality. The cap path grows from the ceiling known at the valuation date instead of importing the future path that eventually occurred. These rules prevent several direct uses of future information.</w:t>
      </w:r>
    </w:p>
    <w:p>
      <w:pPr>
        <w:spacing w:after="200"/>
        <w:jc w:val="left"/>
      </w:pPr>
      <w:r>
        <w:t>The fitted model still uses later observations. Aging profiles, market prices, and exit probabilities are estimated once from a shared sample and applied to earlier decisions. A valuation dated 2019 can therefore use parameters partly estimated from post-2019 seasons. It is a retrospective valuation under common parameters, not a fully real-time historical forecast.</w:t>
      </w:r>
    </w:p>
    <w:p>
      <w:pPr>
        <w:spacing w:after="200"/>
        <w:jc w:val="left"/>
      </w:pPr>
      <w:r>
        <w:t>There is also a player-specific route through the aging model. The target player is excluded from the direct comparable weights, but remains in the pooled profiles used to stabilize the projection. His later seasons can enter those averages. The size of that indirect effect has not been measured.</w:t>
      </w:r>
    </w:p>
    <w:p>
      <w:pPr>
        <w:spacing w:after="200"/>
        <w:jc w:val="left"/>
      </w:pPr>
      <w:r>
        <w:t>Two different tests would address these exposures. Leaving the target player's entire career out of the pooled profiles would isolate his indirect contribution. Re-estimating the profiles using only seasons before a valuation date would also remove later information about other players. The first is a test of self-inclusion; the second is a test of historical availability. Passing one would not establish the other.</w:t>
      </w:r>
    </w:p>
    <w:p>
      <w:pPr>
        <w:spacing w:after="200"/>
        <w:jc w:val="left"/>
      </w:pPr>
      <w:r>
        <w:t>The same distinction applies to salaries. A trailing production measure is dated correctly, but the rate used to price it can still be estimated from contracts signed later. Treating that rate as a stable market parameter is a substantive assumption. It is reasonable to study it, but it changes the claim from what a club could have calculated then to what the common fitted model assigns retrospectively.</w:t>
      </w:r>
    </w:p>
    <w:p>
      <w:pPr>
        <w:spacing w:after="200"/>
        <w:jc w:val="left"/>
      </w:pPr>
      <w:r>
        <w:t>Early- and late-period aging estimates have been compared, with limited evidence of differences in the tested age profiles. That is useful evidence about stability. It does not recreate the estimates available at each historical date or prove that using the full sample has no effect. The exit model still lacks an equivalent split-period check.</w:t>
      </w:r>
    </w:p>
    <w:p>
      <w:pPr>
        <w:spacing w:after="200"/>
        <w:jc w:val="left"/>
      </w:pPr>
      <w:r>
        <w:t>The implemented aging check compares observed within-player changes in WAR per 82 games between 2007-2015 and 2016-2025. Across sixteen ages, none of the forward differences and one of the defence differences met the test's significance threshold. This is limited evidence of changes in the observed aging pattern between eras. Although the script's description also proposes comparing the model's pooled age profiles, that second comparison was not implemented. The reported counts therefore apply only to the observed age changes. An imprecise test can miss real differences, and these results do not measure the effect of full-panel estimation on historical valuations.</w:t>
      </w:r>
    </w:p>
    <w:p>
      <w:pPr>
        <w:spacing w:after="200"/>
        <w:jc w:val="left"/>
      </w:pPr>
      <w:r>
        <w:t>The Game Value shot model has a related limitation. It was tested on held-out seasons, then refitted on all regular-season data to produce the expected goals used by the metric. The reported 58.3% team-season agreement therefore describes the historical sample; it is not performance on wholly unseen games. Estimating the adjusted Game Value variant separately by season does not remove that shared shot-model exposure.</w:t>
      </w:r>
    </w:p>
    <w:p>
      <w:pPr>
        <w:spacing w:after="200"/>
        <w:jc w:val="left"/>
      </w:pPr>
      <w:r>
        <w:t>Future picks and prospects need the same discipline. A pick's eventual overall position cannot price it before that position was known. Prospect histories must stop at the valuation date, and any translation rates or draft priors estimated on later data need to be identified as such.</w:t>
      </w:r>
    </w:p>
    <w:p>
      <w:pPr>
        <w:pStyle w:val="Heading2"/>
        <w:keepNext/>
        <w:spacing w:after="140" w:before="280"/>
      </w:pPr>
      <w:r>
        <w:t>2. What the Circularity Check Tests</w:t>
      </w:r>
    </w:p>
    <w:p>
      <w:pPr>
        <w:spacing w:after="200"/>
        <w:jc w:val="left"/>
      </w:pPr>
      <w:r>
        <w:t>Game Value provides a production check outside the salary-based price equation. It starts from expected goals rather than simply reallocating the actual scoreboard. Comparing it with actual team results is therefore informative, despite the shared-sample qualification above.</w:t>
      </w:r>
    </w:p>
    <w:p>
      <w:pPr>
        <w:spacing w:after="200"/>
        <w:jc w:val="left"/>
      </w:pPr>
      <w:r>
        <w:t>The player-level comparison asks whether the production estimates agree with that alternative measure. Both sides are expressed in wins. No dollar price enters, so agreement cannot validate the amount paid per win. It also does not prove that either measure captures every part of a player's contribution.</w:t>
      </w:r>
    </w:p>
    <w:p>
      <w:pPr>
        <w:spacing w:after="200"/>
        <w:jc w:val="left"/>
      </w:pPr>
      <w:r>
        <w:t>There are therefore two separate questions. Does the projection track a player's subsequent hockey contribution? And what cap price does the market attach to that contribution? Agreement with Game Value helps with the first. The salary regression supplies the second. A model can rank production well and still overprice a win, misstate contract costs, or omit a valuable contractual right. The completed trade comparison must retain that separation rather than treating a production check as validation of every dollar in the valuation.</w:t>
      </w:r>
    </w:p>
    <w:p>
      <w:pPr>
        <w:spacing w:after="200"/>
        <w:jc w:val="left"/>
      </w:pPr>
      <w:r>
        <w:t>Agreement is stronger for forwards than for defencemen. The defensive gap limits the check; it does not establish by itself whether Bacon overstates defence or Game Value misses it. The raw and adjusted Game Value variants also share inputs, so agreement with both is not equivalent to passing two wholly independent tests.</w:t>
      </w:r>
    </w:p>
    <w:p>
      <w:pPr>
        <w:spacing w:after="200"/>
        <w:jc w:val="left"/>
      </w:pPr>
      <w:r>
        <w:t>The circularity robustness work is complete. The optional unrun legs belong to the separate contract-length test. Keeping those statuses distinct avoids presenting finished validation as unfinished, or an unrun extension as evidence already obtained.</w:t>
      </w:r>
    </w:p>
    <w:p>
      <w:pPr>
        <w:pStyle w:val="Heading2"/>
        <w:keepNext/>
        <w:spacing w:after="140" w:before="280"/>
      </w:pPr>
      <w:r>
        <w:t>3. Pricing Patterns That Need Further Testing</w:t>
      </w:r>
    </w:p>
    <w:p>
      <w:pPr>
        <w:spacing w:after="200"/>
        <w:jc w:val="left"/>
      </w:pPr>
      <w:r>
        <w:t>Long contracts for young, improving players often look expensive under the model. The trailing baseline helps explain why: it responds slowly to a breakout, while a club may sign the player because it expects further improvement. Diagnostics also found residual gaps after allowing for some under-forecasting. Those gaps are candidates for further study, not a clean estimate of a cost-certainty premium. Team fit, private information, and remaining projection error can produce the same pattern.</w:t>
      </w:r>
    </w:p>
    <w:p>
      <w:pPr>
        <w:spacing w:after="200"/>
        <w:jc w:val="left"/>
      </w:pPr>
      <w:r>
        <w:t>The July diagnostic focused on 41 contracts for players aged 23.5 or younger at valuation, with terms of at least six years. It reported a median modeled NPV near -$20.6 million, with roughly $6 million to $8 million per deal attributed to under-forecasting. These are results from that diagnostic's specification and valuation vintage, not a new estimate on the final trade sample. They establish the scale of the pattern worth investigating. Subtracting an estimated forecast gap from a contract residual does not identify the economic cause of the remainder.</w:t>
      </w:r>
    </w:p>
    <w:p>
      <w:pPr>
        <w:spacing w:after="200"/>
        <w:jc w:val="left"/>
      </w:pPr>
      <w:r>
        <w:t>Several proposed projection changes, including recent trajectory and different treatment of short histories, did not improve the recorded held-out comparisons. That is a reason not to adjust the forecast simply until these contracts look reasonable. It also does not establish that the remaining forecast is unbiased for this particular subgroup: overall prediction accuracy and conditional accuracy for young long-term signings are different tests.</w:t>
      </w:r>
    </w:p>
    <w:p>
      <w:pPr>
        <w:spacing w:after="200"/>
        <w:jc w:val="left"/>
      </w:pPr>
      <w:r>
        <w:t>Exploratory salary regressions found a discount associated with star RFAs and a level premium for signing with the player's existing club. They used an older sample and baseline treatment, so they need to be refitted on the current specification before adoption. The star definition also needs testing across reasonable thresholds, and very few star contracts in the sample reached the open market.</w:t>
      </w:r>
    </w:p>
    <w:p>
      <w:pPr>
        <w:spacing w:after="200"/>
        <w:jc w:val="left"/>
      </w:pPr>
      <w:r>
        <w:t>The exploratory fit used 2,468 contracts with unprorated baselines and only 34 stars, defined at 3.5 trailing wins. The current pricing sample has 2,349 contracts with the schedule adjustment described in Document 2. The estimated star-RFA difference was an interaction: it concerned the combination of star quality and RFA status, rather than a general reduction for every RFA. That distinction can matter even when an earlier pooled RFA/UFA comparison found little difference overall.</w:t>
      </w:r>
    </w:p>
    <w:p>
      <w:pPr>
        <w:spacing w:after="200"/>
        <w:jc w:val="left"/>
      </w:pPr>
      <w:r>
        <w:t>The own-club result was a level difference rather than an additional price per win. A fixed dollar difference is proportionally larger for a middle-priced contract than for a star contract, which gives the finding a different implication from a star-specific effect. However, players who re-sign are selected: the club and player have already chosen to continue their relationship. A refit can establish whether the association survives the corrected sample; it will not by itself turn that association into a causal premium.</w:t>
      </w:r>
    </w:p>
    <w:p>
      <w:pPr>
        <w:spacing w:after="200"/>
        <w:jc w:val="left"/>
      </w:pPr>
      <w:r>
        <w:t>A within-market pay difference is distinct from a claim that all stars are underpaid. The current price equation is itself estimated from salaries. If a league-wide force depresses star pay, it can depress the fitted benchmark too. Salary residuals alone cannot recover the missing level of value.</w:t>
      </w:r>
    </w:p>
    <w:p>
      <w:pPr>
        <w:spacing w:after="200"/>
        <w:jc w:val="left"/>
      </w:pPr>
      <w:r>
        <w:t>Completed trades create another selection problem. They show exchanges that both clubs accepted, not every offer considered or rejected. Players traded and players retained can differ for reasons the data do not capture. A pattern within completed trades must therefore be interpreted within that selected market, rather than generalized automatically to all assets or opportunities.</w:t>
      </w:r>
    </w:p>
    <w:p>
      <w:pPr>
        <w:pStyle w:val="Heading2"/>
        <w:keepNext/>
        <w:spacing w:after="140" w:before="280"/>
      </w:pPr>
      <w:r>
        <w:t>4. Comparing Trade Packages</w:t>
      </w:r>
    </w:p>
    <w:p>
      <w:pPr>
        <w:spacing w:after="200"/>
        <w:jc w:val="left"/>
      </w:pPr>
      <w:r>
        <w:t>The intended comparison uses surplus dollars, meaning production value less cost. That subtraction matters. A common error in the gross price of wins does not generally cancel from a ratio of two packages' surpluses, because their fixed costs differ.</w:t>
      </w:r>
    </w:p>
    <w:p>
      <w:pPr>
        <w:spacing w:after="200"/>
        <w:jc w:val="left"/>
      </w:pPr>
      <w:r>
        <w:t>Suppose package A has $10 million of gross value and $8 million of cost, while package B has $8 million of gross value and $7 million of cost. Their surpluses are $2 million and $1 million, a ratio of two. Raising both gross values by 20%, with costs unchanged, gives $4 million and $2.6 million of surplus, a ratio of about 1.54. A shared price change has altered the comparison without changing either contract. Packages with different mixes of picks, low-cost players, and expensive contracts need not respond equally.</w:t>
      </w:r>
    </w:p>
    <w:p>
      <w:pPr>
        <w:spacing w:after="200"/>
        <w:jc w:val="left"/>
      </w:pPr>
      <w:r>
        <w:t>Ratios are also unstable when the denominator is near zero and difficult to interpret when either side is negative. Even with positive values, symmetry between clubs does not imply an average ratio of one. A trade recorded as two-to-one in one direction becomes one-to-two in the other; averaging those two ratios gives 1.25.</w:t>
      </w:r>
    </w:p>
    <w:p>
      <w:pPr>
        <w:spacing w:after="200"/>
        <w:jc w:val="left"/>
      </w:pPr>
      <w:r>
        <w:t>The proposed ratio statistic therefore needs a deliberate review of orientation, negative packages, and the null against which it will be tested. This is an unresolved design issue, not a change already made to the model. A finding of no systematic difference remains possible, but failure to detect a pattern would need to be read alongside sample size and the number of categories tested.</w:t>
      </w:r>
    </w:p>
    <w:p>
      <w:pPr>
        <w:spacing w:after="200"/>
        <w:jc w:val="left"/>
      </w:pPr>
      <w:r>
        <w:t>A dollar difference avoids division by a near-zero quantity but still requires a way to compare small and large trades. A normalized difference or a model of both package values introduces other choices about scale and negative values. Those alternatives need to be evaluated against the economic question before selecting a statistic; none is being adopted here. The uncertainty calculation also needs to allow for shared inputs, because both sides depend on the same market rate and many trades use the same draft bands.</w:t>
      </w:r>
    </w:p>
    <w:p>
      <w:pPr>
        <w:spacing w:after="200"/>
        <w:jc w:val="left"/>
      </w:pPr>
      <w:r>
        <w:t>Trade-date player values also require the unfinished mid-season allocation. The intended Game Value split has not been applied to the back-test, and signed season totals need explicit handling before they can serve as allocation denominators.</w:t>
      </w:r>
    </w:p>
    <w:p>
      <w:pPr>
        <w:pStyle w:val="Heading2"/>
        <w:keepNext/>
        <w:spacing w:after="140" w:before="280"/>
      </w:pPr>
      <w:r>
        <w:t>5. Assumptions That Can Move the Result</w:t>
      </w:r>
    </w:p>
    <w:p>
      <w:pPr>
        <w:spacing w:after="200"/>
        <w:jc w:val="left"/>
      </w:pPr>
      <w:r>
        <w:t>The draft curve sets post-entry-level surplus to zero. Where later contracts produce positive surplus, that lowers estimated pick value. Maximum entry-level costs can lower it further for players who actually signed below the maximum, while omitted bonus costs can raise it. The short-appearance treatment scales costs without similarly scaling the price intercept. These effects do not all point in one direction.</w:t>
      </w:r>
    </w:p>
    <w:p>
      <w:pPr>
        <w:spacing w:after="200"/>
        <w:jc w:val="left"/>
      </w:pPr>
      <w:r>
        <w:t>The Rule B draft sensitivity contains a separate pricing mismatch: defence production uses the defence slope, but trailing cost uses the forward slope. Its reported difference from Rule A cannot yet be treated as a clean measure of the cost assumption. The primary curve is unaffected by that particular calculation.</w:t>
      </w:r>
    </w:p>
    <w:p>
      <w:pPr>
        <w:spacing w:after="200"/>
        <w:jc w:val="left"/>
      </w:pPr>
      <w:r>
        <w:t>Player survival reduces production value while signed costs continue. This lowers surplus where actual departure would bring cap relief. Temporary absences counted as exits can also reduce projected continuation too far. Conversely, strong rebound rates among surviving low-value players cannot establish recovery rates for all such players. The exit model observes next-season absence directly, so that survivor-only rebound evidence does not, by itself, show that exit probabilities are understated.</w:t>
      </w:r>
    </w:p>
    <w:p>
      <w:pPr>
        <w:spacing w:after="200"/>
        <w:jc w:val="left"/>
      </w:pPr>
      <w:r>
        <w:t>RFA control value depends on qualifying offers as a cost proxy and on incomplete salary histories. Goalies use a different pricing estimator and lack some skater adjustments. Forecast uncertainty receives a floor correction in projected skater contract years, but not in terminal or goalie values. These differences belong in comparisons between asset groups, rather than being absorbed silently into a mispricing residual.</w:t>
      </w:r>
    </w:p>
    <w:p>
      <w:pPr>
        <w:pStyle w:val="Heading2"/>
        <w:keepNext/>
        <w:spacing w:after="140" w:before="280"/>
      </w:pPr>
      <w:r>
        <w:t>6. What Has Been Verified</w:t>
      </w:r>
    </w:p>
    <w:p>
      <w:pPr>
        <w:spacing w:after="200"/>
        <w:jc w:val="left"/>
      </w:pPr>
      <w:r>
        <w:t>The code contains checks for known failure points: reproducing locked pricing results, reconciling Game Value credits and debits, and preventing identifier-only joins when names disagree. The September 9 rerun reproduced the player outputs and draft curve after migration, and the outstanding contract-length test was completed. Reproduction confirms that the current files generate the recorded results. It does not establish that the assumptions are right or that every source record is correct.</w:t>
      </w:r>
    </w:p>
    <w:p>
      <w:pPr>
        <w:spacing w:after="200"/>
        <w:jc w:val="left"/>
      </w:pPr>
      <w:r>
        <w:t>The pricing checks rebuild earlier locked specifications before applying later changes. The skater projection also checks that its valuation-season result agrees with the observed-season layer. These checks catch input drift, inconsistent coefficients, and broken handoffs between steps. Content hashes distinguish regenerated files from stale copies even when their sizes happen to match. None of those checks substitutes for testing a new assumption against outcomes.</w:t>
      </w:r>
    </w:p>
    <w:p>
      <w:pPr>
        <w:spacing w:after="200"/>
        <w:jc w:val="left"/>
      </w:pPr>
      <w:r>
        <w:t>The next empirical checks follow from the intended claim: historical fitting windows for information exposure, sensible perturbations of thresholds and costs, completed asset coverage, and outcome comparisons with enough observations to detect economically meaningful differences. The split between forwards and defencemen, the different goalie treatment, and the sparse sample of certain trade types need to remain visible in those results. Pooling them can make the overall estimate appear more settled than the underlying evidence.</w:t>
      </w:r>
    </w:p>
    <w:p>
      <w:pPr>
        <w:spacing w:after="200"/>
        <w:jc w:val="left"/>
      </w:pPr>
      <w:r>
        <w:t>The remaining empirical question is whether pricing patterns survive those limitations and the unfinished trade construction. The contribution is a common surplus-dollar framework across assets. Evidence of systematic mispricing has to come from the completed comparison, rather than from the fact that the framework produces different values for the two sides of a trade.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2026-09-09T20:55:15.472Z</dcterms:created>
  <dcterms:modified xsi:type="dcterms:W3CDTF">2026-09-09T20:55:15.472Z</dcterms:modified>
</cp:coreProperties>
</file>

<file path=docProps/custom.xml><?xml version="1.0" encoding="utf-8"?>
<Properties xmlns="http://schemas.openxmlformats.org/officeDocument/2006/custom-properties" xmlns:vt="http://schemas.openxmlformats.org/officeDocument/2006/docPropsVTypes"/>
</file>