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II: Pricing, Discounting, and Assembly</w:t>
      </w:r>
    </w:p>
    <w:p>
      <w:pPr>
        <w:spacing w:after="200"/>
        <w:jc w:val="left"/>
      </w:pPr>
      <w:r>
        <w:t xml:space="preserve">This document covers the back half of the player pillar: how the projection from the previous document turns into one dollar figure per contract. It covers the value an RFA contract carries past its final season, the market rate that converts wins into dollars, the assembly into one present-value number, and goaltenders, which run through a parallel chain.</w:t>
      </w:r>
    </w:p>
    <w:p>
      <w:pPr>
        <w:pStyle w:val="Heading2"/>
        <w:spacing w:after="140" w:before="280"/>
      </w:pPr>
      <w:r>
        <w:t xml:space="preserve">End-of-contract value under restricted free agency</w:t>
      </w:r>
    </w:p>
    <w:p>
      <w:pPr>
        <w:spacing w:after="200"/>
        <w:jc w:val="left"/>
      </w:pPr>
      <w:r>
        <w:t xml:space="preserve">A contract expiring into unrestricted free agency carries no further value to the current club beyond its final season. One expiring into restricted free agency does, because the club retains exclusive negotiating rights over the player for additional seasons, at a cost set by the collective bargaining agreement's qualifying-offer formula rather than by open-market bidding. The model walks the projection forward through these controlled years and prices each one against the formula in force that season.</w:t>
      </w:r>
    </w:p>
    <w:p>
      <w:pPr>
        <w:spacing w:after="200"/>
        <w:jc w:val="left"/>
      </w:pPr>
      <w:r>
        <w:t xml:space="preserve">Each controlled year is weighted by the observed probability that a club actually extends the qualifying offer to a player of that projected quality, using the same four quality tiers used for the exit hazard. The first version of this calibration had no such weighting: it assumed a club extends the offer whenever projected value covers the cost, and because even a zero-win control year projects as worth more than most qualifying offers, nearly every player looked worth keeping. That version caught only 18% of 614 real walk-away decisions.</w:t>
      </w:r>
    </w:p>
    <w:p>
      <w:pPr>
        <w:spacing w:after="200"/>
        <w:jc w:val="left"/>
      </w:pPr>
      <w:r>
        <w:t xml:space="preserve">That calibration had a selection-bias hole of its own: 1,039 of 2,270 real qualify-or-walk decisions had been silently dropped from the sample because they carried no production figure, and those are exactly the players a club is most likely to walk away from. Among the retained sample, 21.3% of decisions were walks; among the full sample once the dropped decisions are restored, the true rate is 27.0%, with 33.9% of the dropped group walked against 21.3% in the retained group. The fix treats a missing production figure as informative, meaning it is read as a below-replacement player rather than as missing data.</w:t>
      </w:r>
    </w:p>
    <w:p>
      <w:pPr>
        <w:spacing w:after="200"/>
        <w:jc w:val="left"/>
      </w:pPr>
      <w:r>
        <w:t xml:space="preserve">With that fix in place, terminal value was overstated by 12.3% at three control years, a meaningfully smaller gap than the 20% to 25% an earlier review had estimated. Most of that difference is composition rather than a rate effect, since composition does not compound the way a rate does. Because three separate changes (the rate rebuild, the retention fix, and the league-minimum floor) all pushed fringe-player value down at once, an over-correction check was run directly: the model still prices retention more generously than clubs actually behave, 91.6% modeled retention against 79.3% observed, so no further change was made on this point.</w:t>
      </w:r>
    </w:p>
    <w:p>
      <w:pPr>
        <w:spacing w:after="200"/>
        <w:jc w:val="left"/>
      </w:pPr>
      <w:r>
        <w:t xml:space="preserve">One objection was considered and rejected: that terminal value should account for the timing of when a roster spot, not a specific player, becomes available. This was rejected because the model prices a specific player's future production, not a generic roster slot.</w:t>
      </w:r>
    </w:p>
    <w:p>
      <w:pPr>
        <w:spacing w:after="200"/>
        <w:jc w:val="left"/>
      </w:pPr>
      <w:r>
        <w:t xml:space="preserve">### Open and untested</w:t>
      </w:r>
    </w:p>
    <w:p>
      <w:pPr>
        <w:spacing w:after="200"/>
        <w:jc w:val="left"/>
      </w:pPr>
      <w:r>
        <w:t xml:space="preserve">The over-correction verdict above rests on a margin of roughly $300,000. At the low end of the defensible range for the model's intercept, that verdict reverses.</w:t>
      </w:r>
    </w:p>
    <w:p>
      <w:pPr>
        <w:spacing w:after="200"/>
        <w:jc w:val="left"/>
      </w:pPr>
      <w:r>
        <w:t xml:space="preserve">44.6% of RFA contracts carry no salary data, so the qualifying-offer formula falls back to average annual value. That fallback erases any front-loading in the original contract by construction, which disables the CBA's 120% qualifying-offer cap in exactly the front-loaded cases that cap exists to constrain. This is known and unfixed.</w:t>
      </w:r>
    </w:p>
    <w:p>
      <w:pPr>
        <w:pStyle w:val="Heading2"/>
        <w:spacing w:after="140" w:before="280"/>
      </w:pPr>
      <w:r>
        <w:t xml:space="preserve">The market rate: turning wins into dollars</w:t>
      </w:r>
    </w:p>
    <w:p>
      <w:pPr>
        <w:spacing w:after="200"/>
        <w:jc w:val="left"/>
      </w:pPr>
      <w:r>
        <w:t xml:space="preserve">The market rate does the conversion from wins to dollars, and it is fitted as a censored regression of a contract's cap share on its trailing weighted WAR, using cap share rather than raw average annual value so the rate scales correctly across seasons with different salary cap ceilings. The fit runs on 2,349 skater contract starts from 2018 through 2025; 2018 is the floor because the contract export thins sharply before it, 63, 223, and 452 contracts for 2015 through 2017 against roughly 700 a year from 2018 on, and fitting on those earlier years would estimate the rate on whichever contracts happened to survive in the export rather than on a representative sample.</w:t>
      </w:r>
    </w:p>
    <w:p>
      <w:pPr>
        <w:spacing w:after="200"/>
        <w:jc w:val="left"/>
      </w:pPr>
      <w:r>
        <w:t xml:space="preserve">The censoring matters because 529 of those 2,349 contracts sit exactly at the league minimum, where a club could not legally offer less. That price is not a negotiated figure, and treating it as one with a plain regression drags the fitted line upward at the bottom. A left-censored, or Tobit, fit corrects for this directly.</w:t>
      </w:r>
    </w:p>
    <w:p>
      <w:pPr>
        <w:spacing w:after="200"/>
        <w:jc w:val="left"/>
      </w:pPr>
      <w:r>
        <w:t xml:space="preserve">A replacement-level skater prices at 1.32% of the cap, $1.27 million at the 2025-26 ceiling. Each additional win adds 2.12% of the cap for a forward and 2.41% for a defenceman, $2.03 million and $2.30 million respectively. Position enters the fit as a difference in slope only, with one shared intercept for both positions, because at zero measured wins the market pays the two positions alike. One line prices both restricted and unrestricted free agents, since the two are not statistically distinguishable (F=0.12, p=0.887). This corrects an earlier report, which had found separate markets for the two; that earlier sample had goaltenders mixed into what was presented as a skater-only sample, and the corrected fit resolves the discrepancy. This is also a clear example of why the reproduction guard described in the verification document exists.</w:t>
      </w:r>
    </w:p>
    <w:p>
      <w:pPr>
        <w:spacing w:after="200"/>
        <w:jc w:val="left"/>
      </w:pPr>
      <w:r>
        <w:t xml:space="preserve">A censored fit like this one does not have a true R². Two substitute measures are reported instead, and neither is comparable to an ordinary least-squares R². McFadden's pseudo-R² comes to 0.129, and the squared correlation on the uncensored portion of the sample comes to 0.433; both describe fit quality within this model's own framework, not the share of variance explained in the ordinary sense.</w:t>
      </w:r>
    </w:p>
    <w:p>
      <w:pPr>
        <w:spacing w:after="200"/>
        <w:jc w:val="left"/>
      </w:pPr>
      <w:r>
        <w:t xml:space="preserve">Each projected season's wins-above-replacement figure is converted to dollars at this rate.</w:t>
      </w:r>
    </w:p>
    <w:p>
      <w:pPr>
        <w:spacing w:after="200"/>
        <w:jc w:val="left"/>
      </w:pPr>
      <w:r>
        <w:t xml:space="preserve">### Open and untested</w:t>
      </w:r>
    </w:p>
    <w:p>
      <w:pPr>
        <w:spacing w:after="200"/>
        <w:jc w:val="left"/>
      </w:pPr>
      <w:r>
        <w:t xml:space="preserve">The defence slope premium is the weakest term in the model: z=2.41, p=0.016, significant at the 5% level but not at the 1% level, while the other two coefficients sit at p&lt;0.001.</w:t>
      </w:r>
    </w:p>
    <w:p>
      <w:pPr>
        <w:spacing w:after="200"/>
        <w:jc w:val="left"/>
      </w:pPr>
      <w:r>
        <w:t xml:space="preserve">A positional error of roughly $496,000 per season remains even after the position term is included.</w:t>
      </w:r>
    </w:p>
    <w:p>
      <w:pPr>
        <w:spacing w:after="200"/>
        <w:jc w:val="left"/>
      </w:pPr>
      <w:r>
        <w:t xml:space="preserve">The model carries no length term. A pre-registered null test found that the long-contract-negative-NPV finding, covered in the findings document, survives without one, but the absence means the model cannot separately price the cost certainty that a long contract buys a club.</w:t>
      </w:r>
    </w:p>
    <w:p>
      <w:pPr>
        <w:pStyle w:val="Heading2"/>
        <w:spacing w:after="140" w:before="280"/>
      </w:pPr>
      <w:r>
        <w:t xml:space="preserve">Discounting and assembling the contract NPV</w:t>
      </w:r>
    </w:p>
    <w:p>
      <w:pPr>
        <w:spacing w:after="200"/>
        <w:jc w:val="left"/>
      </w:pPr>
      <w:r>
        <w:t xml:space="preserve">This is the step that turns a projected season of wins into one present-value number per contract. Each projected season's wins-above-replacement figure is converted to dollars at the market rate above, floored at that season's league-minimum salary, netted against the contract's actual cap charge for that season, and discounted. Summing across each season of the contract, plus any restricted-free-agency control years from the section above, produces one present-value figure in surplus dollars per contract. As of the current sweep, 2,981 contracts are priced this way (2,591 skaters and 390 goaltenders), and the resulting NPV panel runs to 6,939 rows.</w:t>
      </w:r>
    </w:p>
    <w:p>
      <w:pPr>
        <w:spacing w:after="200"/>
        <w:jc w:val="left"/>
      </w:pPr>
      <w:r>
        <w:t xml:space="preserve">Two discount factors apply, and they are kept separate rather than combined into one number, because they answer different questions. The first is the survival probability from the exit hazard described earlier: the chance the player's career has ended before a given future season arrives. The second is cap growth, assumed at 3% a year from the valuation season's known salary cap ceiling, which erodes the relative value of a fixed future dollar. The 3% figure is a planning assumption, not a historical average, and because both sides of a trade share the same assumption, error in the rate largely cancels out when trades are compared as surplus ratios rather than raw dollar differences.</w:t>
      </w:r>
    </w:p>
    <w:p>
      <w:pPr>
        <w:spacing w:after="200"/>
        <w:jc w:val="left"/>
      </w:pPr>
      <w:r>
        <w:t xml:space="preserve">The league-minimum floor on the value side binds more often than a reader might expect: it is active on 15.3% of priced rows, adding $582.58 million in total value across the sample.</w:t>
      </w:r>
    </w:p>
    <w:p>
      <w:pPr>
        <w:spacing w:after="200"/>
        <w:jc w:val="left"/>
      </w:pPr>
      <w:r>
        <w:t xml:space="preserve">The discount rate does not allow for managerial impatience: the idea that a general manager might discount the future more heavily than the underlying economics warrant, out of short-term pressure to win now. Building that tendency into the model's own discount rate would make it impossible for the back-test to ever detect a manager over-discounting the future. The discount rate is built from survival risk and cap growth alone, so any managerial short-termism in the real data has to surface as a result of the back-test rather than being assumed away in advance. This is a deliberate choice, not an oversight.</w:t>
      </w:r>
    </w:p>
    <w:p>
      <w:pPr>
        <w:spacing w:after="200"/>
        <w:jc w:val="left"/>
      </w:pPr>
      <w:r>
        <w:t xml:space="preserve">### Open and untested</w:t>
      </w:r>
    </w:p>
    <w:p>
      <w:pPr>
        <w:spacing w:after="200"/>
        <w:jc w:val="left"/>
      </w:pPr>
      <w:r>
        <w:t xml:space="preserve">Cap optionality, the value of the roster flexibility a shorter contract buys, is not priced anywhere in the model. Adding it would make long contracts look worse relative to short ones, so its absence does not flatter the long-contract finding described in the findings document. That is the direction that matters.</w:t>
      </w:r>
    </w:p>
    <w:p>
      <w:pPr>
        <w:spacing w:after="200"/>
        <w:jc w:val="left"/>
      </w:pPr>
      <w:r>
        <w:t xml:space="preserve">Downstream spines were rewritten on the current rate and retention gate described above. Anything built off an older spine is stale.</w:t>
      </w:r>
    </w:p>
    <w:p>
      <w:pPr>
        <w:pStyle w:val="Heading2"/>
        <w:spacing w:after="140" w:before="280"/>
      </w:pPr>
      <w:r>
        <w:t xml:space="preserve">Goaltenders</w:t>
      </w:r>
    </w:p>
    <w:p>
      <w:pPr>
        <w:spacing w:after="200"/>
        <w:jc w:val="left"/>
      </w:pPr>
      <w:r>
        <w:t xml:space="preserve">Goaltenders run a separate chain covering 390 contracts, priced through a plainer version of the same logic, with no comparable search and no aging curve. Goaltender performance barely persists from one season to the next, so a comparable search and an aging curve built on persistence would have nothing real to work with.</w:t>
      </w:r>
    </w:p>
    <w:p>
      <w:pPr>
        <w:spacing w:after="200"/>
        <w:jc w:val="left"/>
      </w:pPr>
      <w:r>
        <w:t xml:space="preserve">A goalie's baseline is a trailing weighted average over his last three seasons, 50/30/20, falling back to a 60/40 blend and then to a single season as the history available gets thinner. That baseline is then shrunk 65% of the way toward the league average, against 45% for skaters, which reflects how much less a goalie's recent numbers can be trusted to predict his next season compared to a skater's.</w:t>
      </w:r>
    </w:p>
    <w:p>
      <w:pPr>
        <w:spacing w:after="200"/>
        <w:jc w:val="left"/>
      </w:pPr>
      <w:r>
        <w:t xml:space="preserve">Pricing uses a separately fitted goaltender rate, because the skater rate described above does not transfer to a position whose value behaves so differently season to season.</w:t>
      </w:r>
    </w:p>
    <w:p>
      <w:pPr>
        <w:spacing w:after="200"/>
        <w:jc w:val="left"/>
      </w:pPr>
      <w:r>
        <w:t xml:space="preserve">### Open and untested</w:t>
      </w:r>
    </w:p>
    <w:p>
      <w:pPr>
        <w:spacing w:after="200"/>
        <w:jc w:val="left"/>
      </w:pPr>
      <w:r>
        <w:t xml:space="preserve">Goaltenders are still priced on an older least-squares rate, not the current censored rate used for skaters in the section above. This is a deliberate sequencing choice, held until the goaltender pillar's own outstanding items settle, but it means the two positions are currently priced on different equations.</w:t>
      </w:r>
    </w:p>
    <w:p>
      <w:pPr>
        <w:spacing w:after="200"/>
        <w:jc w:val="left"/>
      </w:pPr>
      <w:r>
        <w:t xml:space="preserve">A goaltender contact-percentage metric was assessed and shelved: the underlying faceoff-adjacency proxy collapsed across the 2022-23 and 2023-24 seasons, a database-stability issue that would need to be resolved before any further build work on this metric is worth attempting.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2026-09-09T17:53:20.269Z</dcterms:created>
  <dcterms:modified xsi:type="dcterms:W3CDTF">2026-09-09T17:53:20.269Z</dcterms:modified>
</cp:coreProperties>
</file>

<file path=docProps/custom.xml><?xml version="1.0" encoding="utf-8"?>
<Properties xmlns="http://schemas.openxmlformats.org/officeDocument/2006/custom-properties" xmlns:vt="http://schemas.openxmlformats.org/officeDocument/2006/docPropsVTypes"/>
</file>