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47D5" w14:textId="7A3071A6" w:rsidR="00FD10A4" w:rsidRPr="0009126F" w:rsidRDefault="00E23368" w:rsidP="00C97F34">
      <w:pPr>
        <w:pStyle w:val="Title"/>
        <w:rPr>
          <w:rFonts w:asciiTheme="minorHAnsi" w:hAnsiTheme="minorHAnsi" w:cstheme="minorHAnsi"/>
        </w:rPr>
      </w:pPr>
      <w:r w:rsidRPr="0009126F">
        <w:rPr>
          <w:rFonts w:asciiTheme="minorHAnsi" w:hAnsiTheme="minorHAnsi" w:cstheme="minorHAnsi"/>
        </w:rPr>
        <w:t>Data, Production, and Aging</w:t>
      </w:r>
    </w:p>
    <w:p w14:paraId="5F9073F8" w14:textId="31BAD2E5" w:rsidR="00FD10A4" w:rsidRPr="0009126F" w:rsidRDefault="00000000" w:rsidP="00C97F34">
      <w:pPr>
        <w:rPr>
          <w:rFonts w:asciiTheme="minorHAnsi" w:hAnsiTheme="minorHAnsi" w:cstheme="minorHAnsi"/>
        </w:rPr>
      </w:pPr>
      <w:r w:rsidRPr="0009126F">
        <w:rPr>
          <w:rFonts w:asciiTheme="minorHAnsi" w:hAnsiTheme="minorHAnsi" w:cstheme="minorHAnsi"/>
        </w:rPr>
        <w:t xml:space="preserve">A player's net contract value starts with an estimate of what he will produce. For skaters, the model uses </w:t>
      </w:r>
      <w:r w:rsidR="006034F5" w:rsidRPr="0009126F">
        <w:rPr>
          <w:rFonts w:asciiTheme="minorHAnsi" w:hAnsiTheme="minorHAnsi" w:cstheme="minorHAnsi"/>
        </w:rPr>
        <w:t xml:space="preserve">Patrick </w:t>
      </w:r>
      <w:r w:rsidRPr="0009126F">
        <w:rPr>
          <w:rFonts w:asciiTheme="minorHAnsi" w:hAnsiTheme="minorHAnsi" w:cstheme="minorHAnsi"/>
        </w:rPr>
        <w:t>Bacon's wins above replacement (WAR) and projects that production through the remaining term of team control. It accounts separately for the chance that the player leaves the NHL. The player-pricing document explains how projected production is priced, contract costs are deducted, and future amounts are discounted to present value.</w:t>
      </w:r>
    </w:p>
    <w:p w14:paraId="43BDD6C6" w14:textId="1EA82F7B" w:rsidR="00FD10A4" w:rsidRPr="0009126F" w:rsidRDefault="00000000" w:rsidP="00C97F34">
      <w:pPr>
        <w:rPr>
          <w:rFonts w:asciiTheme="minorHAnsi" w:hAnsiTheme="minorHAnsi" w:cstheme="minorHAnsi"/>
        </w:rPr>
      </w:pPr>
      <w:r w:rsidRPr="0009126F">
        <w:rPr>
          <w:rFonts w:asciiTheme="minorHAnsi" w:hAnsiTheme="minorHAnsi" w:cstheme="minorHAnsi"/>
        </w:rPr>
        <w:t xml:space="preserve">The starting estimate uses seasons completed before the valuation season. For example, a valuation for 2025-26 draws on the player's production in 2024-25 and 2023-24. The aging curves and exit probabilities use a shared historical sample, which includes seasons after some valuation dates. </w:t>
      </w:r>
    </w:p>
    <w:p w14:paraId="64E53010" w14:textId="77777777" w:rsidR="00FD10A4" w:rsidRPr="0009126F" w:rsidRDefault="00000000" w:rsidP="00C97F34">
      <w:pPr>
        <w:pStyle w:val="Heading1"/>
        <w:rPr>
          <w:rFonts w:asciiTheme="minorHAnsi" w:hAnsiTheme="minorHAnsi" w:cstheme="minorHAnsi"/>
        </w:rPr>
      </w:pPr>
      <w:r w:rsidRPr="0009126F">
        <w:rPr>
          <w:rFonts w:asciiTheme="minorHAnsi" w:hAnsiTheme="minorHAnsi" w:cstheme="minorHAnsi"/>
        </w:rPr>
        <w:t>1. Joining the Data</w:t>
      </w:r>
    </w:p>
    <w:p w14:paraId="4771B040"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player model combines performance records, ages, and contract terms from different sources. Their identifiers do not line up consistently, so names and positions help connect the records. Accents and spelling variants are standardized, and known same-name players need separate treatment. If one player's performance has been merged with another's in the source, that record cannot safely be priced.</w:t>
      </w:r>
    </w:p>
    <w:p w14:paraId="6F836A4D" w14:textId="4CD521A3" w:rsidR="00FD10A4" w:rsidRPr="0009126F" w:rsidRDefault="00000000" w:rsidP="00C97F34">
      <w:pPr>
        <w:rPr>
          <w:rFonts w:asciiTheme="minorHAnsi" w:hAnsiTheme="minorHAnsi" w:cstheme="minorHAnsi"/>
        </w:rPr>
      </w:pPr>
      <w:proofErr w:type="spellStart"/>
      <w:r w:rsidRPr="0009126F">
        <w:rPr>
          <w:rFonts w:asciiTheme="minorHAnsi" w:hAnsiTheme="minorHAnsi" w:cstheme="minorHAnsi"/>
        </w:rPr>
        <w:t>PuckPedia</w:t>
      </w:r>
      <w:proofErr w:type="spellEnd"/>
      <w:r w:rsidRPr="0009126F">
        <w:rPr>
          <w:rFonts w:asciiTheme="minorHAnsi" w:hAnsiTheme="minorHAnsi" w:cstheme="minorHAnsi"/>
        </w:rPr>
        <w:t xml:space="preserve"> supplies contract terms and the trade ledger. </w:t>
      </w:r>
      <w:r w:rsidR="00C444E1" w:rsidRPr="0009126F">
        <w:rPr>
          <w:rFonts w:asciiTheme="minorHAnsi" w:hAnsiTheme="minorHAnsi" w:cstheme="minorHAnsi"/>
        </w:rPr>
        <w:t xml:space="preserve">Patrick </w:t>
      </w:r>
      <w:r w:rsidRPr="0009126F">
        <w:rPr>
          <w:rFonts w:asciiTheme="minorHAnsi" w:hAnsiTheme="minorHAnsi" w:cstheme="minorHAnsi"/>
        </w:rPr>
        <w:t>Bacon supplies player production throughout the valuation model. Trade-protection clauses come from a separate scrape, checked against a second clause source, while the NHL game and shift records support Game Value. Keeping one provider for player production avoids combining wins measured on different scales. Game Value has a separate role as a</w:t>
      </w:r>
      <w:r w:rsidR="005C0F74" w:rsidRPr="0009126F">
        <w:rPr>
          <w:rFonts w:asciiTheme="minorHAnsi" w:hAnsiTheme="minorHAnsi" w:cstheme="minorHAnsi"/>
        </w:rPr>
        <w:t xml:space="preserve">n </w:t>
      </w:r>
      <w:r w:rsidRPr="0009126F">
        <w:rPr>
          <w:rFonts w:asciiTheme="minorHAnsi" w:hAnsiTheme="minorHAnsi" w:cstheme="minorHAnsi"/>
        </w:rPr>
        <w:t xml:space="preserve">allocation measure, as explained in </w:t>
      </w:r>
      <w:r w:rsidR="00FE2E9A" w:rsidRPr="0009126F">
        <w:rPr>
          <w:rFonts w:asciiTheme="minorHAnsi" w:hAnsiTheme="minorHAnsi" w:cstheme="minorHAnsi"/>
        </w:rPr>
        <w:t>the Circularity document</w:t>
      </w:r>
      <w:r w:rsidRPr="0009126F">
        <w:rPr>
          <w:rFonts w:asciiTheme="minorHAnsi" w:hAnsiTheme="minorHAnsi" w:cstheme="minorHAnsi"/>
        </w:rPr>
        <w:t>.</w:t>
      </w:r>
    </w:p>
    <w:p w14:paraId="1F92111F"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contract database's player identifier is the main entity key, while a separate shared identifier connects clause records and the NHL identifier connects game-level records. Each identifier serves a different join.</w:t>
      </w:r>
    </w:p>
    <w:p w14:paraId="41A7A38F"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Team splits are a different problem. A traded player's two team records belong to one season and must be added together. The code aggregates these rows and stops if their combined games exceed a full season, which can indicate that two players have been combined.</w:t>
      </w:r>
    </w:p>
    <w:p w14:paraId="573A81DC"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trade inventory contains 980 export rows grouped into 946 events, including linked legs of facilitated transactions. There is only one trade from the intended 2017-18 season, dated June 23, 2018, so coverage effectively begins in 2018-19. Completeness has not been checked against an independent trade source.</w:t>
      </w:r>
    </w:p>
    <w:p w14:paraId="7A94B7C0" w14:textId="77777777" w:rsidR="00FD10A4" w:rsidRPr="0009126F" w:rsidRDefault="00000000" w:rsidP="00C97F34">
      <w:pPr>
        <w:pStyle w:val="Heading1"/>
        <w:rPr>
          <w:rFonts w:asciiTheme="minorHAnsi" w:hAnsiTheme="minorHAnsi" w:cstheme="minorHAnsi"/>
        </w:rPr>
      </w:pPr>
      <w:r w:rsidRPr="0009126F">
        <w:rPr>
          <w:rFonts w:asciiTheme="minorHAnsi" w:hAnsiTheme="minorHAnsi" w:cstheme="minorHAnsi"/>
        </w:rPr>
        <w:t>2. The Starting Production Estimate</w:t>
      </w:r>
    </w:p>
    <w:p w14:paraId="365A30FE"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skater baseline gives 60% weight to the previous season and 40% to the season before it. A season qualifies with at least ten games. If only one of those two seasons qualifies, it supplies the whole baseline. If neither qualifies, the player is unpriced.</w:t>
      </w:r>
    </w:p>
    <w:p w14:paraId="3D165E02"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lastRenderedPageBreak/>
        <w:t>For example, a player with 2.0 wins last season and 1.0 the season before starts at 1.6 wins: 0.60 times 2.0 plus 0.40 times 1.0. The extra weight on the recent season lets the estimate respond to improvement without treating one strong year as his settled level. With only a qualifying 2.0-win season, the baseline would be 2.0, not 1.2; the missing older season is not assigned zero production.</w:t>
      </w:r>
    </w:p>
    <w:p w14:paraId="1E21557C" w14:textId="77777777" w:rsidR="00FD10A4" w:rsidRPr="0009126F" w:rsidRDefault="00FE2E9A" w:rsidP="00C97F34">
      <w:pPr>
        <w:rPr>
          <w:rFonts w:asciiTheme="minorHAnsi" w:hAnsiTheme="minorHAnsi" w:cstheme="minorHAnsi"/>
        </w:rPr>
      </w:pPr>
      <w:r w:rsidRPr="0009126F">
        <w:rPr>
          <w:rFonts w:asciiTheme="minorHAnsi" w:hAnsiTheme="minorHAnsi" w:cstheme="minorHAnsi"/>
        </w:rPr>
        <w:t>Due to Covid-19, production in the shortened 2019-20 and 2020-21 seasons is scaled to an 82-game schedule before the baseline is calculated. This corrects for the league playing fewer games. It does not turn an injured player's partial season into a full season of production, so missed games still lower the starting estimate.</w:t>
      </w:r>
    </w:p>
    <w:p w14:paraId="7FD938F4"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baseline uses total production. The aging model uses production per 82 games to estimate how a comparable player's performance changes with age. Its projected change is then applied to the original baseline. Those two steps separate the level being priced from the shape of the aging path.</w:t>
      </w:r>
    </w:p>
    <w:p w14:paraId="4B6AF0B6"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projection also responds slowly to breakouts. A strong season in progress cannot enter a baseline restricted to completed seasons. That protects the historical information rule while leaving the model behind a club that has already seen convincing improvement.</w:t>
      </w:r>
    </w:p>
    <w:p w14:paraId="60A14A8F" w14:textId="77777777" w:rsidR="00FD10A4" w:rsidRPr="0009126F" w:rsidRDefault="00000000" w:rsidP="00C97F34">
      <w:pPr>
        <w:pStyle w:val="Heading1"/>
        <w:rPr>
          <w:rFonts w:asciiTheme="minorHAnsi" w:hAnsiTheme="minorHAnsi" w:cstheme="minorHAnsi"/>
        </w:rPr>
      </w:pPr>
      <w:r w:rsidRPr="0009126F">
        <w:rPr>
          <w:rFonts w:asciiTheme="minorHAnsi" w:hAnsiTheme="minorHAnsi" w:cstheme="minorHAnsi"/>
        </w:rPr>
        <w:t>3. How the Aging Curve Works</w:t>
      </w:r>
    </w:p>
    <w:p w14:paraId="26B644FD"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 xml:space="preserve">The aging curve estimates how a player's production is likely to change over the remaining years of his contract. It uses the later careers of players who resembled him at the same age. The calculation has two parts: build a path showing the expected change in performance, then apply that change to the production estimate from Section 2. </w:t>
      </w:r>
      <w:proofErr w:type="gramStart"/>
      <w:r w:rsidRPr="0009126F">
        <w:rPr>
          <w:rFonts w:asciiTheme="minorHAnsi" w:hAnsiTheme="minorHAnsi" w:cstheme="minorHAnsi"/>
        </w:rPr>
        <w:t>Keeping those parts</w:t>
      </w:r>
      <w:proofErr w:type="gramEnd"/>
      <w:r w:rsidRPr="0009126F">
        <w:rPr>
          <w:rFonts w:asciiTheme="minorHAnsi" w:hAnsiTheme="minorHAnsi" w:cstheme="minorHAnsi"/>
        </w:rPr>
        <w:t xml:space="preserve"> separate allows the projection to use comparable players without replacing the player's own recent production with their production level.</w:t>
      </w:r>
    </w:p>
    <w:p w14:paraId="39816D1C" w14:textId="77777777" w:rsidR="006406F0" w:rsidRPr="0009126F" w:rsidRDefault="00000000" w:rsidP="00C97F34">
      <w:pPr>
        <w:pStyle w:val="Heading2"/>
        <w:rPr>
          <w:rFonts w:asciiTheme="minorHAnsi" w:hAnsiTheme="minorHAnsi" w:cstheme="minorHAnsi"/>
        </w:rPr>
      </w:pPr>
      <w:r w:rsidRPr="0009126F">
        <w:rPr>
          <w:rFonts w:asciiTheme="minorHAnsi" w:hAnsiTheme="minorHAnsi" w:cstheme="minorHAnsi"/>
        </w:rPr>
        <w:t>Start with information available at the valuation date</w:t>
      </w:r>
    </w:p>
    <w:p w14:paraId="3543A4C9"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For a valuation in 2025-26, the model first looks for the player's usable 2024-25 season in the aging data. If that season is unavailable, it tries 2023-24. It uses his age and performance in that earlier season to find comparable players. It does not use his performance during 2025-26 to decide whom he resembles.</w:t>
      </w:r>
    </w:p>
    <w:p w14:paraId="7F159625"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For example, consider a forward aged 26 in the valuation season who was 25 in the previous season. The model compares his age-25 profile with other forwards' profiles at age 25. It then follows what happened to those players as they grew older. Age is measured in whole years as of February 1 in the season's ending year.</w:t>
      </w:r>
    </w:p>
    <w:p w14:paraId="7A2E158E"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aging data require at least twenty games in a season, compared with ten for the production baseline. A season with ten to nineteen games can therefore contribute to the baseline while being unavailable for the aging profile. The model then tries the season before it; if neither preceding season supplies a usable curve, it holds the baseline flat. Twenty games is the model's eligibility threshold, with no claim that it is the best possible cutoff. A profile in the comparable-player pool also requires two consecutive qualifying seasons to describe recent form and year-to-year change. The target can use a single-season profile when his earlier season is missing; its trend is then set to zero.</w:t>
      </w:r>
    </w:p>
    <w:p w14:paraId="54FDDC33" w14:textId="77777777" w:rsidR="006406F0" w:rsidRPr="0009126F" w:rsidRDefault="00000000" w:rsidP="00C97F34">
      <w:pPr>
        <w:pStyle w:val="Heading2"/>
        <w:rPr>
          <w:rFonts w:asciiTheme="minorHAnsi" w:hAnsiTheme="minorHAnsi" w:cstheme="minorHAnsi"/>
        </w:rPr>
      </w:pPr>
      <w:r w:rsidRPr="0009126F">
        <w:rPr>
          <w:rFonts w:asciiTheme="minorHAnsi" w:hAnsiTheme="minorHAnsi" w:cstheme="minorHAnsi"/>
        </w:rPr>
        <w:lastRenderedPageBreak/>
        <w:t>Describe the player before looking for similar players</w:t>
      </w:r>
    </w:p>
    <w:p w14:paraId="29F574DC" w14:textId="3E55FF02" w:rsidR="006406F0" w:rsidRPr="0009126F" w:rsidRDefault="00000000" w:rsidP="00C97F34">
      <w:pPr>
        <w:rPr>
          <w:rFonts w:asciiTheme="minorHAnsi" w:hAnsiTheme="minorHAnsi" w:cstheme="minorHAnsi"/>
        </w:rPr>
      </w:pPr>
      <w:r w:rsidRPr="0009126F">
        <w:rPr>
          <w:rFonts w:asciiTheme="minorHAnsi" w:hAnsiTheme="minorHAnsi" w:cstheme="minorHAnsi"/>
        </w:rPr>
        <w:t>Each profile contains eight measures. Five describe playing style using even-strength offense, even-strength defense, power-play, penalty-killing, and shooting contributions. The other three measures describe ice time per game, recent production, and whether production has been rising or falling.</w:t>
      </w:r>
    </w:p>
    <w:p w14:paraId="4890D7B7"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For these comparisons, production is expressed as wins per 82 games: season WAR divided by games played, multiplied by 82. This puts players with different numbers of appearances on a comparable performance scale. For example, two wins in 82 games and one win in 41 games both equal two wins per 82 games. They remain different season totals when the contract's production baseline is calculated.</w:t>
      </w:r>
    </w:p>
    <w:p w14:paraId="77B05F5E"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Recent production in the profile is the simple average of the two consecutive seasons' wins per 82 games. This is what “smoothed production” means here. Averaging reduces the influence of an unusually strong or weak single season. If only one season is available for the player being valued, the profile uses that season. The trend measure records the change between the seasons; with one season, there is no observed trend, so that measure is set to zero.</w:t>
      </w:r>
    </w:p>
    <w:p w14:paraId="44479BD3"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five style measures share one group's weight. Ice time, production level, and trend each receive the same total weight separately. These assigned weights do not mean each group contributes equally to the distance between a particular pair of players: identical ice time, for example, contributes no distance. Before applying the weights, the measures are put on comparable numerical scales within position so that minutes do not dominate wins simply because the numbers are larger. The equal group weights are a modeling choice that has not been systematically compared with alternatives.</w:t>
      </w:r>
    </w:p>
    <w:p w14:paraId="0A31BF1A" w14:textId="77777777" w:rsidR="006406F0" w:rsidRPr="0009126F" w:rsidRDefault="00000000" w:rsidP="00C97F34">
      <w:pPr>
        <w:pStyle w:val="Heading2"/>
        <w:rPr>
          <w:rFonts w:asciiTheme="minorHAnsi" w:hAnsiTheme="minorHAnsi" w:cstheme="minorHAnsi"/>
        </w:rPr>
      </w:pPr>
      <w:r w:rsidRPr="0009126F">
        <w:rPr>
          <w:rFonts w:asciiTheme="minorHAnsi" w:hAnsiTheme="minorHAnsi" w:cstheme="minorHAnsi"/>
        </w:rPr>
        <w:t>Give more influence to closer matches</w:t>
      </w:r>
    </w:p>
    <w:p w14:paraId="317D0CEE"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model compares the target player with historical players of the same age and position. It measures how different their profiles are, using the attributes described above. This difference is called a distance. A smaller distance means a closer match. There is no fixed number of comparables: each eligible profile receives a weight, with closer matches contributing more to the projection.</w:t>
      </w:r>
    </w:p>
    <w:p w14:paraId="2565E10D"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model needs a yardstick to judge whether a distance is small or large. It calculates distances between sampled pairs of forward profiles and between sampled pairs of defence profiles, pools those distances, and takes their median. This produces one shared yardstick for both positions. The pairs used to build it can come from different ages, although the target's actual comparables remain restricted to his age and position.</w:t>
      </w:r>
    </w:p>
    <w:p w14:paraId="50777A5A"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target player determines which comparables are closest, while the shared yardstick determines how quickly their weights fall as they become less similar. An exact match receives a weight of 1. A comparable one yardstick away receives about 0.61, and one twice as far away receives about 0.14. These are weights in an average, rather than probabilities of following a particular career.</w:t>
      </w:r>
    </w:p>
    <w:p w14:paraId="129DA53E" w14:textId="2C727DEE" w:rsidR="006406F0" w:rsidRPr="0009126F" w:rsidRDefault="00590D4F" w:rsidP="00C97F34">
      <w:pPr>
        <w:rPr>
          <w:rFonts w:asciiTheme="minorHAnsi" w:hAnsiTheme="minorHAnsi" w:cstheme="minorHAnsi"/>
        </w:rPr>
      </w:pPr>
      <w:r w:rsidRPr="0009126F">
        <w:rPr>
          <w:rFonts w:asciiTheme="minorHAnsi" w:hAnsiTheme="minorHAnsi" w:cstheme="minorHAnsi"/>
        </w:rPr>
        <w:t>A variant was also tested which calculated a separate yardstick for each target, using the median distance from that player to the eligible comparables. It produced slightly larger prediction errors, so the model retains the shared yardstick.</w:t>
      </w:r>
    </w:p>
    <w:p w14:paraId="44D8E722" w14:textId="77777777" w:rsidR="006406F0" w:rsidRPr="0009126F" w:rsidRDefault="00000000" w:rsidP="00C97F34">
      <w:pPr>
        <w:pStyle w:val="Heading2"/>
        <w:rPr>
          <w:rFonts w:asciiTheme="minorHAnsi" w:hAnsiTheme="minorHAnsi" w:cstheme="minorHAnsi"/>
        </w:rPr>
      </w:pPr>
      <w:r w:rsidRPr="0009126F">
        <w:rPr>
          <w:rFonts w:asciiTheme="minorHAnsi" w:hAnsiTheme="minorHAnsi" w:cstheme="minorHAnsi"/>
        </w:rPr>
        <w:lastRenderedPageBreak/>
        <w:t>Stabilize the comparable estimate before using it</w:t>
      </w:r>
    </w:p>
    <w:p w14:paraId="5027D240"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model also calculates a broader average for each position and age, using the eligible careers in the data. It combines that average with the estimate from the comparable players. This prevents a small or weakly matched pool from controlling the projection by itself.</w:t>
      </w:r>
    </w:p>
    <w:p w14:paraId="22B9C55B" w14:textId="016A7993" w:rsidR="006406F0" w:rsidRPr="0009126F" w:rsidRDefault="00000000" w:rsidP="00C97F34">
      <w:pPr>
        <w:rPr>
          <w:rFonts w:asciiTheme="minorHAnsi" w:hAnsiTheme="minorHAnsi" w:cstheme="minorHAnsi"/>
        </w:rPr>
      </w:pPr>
      <w:r w:rsidRPr="0009126F">
        <w:rPr>
          <w:rFonts w:asciiTheme="minorHAnsi" w:hAnsiTheme="minorHAnsi" w:cstheme="minorHAnsi"/>
        </w:rPr>
        <w:t xml:space="preserve">The broader average receives a fixed weight of ten. The comparable side receives the sum of the individual similarity weights for players with an observed value at the age being estimated. For example, if those weights add to twenty, the comparable estimate receives two-thirds of the combined weight and the broader average receives one-third. If the comparable weights add to five, the shares reverse: one-third comparables and two-thirds broader average. </w:t>
      </w:r>
    </w:p>
    <w:p w14:paraId="4BD5014F" w14:textId="03F2FC84" w:rsidR="006406F0" w:rsidRPr="0009126F" w:rsidRDefault="00000000" w:rsidP="00C97F34">
      <w:pPr>
        <w:rPr>
          <w:rFonts w:asciiTheme="minorHAnsi" w:hAnsiTheme="minorHAnsi" w:cstheme="minorHAnsi"/>
        </w:rPr>
      </w:pPr>
      <w:r w:rsidRPr="0009126F">
        <w:rPr>
          <w:rFonts w:asciiTheme="minorHAnsi" w:hAnsiTheme="minorHAnsi" w:cstheme="minorHAnsi"/>
        </w:rPr>
        <w:t>For example, suppose the age-25 comparable players average 2.6 wins per 82 games, their weights sum to twenty, and the broader average for age-25 forwards is 2.0. The combined estimate is (20 times 2.6 plus 10 times 2.0) divided by 30, which equals 2.4 wins per 82 games. The same blending rule will be used for the annual changes in production below.</w:t>
      </w:r>
    </w:p>
    <w:p w14:paraId="45A017F4"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There is then a separate adjustment between the player's own recent form and this combined comparable estimate. The starting point of his aging curve gives 55% weight to his own smoothed production and 45% to the comparable estimate. This allows some movement toward the level seen among similar players, rather than treating recent form as a permanent level of ability. The evidence for the 55/45 choice is reported in Section 6.</w:t>
      </w:r>
    </w:p>
    <w:p w14:paraId="29C3C6D4"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Continue the example with the forward who produced two wins in 82 games at age 25 and one win in 41 games at age 24. His two performance rates are both 2.0 wins per 82 games, so his smoothed rate is 2.0. Combining that with the 2.4 comparable estimate gives an age-25 curve starting point of 2.18: 55% of 2.0 plus 45% of 2.4. This number starts the calculation of the aging path. The contract's starting production estimate remains the 1.6 wins calculated from his season totals in Section 2.</w:t>
      </w:r>
    </w:p>
    <w:p w14:paraId="56AF8F07" w14:textId="77777777" w:rsidR="006406F0" w:rsidRPr="0009126F" w:rsidRDefault="00000000" w:rsidP="00C97F34">
      <w:pPr>
        <w:pStyle w:val="Heading2"/>
        <w:rPr>
          <w:rFonts w:asciiTheme="minorHAnsi" w:hAnsiTheme="minorHAnsi" w:cstheme="minorHAnsi"/>
        </w:rPr>
      </w:pPr>
      <w:r w:rsidRPr="0009126F">
        <w:rPr>
          <w:rFonts w:asciiTheme="minorHAnsi" w:hAnsiTheme="minorHAnsi" w:cstheme="minorHAnsi"/>
        </w:rPr>
        <w:t>Estimate what happens as those players grow older</w:t>
      </w:r>
    </w:p>
    <w:p w14:paraId="280EDB7B"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For each comparable player, the model measures the difference between his smoothed production at one age and his smoothed production at the next age. If a player's rate falls from 2.2 wins per 82 games at age 25 to 2.0 at age 26, his observed change is minus 0.2. The model averages these changes using the similarity weights, then combines that result with the broader average change for the same position and ages using the weighting rule above.</w:t>
      </w:r>
    </w:p>
    <w:p w14:paraId="5D06D2A7"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Measuring aging within players means comparing each player with himself one year later, then averaging the changes. Comparing separate groups of 25-year-olds and 26-year-olds can give a different answer because some weaker players leave between those ages. The average among the remaining 26-year-olds could rise even if none of those individuals improved.</w:t>
      </w:r>
    </w:p>
    <w:p w14:paraId="69CC29C1"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 xml:space="preserve">Measuring aging within players still depends on who remains in the data. A change from age 25 to 26 can be measured only for a player observed at both ages. A comparable who leaves the league contributes no observed change for that transition. The aging curve therefore describes changes among </w:t>
      </w:r>
      <w:r w:rsidRPr="0009126F">
        <w:rPr>
          <w:rFonts w:asciiTheme="minorHAnsi" w:hAnsiTheme="minorHAnsi" w:cstheme="minorHAnsi"/>
        </w:rPr>
        <w:lastRenderedPageBreak/>
        <w:t>continuing players; the separate exit model estimates the chance that the target stops appearing in the NHL.</w:t>
      </w:r>
    </w:p>
    <w:p w14:paraId="586AD031"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original similarity weights remain fixed as the projection moves forward. At each later age, the model uses the subsequent changes observed for those same comparable players. It does not update the match using the target player's future performance. As fewer comparables supply observations at older ages, the broader age pattern generally receives more influence.</w:t>
      </w:r>
    </w:p>
    <w:p w14:paraId="14C1C40A" w14:textId="77777777" w:rsidR="006406F0" w:rsidRPr="0009126F" w:rsidRDefault="00000000" w:rsidP="00C97F34">
      <w:pPr>
        <w:pStyle w:val="Heading2"/>
        <w:rPr>
          <w:rFonts w:asciiTheme="minorHAnsi" w:hAnsiTheme="minorHAnsi" w:cstheme="minorHAnsi"/>
        </w:rPr>
      </w:pPr>
      <w:r w:rsidRPr="0009126F">
        <w:rPr>
          <w:rFonts w:asciiTheme="minorHAnsi" w:hAnsiTheme="minorHAnsi" w:cstheme="minorHAnsi"/>
        </w:rPr>
        <w:t>Apply the aging path to the contract's production baseline</w:t>
      </w:r>
    </w:p>
    <w:p w14:paraId="688A7E1C"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curve begins at the player's last usable observed age, but the contract valuation begins later. In the example, the observed profile is at age 25 and the valuation season is age 26. The model first projects the curve to age 26, then uses that projected age-26 level as the reference for changes over the contract. It does not use the player's actual age-26 season, which is not yet available at the valuation date.</w:t>
      </w:r>
    </w:p>
    <w:p w14:paraId="50F42A4B" w14:textId="03B8851E" w:rsidR="006406F0" w:rsidRPr="0009126F" w:rsidRDefault="00000000" w:rsidP="00C97F34">
      <w:pPr>
        <w:rPr>
          <w:rFonts w:asciiTheme="minorHAnsi" w:hAnsiTheme="minorHAnsi" w:cstheme="minorHAnsi"/>
        </w:rPr>
      </w:pPr>
      <w:r w:rsidRPr="0009126F">
        <w:rPr>
          <w:rFonts w:asciiTheme="minorHAnsi" w:hAnsiTheme="minorHAnsi" w:cstheme="minorHAnsi"/>
        </w:rPr>
        <w:t xml:space="preserve">Continue the example with </w:t>
      </w:r>
      <w:r w:rsidR="00636594" w:rsidRPr="0009126F">
        <w:rPr>
          <w:rFonts w:asciiTheme="minorHAnsi" w:hAnsiTheme="minorHAnsi" w:cstheme="minorHAnsi"/>
        </w:rPr>
        <w:t xml:space="preserve">hypothetical </w:t>
      </w:r>
      <w:r w:rsidRPr="0009126F">
        <w:rPr>
          <w:rFonts w:asciiTheme="minorHAnsi" w:hAnsiTheme="minorHAnsi" w:cstheme="minorHAnsi"/>
        </w:rPr>
        <w:t>combined age changes of minus 0.18 wins from 25 to 26 and minus 0.30 from 26 to 27. Starting from 2.18, the curve reaches 2.00 at age 26 and 1.70 at age 27. The age-27 curve level is 15% below its age-26 level. The model applies that same 15% reduction to the contract's 1.6-win production baseline. The valuation season therefore starts at 1.6 wins, and the following season is projected at 1.36 wins.</w:t>
      </w:r>
    </w:p>
    <w:p w14:paraId="42074D66"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player's recent season totals determine where his projection starts; the aging curve determines how much it changes afterward. In this example, the curve supplies a 15% decline, which is applied to the player's own 1.6-win baseline. This keeps his recent contribution, including the effect of games missed, as the starting point. The chance of leaving the NHL is accounted for separately.</w:t>
      </w:r>
    </w:p>
    <w:p w14:paraId="2D3106D7" w14:textId="77777777" w:rsidR="006406F0" w:rsidRPr="0009126F" w:rsidRDefault="00000000" w:rsidP="00C97F34">
      <w:pPr>
        <w:pStyle w:val="Heading2"/>
        <w:rPr>
          <w:rFonts w:asciiTheme="minorHAnsi" w:hAnsiTheme="minorHAnsi" w:cstheme="minorHAnsi"/>
        </w:rPr>
      </w:pPr>
      <w:r w:rsidRPr="0009126F">
        <w:rPr>
          <w:rFonts w:asciiTheme="minorHAnsi" w:hAnsiTheme="minorHAnsi" w:cstheme="minorHAnsi"/>
        </w:rPr>
        <w:t>Identify information that still enters from later seasons</w:t>
      </w:r>
    </w:p>
    <w:p w14:paraId="4CE03634"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player's own career receives zero weight among his direct comparables. However, the broader position-and-age averages use the full historical panel, including his career. His later seasons can enter those averages, and later seasons from other players also influence the fitted curve. The target's profile is dated before the valuation season, while the fitted aging model uses a broader information set.</w:t>
      </w:r>
    </w:p>
    <w:p w14:paraId="508C4966" w14:textId="102C201A" w:rsidR="006406F0" w:rsidRPr="0009126F" w:rsidRDefault="00000000" w:rsidP="00C97F34">
      <w:pPr>
        <w:rPr>
          <w:rFonts w:asciiTheme="minorHAnsi" w:hAnsiTheme="minorHAnsi" w:cstheme="minorHAnsi"/>
        </w:rPr>
      </w:pPr>
      <w:r w:rsidRPr="0009126F">
        <w:rPr>
          <w:rFonts w:asciiTheme="minorHAnsi" w:hAnsiTheme="minorHAnsi" w:cstheme="minorHAnsi"/>
        </w:rPr>
        <w:t>A split-period check compared observed year-to-year changes in WAR per 82 games for the same players, grouped by age and position, in 2007-2015 and 2016-2025. Differences were detected at none of sixteen forward ages and one of sixteen defence ages. This provides limited evidence of changes in the observed aging pattern between eras.</w:t>
      </w:r>
    </w:p>
    <w:p w14:paraId="6838D0F7" w14:textId="77777777" w:rsidR="00FD10A4" w:rsidRPr="0009126F" w:rsidRDefault="00000000" w:rsidP="00C97F34">
      <w:pPr>
        <w:pStyle w:val="Heading1"/>
        <w:rPr>
          <w:rFonts w:asciiTheme="minorHAnsi" w:hAnsiTheme="minorHAnsi" w:cstheme="minorHAnsi"/>
        </w:rPr>
      </w:pPr>
      <w:r w:rsidRPr="0009126F">
        <w:rPr>
          <w:rFonts w:asciiTheme="minorHAnsi" w:hAnsiTheme="minorHAnsi" w:cstheme="minorHAnsi"/>
        </w:rPr>
        <w:t>4. Where the Projection Uses a Rule Instead</w:t>
      </w:r>
    </w:p>
    <w:p w14:paraId="66B5834C" w14:textId="07D8521A" w:rsidR="006406F0" w:rsidRPr="0009126F" w:rsidRDefault="00000000" w:rsidP="00C97F34">
      <w:pPr>
        <w:rPr>
          <w:rFonts w:asciiTheme="minorHAnsi" w:hAnsiTheme="minorHAnsi" w:cstheme="minorHAnsi"/>
        </w:rPr>
      </w:pPr>
      <w:r w:rsidRPr="0009126F">
        <w:rPr>
          <w:rFonts w:asciiTheme="minorHAnsi" w:hAnsiTheme="minorHAnsi" w:cstheme="minorHAnsi"/>
        </w:rPr>
        <w:t>Several limits prevent the ratio calculation from producing extreme projections. If the curve's level in the valuation season is 0.25 wins per 82 games or less, the model holds the player's production baseline constant. For example, moving from 0.10 to 0.30 is a small gain in wins but a tripling in percentage terms. Applying that percentage to a much larger baseline could create an implausible forecast.</w:t>
      </w:r>
    </w:p>
    <w:p w14:paraId="5C7AE634" w14:textId="285F8745" w:rsidR="006406F0" w:rsidRPr="0009126F" w:rsidRDefault="00000000" w:rsidP="00C97F34">
      <w:pPr>
        <w:rPr>
          <w:rFonts w:asciiTheme="minorHAnsi" w:hAnsiTheme="minorHAnsi" w:cstheme="minorHAnsi"/>
        </w:rPr>
      </w:pPr>
      <w:r w:rsidRPr="0009126F">
        <w:rPr>
          <w:rFonts w:asciiTheme="minorHAnsi" w:hAnsiTheme="minorHAnsi" w:cstheme="minorHAnsi"/>
        </w:rPr>
        <w:lastRenderedPageBreak/>
        <w:t xml:space="preserve">The 0.25 cutoff was not selected by testing which threshold best predicts future production. A later review considered raising it to 0.40, but that change would have sent additional contracts onto flat projections without fixing most of the negative-ratio cases under review. The comparison supported retaining 0.25 over that proposal; the optimal cutoff remains </w:t>
      </w:r>
      <w:r w:rsidR="00636594" w:rsidRPr="0009126F">
        <w:rPr>
          <w:rFonts w:asciiTheme="minorHAnsi" w:hAnsiTheme="minorHAnsi" w:cstheme="minorHAnsi"/>
        </w:rPr>
        <w:t>untested</w:t>
      </w:r>
      <w:r w:rsidRPr="0009126F">
        <w:rPr>
          <w:rFonts w:asciiTheme="minorHAnsi" w:hAnsiTheme="minorHAnsi" w:cstheme="minorHAnsi"/>
        </w:rPr>
        <w:t>.</w:t>
      </w:r>
    </w:p>
    <w:p w14:paraId="71DE52CC" w14:textId="36C2FB8B" w:rsidR="006406F0" w:rsidRPr="0009126F" w:rsidRDefault="00000000" w:rsidP="00C97F34">
      <w:pPr>
        <w:rPr>
          <w:rFonts w:asciiTheme="minorHAnsi" w:hAnsiTheme="minorHAnsi" w:cstheme="minorHAnsi"/>
        </w:rPr>
      </w:pPr>
      <w:r w:rsidRPr="0009126F">
        <w:rPr>
          <w:rFonts w:asciiTheme="minorHAnsi" w:hAnsiTheme="minorHAnsi" w:cstheme="minorHAnsi"/>
        </w:rPr>
        <w:t xml:space="preserve">For curves that pass the starting-level check, the multiplier is capped at three, limiting projected production to three times the baseline. This cap constrained no rows in the review. The multiplier is also floored at zero, so a positive starting estimate can decline to replacement level but cannot become negative through this calculation. </w:t>
      </w:r>
    </w:p>
    <w:p w14:paraId="791B4A40"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If no usable curve can be constructed, the model holds the baseline constant. If the contract extends beyond the ages covered by the curve, it carries forward the last available multiplier. These flat paths are fallbacks for missing evidence about further changes.</w:t>
      </w:r>
    </w:p>
    <w:p w14:paraId="26FC7A0E"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A negative production baseline gets separate treatment because ordinary percentage changes behave misleadingly below zero. For example, suppose the baseline is -0.5 wins and the aging curve implies a 10% decline. Multiplying -0.5 by 0.90 gives -0.45, which is an improvement toward zero. Conversely, multiplying by 1.20, a factor that would improve a positive player by 20%, gives -0.60 and makes this player's projection worse.</w:t>
      </w:r>
    </w:p>
    <w:p w14:paraId="3EE327DA"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The model keeps the -0.5 estimate in the valuation season and projects zero WAR, or replacement-level production, in each later season. This rule was selected by comparing ways of handling negative baselines in the backcast described below. Positive baselines that later reach zero use the separate ratio-floor convention described above.</w:t>
      </w:r>
    </w:p>
    <w:p w14:paraId="2B7CBBF3" w14:textId="73D525A6" w:rsidR="00FD10A4" w:rsidRPr="0009126F" w:rsidRDefault="00000000" w:rsidP="00C97F34">
      <w:pPr>
        <w:rPr>
          <w:rFonts w:asciiTheme="minorHAnsi" w:hAnsiTheme="minorHAnsi" w:cstheme="minorHAnsi"/>
        </w:rPr>
      </w:pPr>
      <w:r w:rsidRPr="0009126F">
        <w:rPr>
          <w:rFonts w:asciiTheme="minorHAnsi" w:hAnsiTheme="minorHAnsi" w:cstheme="minorHAnsi"/>
        </w:rPr>
        <w:t xml:space="preserve">The rebound evidence covers players who continued playing. Players who disappeared from the data have no observed next-season production in that comparison, so their exit risk must be handled separately. </w:t>
      </w:r>
    </w:p>
    <w:p w14:paraId="6B432660"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2018-2022 backcast compared replacement reversion with holding negative baselines flat and with reversing the age multiplier. Among the low-baseline players observed again, 93% improved in the next season and 81% became positive. Replacement reversion had mean absolute errors of 0.364, 0.569, and 0.562 wins at one, two, and three years, against 0.551, 0.733, and 0.662 for holding flat. The rule therefore improved average prediction in this observed group, although individual players could still remain below replacement level.</w:t>
      </w:r>
    </w:p>
    <w:p w14:paraId="0A242D8F" w14:textId="77777777" w:rsidR="00FD10A4" w:rsidRPr="0009126F" w:rsidRDefault="00000000" w:rsidP="00C97F34">
      <w:pPr>
        <w:pStyle w:val="Heading1"/>
        <w:rPr>
          <w:rFonts w:asciiTheme="minorHAnsi" w:hAnsiTheme="minorHAnsi" w:cstheme="minorHAnsi"/>
        </w:rPr>
      </w:pPr>
      <w:r w:rsidRPr="0009126F">
        <w:rPr>
          <w:rFonts w:asciiTheme="minorHAnsi" w:hAnsiTheme="minorHAnsi" w:cstheme="minorHAnsi"/>
        </w:rPr>
        <w:t>5. Leaving the NHL</w:t>
      </w:r>
    </w:p>
    <w:p w14:paraId="28F48404"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exit model estimates the chance that a player with at least ten games in one season has no NHL performance record in the next. Any next-season appearance counts as continued participation. A player who misses a season and later returns still counts as an exit in that transition; later returns are recorded separately.</w:t>
      </w:r>
    </w:p>
    <w:p w14:paraId="477968B7"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 xml:space="preserve">The exit model uses skater transitions from 2018 through 2024. It groups players by that season's production: below zero WAR, zero to less than one win, one to less than three wins, and at least three </w:t>
      </w:r>
      <w:r w:rsidRPr="0009126F">
        <w:rPr>
          <w:rFonts w:asciiTheme="minorHAnsi" w:hAnsiTheme="minorHAnsi" w:cstheme="minorHAnsi"/>
        </w:rPr>
        <w:lastRenderedPageBreak/>
        <w:t>wins. It also divides them into five age groups: 22 and under, 23-26, 27-30, 31-34, and 35 or older. There are therefore twenty possible age-and-quality combinations. Goalies use a separate table.</w:t>
      </w:r>
    </w:p>
    <w:p w14:paraId="17B31777"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One way to estimate risk would be to calculate a separate departure rate for each combination. For example, among star players aged 31-34, none of the forty observed player-seasons was followed by an NHL absence. Using that departure count alone would assign zero exit risk to future players in the group, despite the small sample.</w:t>
      </w:r>
    </w:p>
    <w:p w14:paraId="4C97E1AF"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 xml:space="preserve">The model instead estimates the relationship between quality and </w:t>
      </w:r>
      <w:proofErr w:type="gramStart"/>
      <w:r w:rsidRPr="0009126F">
        <w:rPr>
          <w:rFonts w:asciiTheme="minorHAnsi" w:hAnsiTheme="minorHAnsi" w:cstheme="minorHAnsi"/>
        </w:rPr>
        <w:t>exit</w:t>
      </w:r>
      <w:proofErr w:type="gramEnd"/>
      <w:r w:rsidRPr="0009126F">
        <w:rPr>
          <w:rFonts w:asciiTheme="minorHAnsi" w:hAnsiTheme="minorHAnsi" w:cstheme="minorHAnsi"/>
        </w:rPr>
        <w:t xml:space="preserve"> across the age groups, and the relationship between age and exit across the quality groups. These relationships are fitted together. A star aged 31-34 is therefore informed by the wider evidence about stars and about players in that age group. The fitted exit probability is about 1.2% a year, compared with zero departures in the forty observations for that group.</w:t>
      </w:r>
    </w:p>
    <w:p w14:paraId="79B9CBEA"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This is a logistic model, which converts the estimated age and quality relationships into probabilities between zero and one. It uses a common age pattern across quality groups, applied at their different underlying levels of risk. It does not give each quality group a separately fitted age pattern. An age-group adjustment can still produce a different change in exit probability for stars than for fringe players because their starting risks differ.</w:t>
      </w:r>
    </w:p>
    <w:p w14:paraId="67D0CBF0" w14:textId="77777777" w:rsidR="006406F0" w:rsidRPr="0009126F" w:rsidRDefault="00000000" w:rsidP="00C97F34">
      <w:pPr>
        <w:rPr>
          <w:rFonts w:asciiTheme="minorHAnsi" w:hAnsiTheme="minorHAnsi" w:cstheme="minorHAnsi"/>
        </w:rPr>
      </w:pPr>
      <w:r w:rsidRPr="0009126F">
        <w:rPr>
          <w:rFonts w:asciiTheme="minorHAnsi" w:hAnsiTheme="minorHAnsi" w:cstheme="minorHAnsi"/>
        </w:rPr>
        <w:t>A comparison with a more flexible model allowed the age pattern to differ by quality group. The test found insufficient evidence to justify those additional terms (p = 0.955), so the simpler model was retained. This does not prove that age affects exit risk identically across quality groups. The transition sample contains 5,346 observations, of which 5,344 have the age information used in the fit. Players with unknown age use the overall observed departure rate for their quality group.</w:t>
      </w:r>
    </w:p>
    <w:p w14:paraId="502CA0CF"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The group boundaries were chosen for interpretability. For ages 27-30, the fitted annual exit probability is about 0.94% for regular players and 9.37% for fringe players. Moving from just below one WAR to just above it therefore lowers the model's assigned exit probability roughly tenfold, even when the two production estimates are close. Pandemic-era opt-outs, loans, and other temporary absences can also enter the data as departures.</w:t>
      </w:r>
    </w:p>
    <w:p w14:paraId="5B22113F"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For a projected contract year, the lookup uses the preceding year's projected age and quality. Annual continuation probabilities are multiplied to get the chance of reaching that year. The valuation season starts with survival equal to one.</w:t>
      </w:r>
    </w:p>
    <w:p w14:paraId="44FC74E1"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If annual exit risk were a constant 10%, the chance of reaching the following season would be 90%, and the chance of reaching the season after that would be 81%. In the actual calculation the probabilities change with projected age and quality. This is why a modest annual risk can meaningfully reduce the distant years of a contract.</w:t>
      </w:r>
    </w:p>
    <w:p w14:paraId="241CB129" w14:textId="77777777" w:rsidR="00FD10A4" w:rsidRPr="0009126F" w:rsidRDefault="00000000" w:rsidP="00C97F34">
      <w:pPr>
        <w:rPr>
          <w:rFonts w:asciiTheme="minorHAnsi" w:hAnsiTheme="minorHAnsi" w:cstheme="minorHAnsi"/>
        </w:rPr>
      </w:pPr>
      <w:r w:rsidRPr="0009126F">
        <w:rPr>
          <w:rFonts w:asciiTheme="minorHAnsi" w:hAnsiTheme="minorHAnsi" w:cstheme="minorHAnsi"/>
        </w:rPr>
        <w:t xml:space="preserve">The survival calculation treats departure as permanent, even though some players return. It combines different reasons for next-season absence rather than estimating injury, retirement, and temporary absence separately. Near replacement level, moving a projection to zero WAR also places later hazard </w:t>
      </w:r>
      <w:r w:rsidRPr="0009126F">
        <w:rPr>
          <w:rFonts w:asciiTheme="minorHAnsi" w:hAnsiTheme="minorHAnsi" w:cstheme="minorHAnsi"/>
        </w:rPr>
        <w:lastRenderedPageBreak/>
        <w:t>lookups in the fringe group. The combined effect of that production rule and the assigned exit rates has not been isolated against observed outcomes.</w:t>
      </w:r>
    </w:p>
    <w:p w14:paraId="53BC8A5E" w14:textId="6C103D4C" w:rsidR="00C97F34" w:rsidRPr="0009126F" w:rsidRDefault="00000000" w:rsidP="00C97F34">
      <w:pPr>
        <w:pStyle w:val="Heading1"/>
        <w:rPr>
          <w:rFonts w:asciiTheme="minorHAnsi" w:hAnsiTheme="minorHAnsi" w:cstheme="minorHAnsi"/>
        </w:rPr>
      </w:pPr>
      <w:r w:rsidRPr="0009126F">
        <w:rPr>
          <w:rFonts w:asciiTheme="minorHAnsi" w:hAnsiTheme="minorHAnsi" w:cstheme="minorHAnsi"/>
        </w:rPr>
        <w:t>6. Validation and Remaining Choices</w:t>
      </w:r>
    </w:p>
    <w:p w14:paraId="15E0CE5E" w14:textId="17B6EB0A" w:rsidR="00C97F34" w:rsidRPr="0009126F" w:rsidRDefault="00C97F34" w:rsidP="00C97F34">
      <w:pPr>
        <w:rPr>
          <w:rFonts w:asciiTheme="minorHAnsi" w:hAnsiTheme="minorHAnsi" w:cstheme="minorHAnsi"/>
        </w:rPr>
      </w:pPr>
      <w:r w:rsidRPr="0009126F">
        <w:rPr>
          <w:rFonts w:asciiTheme="minorHAnsi" w:hAnsiTheme="minorHAnsi" w:cstheme="minorHAnsi"/>
        </w:rPr>
        <w:t>The validation examined three choices: the aging projection, the weight on the player’s own performance, and the season-total baseline.</w:t>
      </w:r>
    </w:p>
    <w:p w14:paraId="7A120C17" w14:textId="3527F248" w:rsidR="00C97F34" w:rsidRPr="0009126F" w:rsidRDefault="00C97F34" w:rsidP="00C97F34">
      <w:pPr>
        <w:pStyle w:val="Heading2"/>
        <w:rPr>
          <w:rFonts w:asciiTheme="minorHAnsi" w:hAnsiTheme="minorHAnsi" w:cstheme="minorHAnsi"/>
        </w:rPr>
      </w:pPr>
      <w:r w:rsidRPr="0009126F">
        <w:rPr>
          <w:rFonts w:asciiTheme="minorHAnsi" w:hAnsiTheme="minorHAnsi" w:cstheme="minorHAnsi"/>
        </w:rPr>
        <w:t>Does using comparable players improve the aging projection?</w:t>
      </w:r>
    </w:p>
    <w:p w14:paraId="31C86DBF" w14:textId="535835BA" w:rsidR="00C97F34" w:rsidRPr="0009126F" w:rsidRDefault="00C97F34" w:rsidP="00C97F34">
      <w:pPr>
        <w:rPr>
          <w:rFonts w:asciiTheme="minorHAnsi" w:hAnsiTheme="minorHAnsi" w:cstheme="minorHAnsi"/>
        </w:rPr>
      </w:pPr>
      <w:r w:rsidRPr="0009126F">
        <w:rPr>
          <w:rFonts w:asciiTheme="minorHAnsi" w:hAnsiTheme="minorHAnsi" w:cstheme="minorHAnsi"/>
        </w:rPr>
        <w:t>The validation compared the current model, which combines recent performance with evidence from similar players, against a general aging curve for the player’s position and a flat projection that holds current production constant. Forecasts were compared with observed later production using mean absolute error, which is the average size of a forecast miss, regardless of its direction.</w:t>
      </w:r>
    </w:p>
    <w:p w14:paraId="233C8AD2" w14:textId="4FBCCF84" w:rsidR="00C97F34" w:rsidRPr="0009126F" w:rsidRDefault="00C97F34" w:rsidP="00C97F34">
      <w:pPr>
        <w:rPr>
          <w:rFonts w:asciiTheme="minorHAnsi" w:hAnsiTheme="minorHAnsi" w:cstheme="minorHAnsi"/>
        </w:rPr>
      </w:pPr>
      <w:r w:rsidRPr="0009126F">
        <w:rPr>
          <w:rFonts w:asciiTheme="minorHAnsi" w:hAnsiTheme="minorHAnsi" w:cstheme="minorHAnsi"/>
        </w:rPr>
        <w:t>The current model using comparable players had an error of 0.898 wins per 82 games one year ahead and 1.034 wins per 82 games six years ahead. The previous position-only aging curve had an error of 1.048 wins per 82 games one year ahead and 1.264 wins per 82 games six years ahead. The flat projection had an error of 1.055 wins per 82 games one year ahead and 1.364 wins per 82 games six years ahead.</w:t>
      </w:r>
    </w:p>
    <w:p w14:paraId="0E4BB1D8" w14:textId="55B887BF" w:rsidR="00C97F34" w:rsidRPr="0009126F" w:rsidRDefault="00C97F34" w:rsidP="00C97F34">
      <w:pPr>
        <w:rPr>
          <w:rFonts w:asciiTheme="minorHAnsi" w:hAnsiTheme="minorHAnsi" w:cstheme="minorHAnsi"/>
        </w:rPr>
      </w:pPr>
      <w:r w:rsidRPr="0009126F">
        <w:rPr>
          <w:rFonts w:asciiTheme="minorHAnsi" w:hAnsiTheme="minorHAnsi" w:cstheme="minorHAnsi"/>
        </w:rPr>
        <w:t xml:space="preserve">The current model performed better at both horizons. These comparisons cover players with observed future production. </w:t>
      </w:r>
    </w:p>
    <w:p w14:paraId="6368A2BC" w14:textId="27D125C2" w:rsidR="00C97F34" w:rsidRPr="0009126F" w:rsidRDefault="00C97F34" w:rsidP="00C97F34">
      <w:pPr>
        <w:pStyle w:val="Heading2"/>
        <w:rPr>
          <w:rFonts w:asciiTheme="minorHAnsi" w:hAnsiTheme="minorHAnsi" w:cstheme="minorHAnsi"/>
        </w:rPr>
      </w:pPr>
      <w:r w:rsidRPr="0009126F">
        <w:rPr>
          <w:rFonts w:asciiTheme="minorHAnsi" w:hAnsiTheme="minorHAnsi" w:cstheme="minorHAnsi"/>
        </w:rPr>
        <w:t>How much weight should the player’s own performance receive?</w:t>
      </w:r>
    </w:p>
    <w:p w14:paraId="555F3984" w14:textId="77777777" w:rsidR="00C97F34" w:rsidRPr="0009126F" w:rsidRDefault="00C97F34" w:rsidP="00C97F34">
      <w:pPr>
        <w:rPr>
          <w:rFonts w:asciiTheme="minorHAnsi" w:hAnsiTheme="minorHAnsi" w:cstheme="minorHAnsi"/>
        </w:rPr>
      </w:pPr>
      <w:r w:rsidRPr="0009126F">
        <w:rPr>
          <w:rFonts w:asciiTheme="minorHAnsi" w:hAnsiTheme="minorHAnsi" w:cstheme="minorHAnsi"/>
        </w:rPr>
        <w:t>The aging curve starts by combining the player’s smoothed production with the stabilized comparable estimate. After the career data were rebuilt, giving the player’s own performance 45%, 55%, or 65% weight produced mean absolute errors of 1.0110, 1.0068, and 1.0095, respectively. The remaining weight went to the comparable estimate.</w:t>
      </w:r>
    </w:p>
    <w:p w14:paraId="412E6122" w14:textId="77777777" w:rsidR="00C97F34" w:rsidRPr="0009126F" w:rsidRDefault="00C97F34" w:rsidP="00C97F34">
      <w:pPr>
        <w:rPr>
          <w:rFonts w:asciiTheme="minorHAnsi" w:hAnsiTheme="minorHAnsi" w:cstheme="minorHAnsi"/>
        </w:rPr>
      </w:pPr>
      <w:r w:rsidRPr="0009126F">
        <w:rPr>
          <w:rFonts w:asciiTheme="minorHAnsi" w:hAnsiTheme="minorHAnsi" w:cstheme="minorHAnsi"/>
        </w:rPr>
        <w:t>The current 55/45 blend performed best among these alternatives, with small differences between them. No separate blends have been selected for different player-quality groups.</w:t>
      </w:r>
    </w:p>
    <w:p w14:paraId="1A9EB5D6" w14:textId="4120FEF7" w:rsidR="00C97F34" w:rsidRPr="0009126F" w:rsidRDefault="00C97F34" w:rsidP="00C97F34">
      <w:pPr>
        <w:pStyle w:val="Heading2"/>
        <w:rPr>
          <w:rFonts w:asciiTheme="minorHAnsi" w:hAnsiTheme="minorHAnsi" w:cstheme="minorHAnsi"/>
        </w:rPr>
      </w:pPr>
      <w:r w:rsidRPr="0009126F">
        <w:rPr>
          <w:rFonts w:asciiTheme="minorHAnsi" w:hAnsiTheme="minorHAnsi" w:cstheme="minorHAnsi"/>
        </w:rPr>
        <w:t>How many seasons should determine the production baseline?</w:t>
      </w:r>
    </w:p>
    <w:p w14:paraId="0CDC2753" w14:textId="29E22D3D" w:rsidR="00FD10A4" w:rsidRPr="0009126F" w:rsidRDefault="00C97F34" w:rsidP="00C97F34">
      <w:pPr>
        <w:rPr>
          <w:rFonts w:asciiTheme="minorHAnsi" w:hAnsiTheme="minorHAnsi" w:cstheme="minorHAnsi"/>
        </w:rPr>
      </w:pPr>
      <w:r w:rsidRPr="0009126F">
        <w:rPr>
          <w:rFonts w:asciiTheme="minorHAnsi" w:hAnsiTheme="minorHAnsi" w:cstheme="minorHAnsi"/>
        </w:rPr>
        <w:t>The baseline sets starting season-total production; the aging curve supplies the percentage changes applied to it. The current baseline weights the two preceding seasons 60/40. A separate comparison favored three seasons weighted 50/30/20, but that alternative remains unadopted. It would require a rule for short histories, another check of the aging blend, and refitting the salary equation and downstream valuations.</w:t>
      </w:r>
    </w:p>
    <w:sectPr w:rsidR="00FD10A4" w:rsidRPr="0009126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240904"/>
    <w:rsid w:val="002F0D96"/>
    <w:rsid w:val="004341A2"/>
    <w:rsid w:val="004F5377"/>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FC86B"/>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8</Pages>
  <Words>3598</Words>
  <Characters>20515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17</cp:revision>
  <dcterms:created xsi:type="dcterms:W3CDTF">2026-09-09T20:55:00Z</dcterms:created>
  <dcterms:modified xsi:type="dcterms:W3CDTF">2026-09-11T13:04:00Z</dcterms:modified>
</cp:coreProperties>
</file>