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FB45F" w14:textId="7DC59406" w:rsidR="00AD2470" w:rsidRPr="00E72A7E" w:rsidRDefault="00000000">
      <w:pPr>
        <w:pStyle w:val="Title"/>
        <w:rPr>
          <w:rFonts w:asciiTheme="minorHAnsi" w:hAnsiTheme="minorHAnsi" w:cstheme="minorHAnsi"/>
          <w:b w:val="0"/>
          <w:bCs/>
        </w:rPr>
      </w:pPr>
      <w:r w:rsidRPr="00E72A7E">
        <w:rPr>
          <w:rFonts w:asciiTheme="minorHAnsi" w:hAnsiTheme="minorHAnsi" w:cstheme="minorHAnsi"/>
          <w:b w:val="0"/>
          <w:bCs/>
        </w:rPr>
        <w:t>Pricing, Control Years, and Contract Value</w:t>
      </w:r>
    </w:p>
    <w:p w14:paraId="2A90518D" w14:textId="77777777" w:rsidR="00B93343" w:rsidRDefault="00B93343">
      <w:pPr>
        <w:pStyle w:val="Heading1"/>
        <w:rPr>
          <w:rFonts w:asciiTheme="minorHAnsi" w:hAnsiTheme="minorHAnsi" w:cstheme="minorHAnsi"/>
          <w:b w:val="0"/>
          <w:bCs/>
          <w:color w:val="000000"/>
          <w:sz w:val="22"/>
          <w:szCs w:val="22"/>
        </w:rPr>
      </w:pPr>
      <w:r w:rsidRPr="00B93343">
        <w:rPr>
          <w:rFonts w:asciiTheme="minorHAnsi" w:hAnsiTheme="minorHAnsi" w:cstheme="minorHAnsi"/>
          <w:b w:val="0"/>
          <w:bCs/>
          <w:color w:val="000000"/>
          <w:sz w:val="22"/>
          <w:szCs w:val="22"/>
        </w:rPr>
        <w:t>The player model estimates what a player’s projected production would command in salary and subtracts the contract’s cap cost. For future seasons, it weights that production value by the probability that the player remains in the NHL and discounts the resulting surplus to the valuation date. If the player remains under restricted-free-agent control after the contract expires, the model also adds the expected surplus from those additional years.</w:t>
      </w:r>
    </w:p>
    <w:p w14:paraId="197DA1D7" w14:textId="5D80A03E" w:rsidR="00AD2470" w:rsidRPr="00E72A7E" w:rsidRDefault="00000000">
      <w:pPr>
        <w:pStyle w:val="Heading1"/>
        <w:rPr>
          <w:rFonts w:asciiTheme="minorHAnsi" w:hAnsiTheme="minorHAnsi" w:cstheme="minorHAnsi"/>
          <w:b w:val="0"/>
          <w:bCs/>
        </w:rPr>
      </w:pPr>
      <w:r w:rsidRPr="00E72A7E">
        <w:rPr>
          <w:rFonts w:asciiTheme="minorHAnsi" w:hAnsiTheme="minorHAnsi" w:cstheme="minorHAnsi"/>
          <w:b w:val="0"/>
          <w:bCs/>
        </w:rPr>
        <w:t>1. Turning Wins into Dollars</w:t>
      </w:r>
    </w:p>
    <w:p w14:paraId="03B6660A" w14:textId="5E32A63E" w:rsidR="00AD2470" w:rsidRPr="00E72A7E" w:rsidRDefault="00000000">
      <w:pPr>
        <w:rPr>
          <w:rFonts w:asciiTheme="minorHAnsi" w:hAnsiTheme="minorHAnsi" w:cstheme="minorHAnsi"/>
          <w:bCs/>
        </w:rPr>
      </w:pPr>
      <w:r w:rsidRPr="00E72A7E">
        <w:rPr>
          <w:rFonts w:asciiTheme="minorHAnsi" w:hAnsiTheme="minorHAnsi" w:cstheme="minorHAnsi"/>
          <w:bCs/>
        </w:rPr>
        <w:t>The skater price equation is estimated on 2,349 contracts starting from 2018 through 2025. Both salary and the league minimum are measured as shares of that season's salary cap. Using cap shares makes contracts from different salary environments comparable.</w:t>
      </w:r>
    </w:p>
    <w:p w14:paraId="07753234" w14:textId="77777777" w:rsidR="00AD2470" w:rsidRPr="00E72A7E" w:rsidRDefault="00000000">
      <w:pPr>
        <w:rPr>
          <w:rFonts w:asciiTheme="minorHAnsi" w:hAnsiTheme="minorHAnsi" w:cstheme="minorHAnsi"/>
          <w:bCs/>
        </w:rPr>
      </w:pPr>
      <w:r w:rsidRPr="00E72A7E">
        <w:rPr>
          <w:rFonts w:asciiTheme="minorHAnsi" w:hAnsiTheme="minorHAnsi" w:cstheme="minorHAnsi"/>
          <w:bCs/>
        </w:rPr>
        <w:t>The fit accounts for the league-minimum salary. In 529 observations, pay is at that minimum. An ordinary regression treats those salaries like unconstrained observations, even though the rules prevent a lower salary. The censored regression, also called a Tobit model, allows a player's underlying price to fall below the minimum while his observed pay stops at that boundary.</w:t>
      </w:r>
    </w:p>
    <w:p w14:paraId="5881E766" w14:textId="77777777" w:rsidR="00B93343" w:rsidRPr="00B93343" w:rsidRDefault="00B93343" w:rsidP="00B93343">
      <w:pPr>
        <w:rPr>
          <w:rFonts w:asciiTheme="minorHAnsi" w:hAnsiTheme="minorHAnsi" w:cstheme="minorHAnsi"/>
          <w:bCs/>
          <w:lang w:val="en-US"/>
        </w:rPr>
      </w:pPr>
      <w:r w:rsidRPr="00B93343">
        <w:rPr>
          <w:rFonts w:asciiTheme="minorHAnsi" w:hAnsiTheme="minorHAnsi" w:cstheme="minorHAnsi"/>
          <w:bCs/>
          <w:lang w:val="en-US"/>
        </w:rPr>
        <w:t>Of the 2,349 contracts, 529 pay the league minimum. These observations require special treatment because a player cannot be paid less than that amount, even if his production would otherwise command a lower salary. The model therefore uses a censored regression, also called a Tobit model. For salaries above the minimum, it measures how closely the equation predicts observed pay. For minimum-salary contracts, it measures how likely the equation is to place the player at or below the minimum. This lets the model use those contracts without treating their observed salary as an unrestricted market price.</w:t>
      </w:r>
    </w:p>
    <w:p w14:paraId="0A971BFC" w14:textId="77777777" w:rsidR="00B93343" w:rsidRPr="00B93343" w:rsidRDefault="00B93343" w:rsidP="00B93343">
      <w:pPr>
        <w:rPr>
          <w:rFonts w:asciiTheme="minorHAnsi" w:hAnsiTheme="minorHAnsi" w:cstheme="minorHAnsi"/>
          <w:bCs/>
          <w:lang w:val="en-US"/>
        </w:rPr>
      </w:pPr>
      <w:r w:rsidRPr="00B93343">
        <w:rPr>
          <w:rFonts w:asciiTheme="minorHAnsi" w:hAnsiTheme="minorHAnsi" w:cstheme="minorHAnsi"/>
          <w:bCs/>
          <w:lang w:val="en-US"/>
        </w:rPr>
        <w:t>The calculation assumes that underlying price changes in a straight line with production and that unexplained differences around that line follow a bell-shaped distribution.</w:t>
      </w:r>
    </w:p>
    <w:p w14:paraId="291E079E" w14:textId="4D94AA8E" w:rsidR="00AD2470" w:rsidRPr="00E72A7E" w:rsidRDefault="00000000">
      <w:pPr>
        <w:rPr>
          <w:rFonts w:asciiTheme="minorHAnsi" w:hAnsiTheme="minorHAnsi" w:cstheme="minorHAnsi"/>
          <w:bCs/>
        </w:rPr>
      </w:pPr>
      <w:r w:rsidRPr="00E72A7E">
        <w:rPr>
          <w:rFonts w:asciiTheme="minorHAnsi" w:hAnsiTheme="minorHAnsi" w:cstheme="minorHAnsi"/>
          <w:bCs/>
        </w:rPr>
        <w:t xml:space="preserve">The sample begins in 2018 because earlier contract coverage is thin. The export contains 63, 223, and 452 contracts starting in 2015, 2016, and 2017, compared with roughly 700 a year afterward. Those earlier observations </w:t>
      </w:r>
      <w:proofErr w:type="gramStart"/>
      <w:r w:rsidR="007C13E7" w:rsidRPr="00E72A7E">
        <w:rPr>
          <w:rFonts w:asciiTheme="minorHAnsi" w:hAnsiTheme="minorHAnsi" w:cstheme="minorHAnsi"/>
          <w:bCs/>
        </w:rPr>
        <w:t>does</w:t>
      </w:r>
      <w:proofErr w:type="gramEnd"/>
      <w:r w:rsidRPr="00E72A7E">
        <w:rPr>
          <w:rFonts w:asciiTheme="minorHAnsi" w:hAnsiTheme="minorHAnsi" w:cstheme="minorHAnsi"/>
          <w:bCs/>
        </w:rPr>
        <w:t xml:space="preserve"> not represent </w:t>
      </w:r>
      <w:r w:rsidR="007C13E7" w:rsidRPr="00E72A7E">
        <w:rPr>
          <w:rFonts w:asciiTheme="minorHAnsi" w:hAnsiTheme="minorHAnsi" w:cstheme="minorHAnsi"/>
          <w:bCs/>
        </w:rPr>
        <w:t xml:space="preserve">each </w:t>
      </w:r>
      <w:r w:rsidRPr="00E72A7E">
        <w:rPr>
          <w:rFonts w:asciiTheme="minorHAnsi" w:hAnsiTheme="minorHAnsi" w:cstheme="minorHAnsi"/>
          <w:bCs/>
        </w:rPr>
        <w:t>contract signed in those years, so the estimation uses the shorter window with broader coverage.</w:t>
      </w:r>
    </w:p>
    <w:p w14:paraId="001708CD" w14:textId="1989D1D8" w:rsidR="00AD2470" w:rsidRPr="00E72A7E" w:rsidRDefault="00000000">
      <w:pPr>
        <w:rPr>
          <w:rFonts w:asciiTheme="minorHAnsi" w:hAnsiTheme="minorHAnsi" w:cstheme="minorHAnsi"/>
          <w:bCs/>
        </w:rPr>
      </w:pPr>
      <w:r w:rsidRPr="00E72A7E">
        <w:rPr>
          <w:rFonts w:asciiTheme="minorHAnsi" w:hAnsiTheme="minorHAnsi" w:cstheme="minorHAnsi"/>
          <w:bCs/>
        </w:rPr>
        <w:t>The current equation has an intercept of about 1.325% of the cap. Each projected win adds about 2.123% for a forward or 2.410% for a defenceman. At a $95.5 million cap, these are roughly $1.27 million at zero WAR, plus $2.03 million per forward win or $2.30 million per defence win. The difference is an estimated market price difference between positions.</w:t>
      </w:r>
    </w:p>
    <w:p w14:paraId="0EB95021" w14:textId="77777777" w:rsidR="00AD2470" w:rsidRPr="00E72A7E" w:rsidRDefault="00000000">
      <w:pPr>
        <w:rPr>
          <w:rFonts w:asciiTheme="minorHAnsi" w:hAnsiTheme="minorHAnsi" w:cstheme="minorHAnsi"/>
          <w:bCs/>
        </w:rPr>
      </w:pPr>
      <w:r w:rsidRPr="00E72A7E">
        <w:rPr>
          <w:rFonts w:asciiTheme="minorHAnsi" w:hAnsiTheme="minorHAnsi" w:cstheme="minorHAnsi"/>
          <w:bCs/>
        </w:rPr>
        <w:t xml:space="preserve">For an illustrative two-win forward at a $95.5 million cap, the equation gives about $5.32 million: a $1.265 million intercept plus two wins at about $2.028 million each. A two-win defenceman prices at about $5.87 million. Subtracting a $4 million cap hit leaves about $1.32 million or $1.87 million in </w:t>
      </w:r>
      <w:r w:rsidRPr="00E72A7E">
        <w:rPr>
          <w:rFonts w:asciiTheme="minorHAnsi" w:hAnsiTheme="minorHAnsi" w:cstheme="minorHAnsi"/>
          <w:bCs/>
        </w:rPr>
        <w:lastRenderedPageBreak/>
        <w:t>surplus for that season. The forecast-uncertainty adjustment, survival probabilities, and discounting enter later.</w:t>
      </w:r>
    </w:p>
    <w:p w14:paraId="7643C98B" w14:textId="495B3E0C" w:rsidR="00AD2470" w:rsidRPr="00E72A7E" w:rsidRDefault="00000000">
      <w:pPr>
        <w:rPr>
          <w:rFonts w:asciiTheme="minorHAnsi" w:hAnsiTheme="minorHAnsi" w:cstheme="minorHAnsi"/>
          <w:bCs/>
        </w:rPr>
      </w:pPr>
      <w:r w:rsidRPr="00E72A7E">
        <w:rPr>
          <w:rFonts w:asciiTheme="minorHAnsi" w:hAnsiTheme="minorHAnsi" w:cstheme="minorHAnsi"/>
          <w:bCs/>
        </w:rPr>
        <w:t>The common intercept gives forwards and defencemen the same fitted price at zero WAR. The positional difference grows with production because it enters through the price per win. A nonlinear alternative allowed the price per win to change with production level. It fitted observed salaries better but predicted held-out salaries less accurately, so the straight-line specification was retained.</w:t>
      </w:r>
    </w:p>
    <w:p w14:paraId="34C5AA77" w14:textId="77777777" w:rsidR="007A4CF3" w:rsidRDefault="007A4CF3">
      <w:pPr>
        <w:rPr>
          <w:rFonts w:asciiTheme="minorHAnsi" w:hAnsiTheme="minorHAnsi" w:cstheme="minorHAnsi"/>
          <w:bCs/>
        </w:rPr>
      </w:pPr>
      <w:r w:rsidRPr="007A4CF3">
        <w:rPr>
          <w:rFonts w:asciiTheme="minorHAnsi" w:hAnsiTheme="minorHAnsi" w:cstheme="minorHAnsi"/>
          <w:bCs/>
        </w:rPr>
        <w:t>A longer contract may indicate that a club expects more from a player than his recent production suggests. The contract-length test therefore asked whether term helped predict subsequent production after accounting for the player’s trailing WAR baseline.</w:t>
      </w:r>
    </w:p>
    <w:p w14:paraId="58829D7E" w14:textId="2BAC5BCD" w:rsidR="00AD2470" w:rsidRPr="00E72A7E" w:rsidRDefault="006457F5">
      <w:pPr>
        <w:rPr>
          <w:rFonts w:asciiTheme="minorHAnsi" w:hAnsiTheme="minorHAnsi" w:cstheme="minorHAnsi"/>
          <w:bCs/>
        </w:rPr>
      </w:pPr>
      <w:r w:rsidRPr="00E72A7E">
        <w:rPr>
          <w:rFonts w:asciiTheme="minorHAnsi" w:hAnsiTheme="minorHAnsi" w:cstheme="minorHAnsi"/>
          <w:bCs/>
        </w:rPr>
        <w:t>The contract-length test asked whether longer contracts predicted more subsequent production after accounting for the player's trailing WAR baseline. Its main comparison used 1,781 contracts, with production measured as average annual adjusted Game Value, converted to wins, over the three seasons after signing. Game Value contains no WAR input, so the outcome is measured independently of the baseline. Each additional year of contract length was associated with -0.0135 wins per season, with a 95% interval from -0.0360 to +0.0089. The interval includes zero, and the model applied no positive value-side adjustment for length.</w:t>
      </w:r>
      <w:r w:rsidR="007A4CF3">
        <w:rPr>
          <w:rFonts w:asciiTheme="minorHAnsi" w:hAnsiTheme="minorHAnsi" w:cstheme="minorHAnsi"/>
          <w:bCs/>
        </w:rPr>
        <w:t xml:space="preserve"> </w:t>
      </w:r>
      <w:r w:rsidR="007A4CF3" w:rsidRPr="007A4CF3">
        <w:rPr>
          <w:rFonts w:asciiTheme="minorHAnsi" w:hAnsiTheme="minorHAnsi" w:cstheme="minorHAnsi"/>
          <w:bCs/>
        </w:rPr>
        <w:t>These results did not justify increasing projected production simply because a player signed a longer contract. They do not establish whether clubs pay differently for longer commitments, cost certainty, or flexibility.</w:t>
      </w:r>
    </w:p>
    <w:p w14:paraId="25E0BFBE" w14:textId="0E9F3CF5" w:rsidR="00AD2470" w:rsidRPr="00E72A7E" w:rsidRDefault="00000000">
      <w:pPr>
        <w:rPr>
          <w:rFonts w:asciiTheme="minorHAnsi" w:hAnsiTheme="minorHAnsi" w:cstheme="minorHAnsi"/>
          <w:bCs/>
        </w:rPr>
      </w:pPr>
      <w:r w:rsidRPr="00E72A7E">
        <w:rPr>
          <w:rFonts w:asciiTheme="minorHAnsi" w:hAnsiTheme="minorHAnsi" w:cstheme="minorHAnsi"/>
          <w:bCs/>
        </w:rPr>
        <w:t>The subgroup results were not uniformly zero. For forwards, the estimated association was +0.0273 wins per season per additional year of term, with a 95% interval from +0.0028 to +0.0518. This small subgroup result has not been adopted in the price equation. Two- and four-season checks also found no detectable pooled association. The tests concern subsequent production, rather than a direct estimate of what clubs pay for cost certainty or flexibility.</w:t>
      </w:r>
    </w:p>
    <w:p w14:paraId="3A28B51D" w14:textId="2B4BF1E5" w:rsidR="00AD2470" w:rsidRPr="00E72A7E" w:rsidRDefault="00000000">
      <w:pPr>
        <w:rPr>
          <w:rFonts w:asciiTheme="minorHAnsi" w:hAnsiTheme="minorHAnsi" w:cstheme="minorHAnsi"/>
          <w:bCs/>
        </w:rPr>
      </w:pPr>
      <w:r w:rsidRPr="00E72A7E">
        <w:rPr>
          <w:rFonts w:asciiTheme="minorHAnsi" w:hAnsiTheme="minorHAnsi" w:cstheme="minorHAnsi"/>
          <w:bCs/>
        </w:rPr>
        <w:t xml:space="preserve">The RFA/UFA comparison asked whether separate skater price equations were needed. After goalies were removed, the test gave F = 0.12 and p = 0.887, providing little evidence for the split in that specification. The skater markets were therefore pooled. </w:t>
      </w:r>
      <w:r w:rsidR="001A0410" w:rsidRPr="00E72A7E">
        <w:rPr>
          <w:rFonts w:asciiTheme="minorHAnsi" w:hAnsiTheme="minorHAnsi" w:cstheme="minorHAnsi"/>
          <w:bCs/>
        </w:rPr>
        <w:t>A later exploratory test of star RFAs asks a narrower question about a particular group. It is a candidate addition to the price equation, not yet part of it: adopting it would require a refit on the current sample, a test of the star cutoff, and a rebuild of everything priced from the rate.</w:t>
      </w:r>
    </w:p>
    <w:p w14:paraId="5F65C29E" w14:textId="263AFB21" w:rsidR="00192BC9" w:rsidRPr="00E72A7E" w:rsidRDefault="00192BC9">
      <w:pPr>
        <w:rPr>
          <w:rFonts w:asciiTheme="minorHAnsi" w:hAnsiTheme="minorHAnsi" w:cstheme="minorHAnsi"/>
          <w:bCs/>
          <w:lang w:val="en-US"/>
        </w:rPr>
      </w:pPr>
      <w:r w:rsidRPr="00E72A7E">
        <w:rPr>
          <w:rFonts w:asciiTheme="minorHAnsi" w:hAnsiTheme="minorHAnsi" w:cstheme="minorHAnsi"/>
          <w:bCs/>
          <w:lang w:val="en-US"/>
        </w:rPr>
        <w:t xml:space="preserve">The equation also uses common coefficients across cap regimes. Expressing salaries as cap shares adjusts for the size of the cap, while leaving the relationship between production and pay fixed across the sample. </w:t>
      </w:r>
      <w:r w:rsidRPr="00E72A7E">
        <w:rPr>
          <w:rFonts w:asciiTheme="minorHAnsi" w:hAnsiTheme="minorHAnsi" w:cstheme="minorHAnsi"/>
          <w:bCs/>
        </w:rPr>
        <w:t>A common scale alone cannot establish stable prices, so that assumption was tested directly: a break test compared the pre-COVID growth years (2018-19) against the flat-cap COVID years (2020-2022) and found no detectable difference, p = 0.75.</w:t>
      </w:r>
    </w:p>
    <w:p w14:paraId="40325D7D" w14:textId="77777777" w:rsidR="00AD2470" w:rsidRPr="00E72A7E" w:rsidRDefault="00000000">
      <w:pPr>
        <w:pStyle w:val="Heading1"/>
        <w:rPr>
          <w:rFonts w:asciiTheme="minorHAnsi" w:hAnsiTheme="minorHAnsi" w:cstheme="minorHAnsi"/>
          <w:b w:val="0"/>
          <w:bCs/>
        </w:rPr>
      </w:pPr>
      <w:r w:rsidRPr="00E72A7E">
        <w:rPr>
          <w:rFonts w:asciiTheme="minorHAnsi" w:hAnsiTheme="minorHAnsi" w:cstheme="minorHAnsi"/>
          <w:b w:val="0"/>
          <w:bCs/>
        </w:rPr>
        <w:lastRenderedPageBreak/>
        <w:t>2. The Minimum and Forecast Uncertainty</w:t>
      </w:r>
    </w:p>
    <w:p w14:paraId="0B845454" w14:textId="77777777" w:rsidR="001C6154" w:rsidRPr="00E72A7E" w:rsidRDefault="001C6154" w:rsidP="001C6154">
      <w:pPr>
        <w:rPr>
          <w:rFonts w:asciiTheme="minorHAnsi" w:hAnsiTheme="minorHAnsi" w:cstheme="minorHAnsi"/>
          <w:bCs/>
          <w:lang w:val="en-US"/>
        </w:rPr>
      </w:pPr>
      <w:r w:rsidRPr="00E72A7E">
        <w:rPr>
          <w:rFonts w:asciiTheme="minorHAnsi" w:hAnsiTheme="minorHAnsi" w:cstheme="minorHAnsi"/>
          <w:bCs/>
          <w:lang w:val="en-US"/>
        </w:rPr>
        <w:t>The model sets a lower limit on a skater’s dollar value equal to the league-minimum salary. In the valuation season, it converts the player’s baseline production into dollars and raises the result to the minimum if it falls below that amount.</w:t>
      </w:r>
    </w:p>
    <w:p w14:paraId="47F7646E" w14:textId="32341B9B" w:rsidR="001C6154" w:rsidRPr="00E72A7E" w:rsidRDefault="001C6154" w:rsidP="001C6154">
      <w:pPr>
        <w:rPr>
          <w:rFonts w:asciiTheme="minorHAnsi" w:hAnsiTheme="minorHAnsi" w:cstheme="minorHAnsi"/>
          <w:bCs/>
          <w:lang w:val="en-US"/>
        </w:rPr>
      </w:pPr>
      <w:r w:rsidRPr="00E72A7E">
        <w:rPr>
          <w:rFonts w:asciiTheme="minorHAnsi" w:hAnsiTheme="minorHAnsi" w:cstheme="minorHAnsi"/>
          <w:bCs/>
          <w:lang w:val="en-US"/>
        </w:rPr>
        <w:t>For future contract years, the model also accounts for uncertainty in projected production. It considers a range of possible production outcomes around the forecast, converts each outcome into dollars, and applies the salary minimum to each one. It then averages those values, giving more weight to outcomes close to the forecast using an assumed normal distribution.</w:t>
      </w:r>
    </w:p>
    <w:p w14:paraId="7FD20189" w14:textId="77777777" w:rsidR="00AD2470" w:rsidRPr="00E72A7E" w:rsidRDefault="00000000">
      <w:pPr>
        <w:rPr>
          <w:rFonts w:asciiTheme="minorHAnsi" w:hAnsiTheme="minorHAnsi" w:cstheme="minorHAnsi"/>
          <w:bCs/>
        </w:rPr>
      </w:pPr>
      <w:r w:rsidRPr="00E72A7E">
        <w:rPr>
          <w:rFonts w:asciiTheme="minorHAnsi" w:hAnsiTheme="minorHAnsi" w:cstheme="minorHAnsi"/>
          <w:bCs/>
        </w:rPr>
        <w:t>The production spread comes from forecast errors one, two, and three years ahead. For longer forecasts, the code reuses the three-year spread because no longer-horizon estimate has been supplied. This choice can understate uncertainty on long contracts. The symmetric distribution also needs care for players whose central projection has already been moved to replacement level: the same spread may not describe their upside and downside well.</w:t>
      </w:r>
    </w:p>
    <w:p w14:paraId="5A7C5900" w14:textId="640652CC" w:rsidR="009042AD" w:rsidRPr="00E72A7E" w:rsidRDefault="009042AD">
      <w:pPr>
        <w:rPr>
          <w:rFonts w:asciiTheme="minorHAnsi" w:hAnsiTheme="minorHAnsi" w:cstheme="minorHAnsi"/>
          <w:bCs/>
          <w:lang w:val="en-US"/>
        </w:rPr>
      </w:pPr>
      <w:r w:rsidRPr="00E72A7E">
        <w:rPr>
          <w:rFonts w:asciiTheme="minorHAnsi" w:hAnsiTheme="minorHAnsi" w:cstheme="minorHAnsi"/>
          <w:bCs/>
          <w:lang w:val="en-US"/>
        </w:rPr>
        <w:t>Applying the minimum before averaging matters for players valued near it. Suppose the minimum is $800,000. A worse-than-forecast outcome might imply a value of $400,000, but the model raises it to $800,000. A better-than-forecast outcome worth $1.2 million keeps its full value. The minimum therefore limits the downside in dollar value without limiting the upside. As a result, the average can exceed the value calculated from the central forecast alone. This adjustment has little effect for players valued far above the minimum.</w:t>
      </w:r>
    </w:p>
    <w:p w14:paraId="3691D949" w14:textId="2F87622F" w:rsidR="00AD2470" w:rsidRPr="00E72A7E" w:rsidRDefault="00000000">
      <w:pPr>
        <w:rPr>
          <w:rFonts w:asciiTheme="minorHAnsi" w:hAnsiTheme="minorHAnsi" w:cstheme="minorHAnsi"/>
          <w:bCs/>
        </w:rPr>
      </w:pPr>
      <w:r w:rsidRPr="00E72A7E">
        <w:rPr>
          <w:rFonts w:asciiTheme="minorHAnsi" w:hAnsiTheme="minorHAnsi" w:cstheme="minorHAnsi"/>
          <w:bCs/>
        </w:rPr>
        <w:t xml:space="preserve">The one-, two-, and three-year mean absolute errors are 0.522, 0.735, and 0.803 wins, measured in a </w:t>
      </w:r>
      <w:proofErr w:type="spellStart"/>
      <w:r w:rsidRPr="00E72A7E">
        <w:rPr>
          <w:rFonts w:asciiTheme="minorHAnsi" w:hAnsiTheme="minorHAnsi" w:cstheme="minorHAnsi"/>
          <w:bCs/>
        </w:rPr>
        <w:t>backcast</w:t>
      </w:r>
      <w:proofErr w:type="spellEnd"/>
      <w:r w:rsidRPr="00E72A7E">
        <w:rPr>
          <w:rFonts w:asciiTheme="minorHAnsi" w:hAnsiTheme="minorHAnsi" w:cstheme="minorHAnsi"/>
          <w:bCs/>
        </w:rPr>
        <w:t xml:space="preserve"> of positive-baseline players. To use these errors in a normal distribution, the code multiplies them by about 1.253, giving standard deviations of roughly 0.65, 0.92, and 1.01 wins. It then multiplies by the position's dollar price per win. The resulting spread lets the code average over possible prices after applying the minimum. </w:t>
      </w:r>
    </w:p>
    <w:p w14:paraId="1B3688B6" w14:textId="68229206" w:rsidR="005D65FC" w:rsidRPr="00E72A7E" w:rsidRDefault="00000000" w:rsidP="005D65FC">
      <w:pPr>
        <w:pStyle w:val="Heading1"/>
        <w:rPr>
          <w:rFonts w:asciiTheme="minorHAnsi" w:hAnsiTheme="minorHAnsi" w:cstheme="minorHAnsi"/>
          <w:b w:val="0"/>
          <w:bCs/>
        </w:rPr>
      </w:pPr>
      <w:r w:rsidRPr="00E72A7E">
        <w:rPr>
          <w:rFonts w:asciiTheme="minorHAnsi" w:hAnsiTheme="minorHAnsi" w:cstheme="minorHAnsi"/>
          <w:b w:val="0"/>
          <w:bCs/>
        </w:rPr>
        <w:t>3. Value after an RFA Contract Expires</w:t>
      </w:r>
    </w:p>
    <w:p w14:paraId="75F4BAE0" w14:textId="77777777" w:rsidR="005D65FC" w:rsidRPr="00E72A7E" w:rsidRDefault="005D65FC" w:rsidP="005D65FC">
      <w:pPr>
        <w:rPr>
          <w:rFonts w:asciiTheme="minorHAnsi" w:hAnsiTheme="minorHAnsi" w:cstheme="minorHAnsi"/>
          <w:bCs/>
          <w:lang w:val="en-US"/>
        </w:rPr>
      </w:pPr>
      <w:r w:rsidRPr="00E72A7E">
        <w:rPr>
          <w:rFonts w:asciiTheme="minorHAnsi" w:hAnsiTheme="minorHAnsi" w:cstheme="minorHAnsi"/>
          <w:bCs/>
          <w:lang w:val="en-US"/>
        </w:rPr>
        <w:t>Terminal value is the projected surplus from team control after the signed contract expires. An unrestricted-free-agent expiry receives zero because the contract gives the club no further control. For an RFA expiry, the model projects production through the remaining control years, subtracts the estimated cost of retaining the player, and discounts the expected surplus.</w:t>
      </w:r>
    </w:p>
    <w:p w14:paraId="48B21963" w14:textId="77777777" w:rsidR="005D65FC" w:rsidRPr="00E72A7E" w:rsidRDefault="005D65FC" w:rsidP="005D65FC">
      <w:pPr>
        <w:rPr>
          <w:rFonts w:asciiTheme="minorHAnsi" w:hAnsiTheme="minorHAnsi" w:cstheme="minorHAnsi"/>
          <w:bCs/>
          <w:lang w:val="en-US"/>
        </w:rPr>
      </w:pPr>
      <w:r w:rsidRPr="00E72A7E">
        <w:rPr>
          <w:rFonts w:asciiTheme="minorHAnsi" w:hAnsiTheme="minorHAnsi" w:cstheme="minorHAnsi"/>
          <w:bCs/>
          <w:lang w:val="en-US"/>
        </w:rPr>
        <w:t>Estimating the cost of retention</w:t>
      </w:r>
    </w:p>
    <w:p w14:paraId="7384C819" w14:textId="77777777" w:rsidR="005D65FC" w:rsidRPr="00E72A7E" w:rsidRDefault="005D65FC" w:rsidP="005D65FC">
      <w:pPr>
        <w:rPr>
          <w:rFonts w:asciiTheme="minorHAnsi" w:hAnsiTheme="minorHAnsi" w:cstheme="minorHAnsi"/>
          <w:bCs/>
          <w:lang w:val="en-US"/>
        </w:rPr>
      </w:pPr>
      <w:r w:rsidRPr="00E72A7E">
        <w:rPr>
          <w:rFonts w:asciiTheme="minorHAnsi" w:hAnsiTheme="minorHAnsi" w:cstheme="minorHAnsi"/>
          <w:bCs/>
          <w:lang w:val="en-US"/>
        </w:rPr>
        <w:t>The model assumes the player stays on successive one-year qualifying offers. Each offer starts from the previous year’s base salary and applies the relevant percentage, salary minimum, and offer cap. For example, a $900,000 base salary produces a $945,000 offer before any minimum-salary adjustment. Later offers are calculated from the preceding modeled offer.</w:t>
      </w:r>
    </w:p>
    <w:p w14:paraId="47FD5ED1" w14:textId="77777777" w:rsidR="005D65FC" w:rsidRPr="00E72A7E" w:rsidRDefault="005D65FC" w:rsidP="005D65FC">
      <w:pPr>
        <w:rPr>
          <w:rFonts w:asciiTheme="minorHAnsi" w:hAnsiTheme="minorHAnsi" w:cstheme="minorHAnsi"/>
          <w:bCs/>
          <w:lang w:val="en-US"/>
        </w:rPr>
      </w:pPr>
      <w:r w:rsidRPr="00E72A7E">
        <w:rPr>
          <w:rFonts w:asciiTheme="minorHAnsi" w:hAnsiTheme="minorHAnsi" w:cstheme="minorHAnsi"/>
          <w:bCs/>
          <w:lang w:val="en-US"/>
        </w:rPr>
        <w:lastRenderedPageBreak/>
        <w:t>If the expiring contract’s final-year base salary is missing, the model uses the highest recorded base salary on that contract, then average annual value if no base salary is available. These substitutes were needed in 355 of the 1,439 deals checked and may differ from the salary that should determine the offer. The model also uses the contract’s starting season as a substitute for its signing date when deciding whether the 120%-of-cap-hit limit applies.</w:t>
      </w:r>
    </w:p>
    <w:p w14:paraId="5E2B5BF4" w14:textId="77777777" w:rsidR="005D65FC" w:rsidRPr="00E72A7E" w:rsidRDefault="005D65FC" w:rsidP="005D65FC">
      <w:pPr>
        <w:rPr>
          <w:rFonts w:asciiTheme="minorHAnsi" w:hAnsiTheme="minorHAnsi" w:cstheme="minorHAnsi"/>
          <w:bCs/>
          <w:lang w:val="en-US"/>
        </w:rPr>
      </w:pPr>
      <w:r w:rsidRPr="00E72A7E">
        <w:rPr>
          <w:rFonts w:asciiTheme="minorHAnsi" w:hAnsiTheme="minorHAnsi" w:cstheme="minorHAnsi"/>
          <w:bCs/>
          <w:lang w:val="en-US"/>
        </w:rPr>
        <w:t xml:space="preserve">Qualifying offers approximate retention costs; actual renewals may involve arbitration or negotiated salaries and terms. Among 1,439 RFA-expiring deals with an observed next contract, the next cap hit equaled or exceeded the modeled offer in 48.3% of cases. The median difference was approximately -$10,000, but the mean was +$690,000. The estimate was therefore close to the </w:t>
      </w:r>
      <w:proofErr w:type="gramStart"/>
      <w:r w:rsidRPr="00E72A7E">
        <w:rPr>
          <w:rFonts w:asciiTheme="minorHAnsi" w:hAnsiTheme="minorHAnsi" w:cstheme="minorHAnsi"/>
          <w:bCs/>
          <w:lang w:val="en-US"/>
        </w:rPr>
        <w:t>middle observed</w:t>
      </w:r>
      <w:proofErr w:type="gramEnd"/>
      <w:r w:rsidRPr="00E72A7E">
        <w:rPr>
          <w:rFonts w:asciiTheme="minorHAnsi" w:hAnsiTheme="minorHAnsi" w:cstheme="minorHAnsi"/>
          <w:bCs/>
          <w:lang w:val="en-US"/>
        </w:rPr>
        <w:t xml:space="preserve"> outcome, while some renewals cost substantially more. Where actual salary exceeds the modeled offer, the model overstates surplus. This check covers players with observed next deals and compares cap hits, rather than reconstructing each negotiation.</w:t>
      </w:r>
    </w:p>
    <w:p w14:paraId="40738C49" w14:textId="77777777" w:rsidR="005D65FC" w:rsidRPr="00E72A7E" w:rsidRDefault="005D65FC" w:rsidP="005D65FC">
      <w:pPr>
        <w:rPr>
          <w:rFonts w:asciiTheme="minorHAnsi" w:hAnsiTheme="minorHAnsi" w:cstheme="minorHAnsi"/>
          <w:bCs/>
          <w:lang w:val="en-US"/>
        </w:rPr>
      </w:pPr>
      <w:r w:rsidRPr="00E72A7E">
        <w:rPr>
          <w:rFonts w:asciiTheme="minorHAnsi" w:hAnsiTheme="minorHAnsi" w:cstheme="minorHAnsi"/>
          <w:bCs/>
          <w:lang w:val="en-US"/>
        </w:rPr>
        <w:t>Accounting for players who are not retained</w:t>
      </w:r>
    </w:p>
    <w:p w14:paraId="2BD9B4E5" w14:textId="77777777" w:rsidR="005D65FC" w:rsidRPr="00E72A7E" w:rsidRDefault="005D65FC" w:rsidP="005D65FC">
      <w:pPr>
        <w:rPr>
          <w:rFonts w:asciiTheme="minorHAnsi" w:hAnsiTheme="minorHAnsi" w:cstheme="minorHAnsi"/>
          <w:bCs/>
          <w:lang w:val="en-US"/>
        </w:rPr>
      </w:pPr>
      <w:r w:rsidRPr="00E72A7E">
        <w:rPr>
          <w:rFonts w:asciiTheme="minorHAnsi" w:hAnsiTheme="minorHAnsi" w:cstheme="minorHAnsi"/>
          <w:bCs/>
          <w:lang w:val="en-US"/>
        </w:rPr>
        <w:t>The model stops counting control-year surplus at the first year in which projected value falls below the qualifying offer. Once the club would let the player go, a later improvement cannot restore that lost control.</w:t>
      </w:r>
    </w:p>
    <w:p w14:paraId="59FD9001" w14:textId="77777777" w:rsidR="005D65FC" w:rsidRPr="00E72A7E" w:rsidRDefault="005D65FC" w:rsidP="005D65FC">
      <w:pPr>
        <w:rPr>
          <w:rFonts w:asciiTheme="minorHAnsi" w:hAnsiTheme="minorHAnsi" w:cstheme="minorHAnsi"/>
          <w:bCs/>
          <w:lang w:val="en-US"/>
        </w:rPr>
      </w:pPr>
      <w:r w:rsidRPr="00E72A7E">
        <w:rPr>
          <w:rFonts w:asciiTheme="minorHAnsi" w:hAnsiTheme="minorHAnsi" w:cstheme="minorHAnsi"/>
          <w:bCs/>
          <w:lang w:val="en-US"/>
        </w:rPr>
        <w:t>For years with positive projected surplus, the model also applies the observed qualification rate for players of similar quality:</w:t>
      </w:r>
    </w:p>
    <w:p w14:paraId="6F8A55E5" w14:textId="77777777" w:rsidR="005D65FC" w:rsidRPr="00E72A7E" w:rsidRDefault="005D65FC" w:rsidP="005D65FC">
      <w:pPr>
        <w:numPr>
          <w:ilvl w:val="0"/>
          <w:numId w:val="2"/>
        </w:numPr>
        <w:rPr>
          <w:rFonts w:asciiTheme="minorHAnsi" w:hAnsiTheme="minorHAnsi" w:cstheme="minorHAnsi"/>
          <w:bCs/>
          <w:lang w:val="en-US"/>
        </w:rPr>
      </w:pPr>
      <w:r w:rsidRPr="00E72A7E">
        <w:rPr>
          <w:rFonts w:asciiTheme="minorHAnsi" w:hAnsiTheme="minorHAnsi" w:cstheme="minorHAnsi"/>
          <w:bCs/>
          <w:lang w:val="en-US"/>
        </w:rPr>
        <w:t>Stars: 100.0% across 22 decisions.</w:t>
      </w:r>
    </w:p>
    <w:p w14:paraId="290E22BC" w14:textId="77777777" w:rsidR="005D65FC" w:rsidRPr="00E72A7E" w:rsidRDefault="005D65FC" w:rsidP="005D65FC">
      <w:pPr>
        <w:numPr>
          <w:ilvl w:val="0"/>
          <w:numId w:val="2"/>
        </w:numPr>
        <w:rPr>
          <w:rFonts w:asciiTheme="minorHAnsi" w:hAnsiTheme="minorHAnsi" w:cstheme="minorHAnsi"/>
          <w:bCs/>
          <w:lang w:val="en-US"/>
        </w:rPr>
      </w:pPr>
      <w:r w:rsidRPr="00E72A7E">
        <w:rPr>
          <w:rFonts w:asciiTheme="minorHAnsi" w:hAnsiTheme="minorHAnsi" w:cstheme="minorHAnsi"/>
          <w:bCs/>
          <w:lang w:val="en-US"/>
        </w:rPr>
        <w:t>Regular players: 93.2% across 190 decisions.</w:t>
      </w:r>
    </w:p>
    <w:p w14:paraId="1E57598B" w14:textId="77777777" w:rsidR="005D65FC" w:rsidRPr="00E72A7E" w:rsidRDefault="005D65FC" w:rsidP="005D65FC">
      <w:pPr>
        <w:numPr>
          <w:ilvl w:val="0"/>
          <w:numId w:val="2"/>
        </w:numPr>
        <w:rPr>
          <w:rFonts w:asciiTheme="minorHAnsi" w:hAnsiTheme="minorHAnsi" w:cstheme="minorHAnsi"/>
          <w:bCs/>
          <w:lang w:val="en-US"/>
        </w:rPr>
      </w:pPr>
      <w:r w:rsidRPr="00E72A7E">
        <w:rPr>
          <w:rFonts w:asciiTheme="minorHAnsi" w:hAnsiTheme="minorHAnsi" w:cstheme="minorHAnsi"/>
          <w:bCs/>
          <w:lang w:val="en-US"/>
        </w:rPr>
        <w:t>Fringe players: 79.3% across 595 decisions.</w:t>
      </w:r>
    </w:p>
    <w:p w14:paraId="1812FBC5" w14:textId="77777777" w:rsidR="005D65FC" w:rsidRPr="00E72A7E" w:rsidRDefault="005D65FC" w:rsidP="005D65FC">
      <w:pPr>
        <w:numPr>
          <w:ilvl w:val="0"/>
          <w:numId w:val="2"/>
        </w:numPr>
        <w:rPr>
          <w:rFonts w:asciiTheme="minorHAnsi" w:hAnsiTheme="minorHAnsi" w:cstheme="minorHAnsi"/>
          <w:bCs/>
          <w:lang w:val="en-US"/>
        </w:rPr>
      </w:pPr>
      <w:r w:rsidRPr="00E72A7E">
        <w:rPr>
          <w:rFonts w:asciiTheme="minorHAnsi" w:hAnsiTheme="minorHAnsi" w:cstheme="minorHAnsi"/>
          <w:bCs/>
          <w:lang w:val="en-US"/>
        </w:rPr>
        <w:t>Below-replacement players: 67.3% across 1,463 decisions.</w:t>
      </w:r>
    </w:p>
    <w:p w14:paraId="2B5178FA" w14:textId="77777777" w:rsidR="005D65FC" w:rsidRPr="00E72A7E" w:rsidRDefault="005D65FC" w:rsidP="005D65FC">
      <w:pPr>
        <w:rPr>
          <w:rFonts w:asciiTheme="minorHAnsi" w:hAnsiTheme="minorHAnsi" w:cstheme="minorHAnsi"/>
          <w:bCs/>
          <w:lang w:val="en-US"/>
        </w:rPr>
      </w:pPr>
      <w:r w:rsidRPr="00E72A7E">
        <w:rPr>
          <w:rFonts w:asciiTheme="minorHAnsi" w:hAnsiTheme="minorHAnsi" w:cstheme="minorHAnsi"/>
          <w:bCs/>
          <w:lang w:val="en-US"/>
        </w:rPr>
        <w:t>This adjustment matters because the value equation otherwise makes many marginal players look worth retaining even though clubs frequently let them go. Players without usable recent production remain in the bottom group so that likely departures are not excluded. Including them expands the calibration sample from 1,231 to 2,270 decisions and raises the observed walk-away rate from 21.3% to 27.0%. The star rate rests on only 22 decisions, so treating it as certain is a limitation.</w:t>
      </w:r>
    </w:p>
    <w:p w14:paraId="6F9AE270" w14:textId="77777777" w:rsidR="005D65FC" w:rsidRPr="00E72A7E" w:rsidRDefault="005D65FC" w:rsidP="005D65FC">
      <w:pPr>
        <w:rPr>
          <w:rFonts w:asciiTheme="minorHAnsi" w:hAnsiTheme="minorHAnsi" w:cstheme="minorHAnsi"/>
          <w:bCs/>
          <w:lang w:val="en-US"/>
        </w:rPr>
      </w:pPr>
      <w:r w:rsidRPr="00E72A7E">
        <w:rPr>
          <w:rFonts w:asciiTheme="minorHAnsi" w:hAnsiTheme="minorHAnsi" w:cstheme="minorHAnsi"/>
          <w:bCs/>
          <w:lang w:val="en-US"/>
        </w:rPr>
        <w:t>Qualification probabilities accumulate across years. With $1 million of annual surplus and an 80% qualification probability, the model counts $800,000 in year one and $640,000 in year two before discounting. Reaching year two requires retention in both years.</w:t>
      </w:r>
    </w:p>
    <w:p w14:paraId="4965216B" w14:textId="712F810F" w:rsidR="00AD2470" w:rsidRPr="00E72A7E" w:rsidRDefault="005D65FC">
      <w:pPr>
        <w:rPr>
          <w:rFonts w:asciiTheme="minorHAnsi" w:hAnsiTheme="minorHAnsi" w:cstheme="minorHAnsi"/>
          <w:bCs/>
          <w:lang w:val="en-US"/>
        </w:rPr>
      </w:pPr>
      <w:r w:rsidRPr="00E72A7E">
        <w:rPr>
          <w:rFonts w:asciiTheme="minorHAnsi" w:hAnsiTheme="minorHAnsi" w:cstheme="minorHAnsi"/>
          <w:bCs/>
          <w:lang w:val="en-US"/>
        </w:rPr>
        <w:t>These probabilities replace the exit probabilities used during the signed contract. However, the qualification chain starts fresh at expiry, without carrying forward the probability that the player leaves before then; that remains a limitation to check. Control-year values also apply the salary minimum directly, without the forecast-uncertainty adjustment used for future years of the signed contract.</w:t>
      </w:r>
    </w:p>
    <w:p w14:paraId="47BFE328" w14:textId="77777777" w:rsidR="00AD2470" w:rsidRPr="00E72A7E" w:rsidRDefault="00000000">
      <w:pPr>
        <w:pStyle w:val="Heading1"/>
        <w:rPr>
          <w:rFonts w:asciiTheme="minorHAnsi" w:hAnsiTheme="minorHAnsi" w:cstheme="minorHAnsi"/>
          <w:b w:val="0"/>
          <w:bCs/>
        </w:rPr>
      </w:pPr>
      <w:r w:rsidRPr="00E72A7E">
        <w:rPr>
          <w:rFonts w:asciiTheme="minorHAnsi" w:hAnsiTheme="minorHAnsi" w:cstheme="minorHAnsi"/>
          <w:b w:val="0"/>
          <w:bCs/>
        </w:rPr>
        <w:lastRenderedPageBreak/>
        <w:t>4. Adding the Contract Years</w:t>
      </w:r>
    </w:p>
    <w:p w14:paraId="277A54D8" w14:textId="77777777" w:rsidR="00AD2470" w:rsidRPr="00E72A7E" w:rsidRDefault="00000000">
      <w:pPr>
        <w:rPr>
          <w:rFonts w:asciiTheme="minorHAnsi" w:hAnsiTheme="minorHAnsi" w:cstheme="minorHAnsi"/>
          <w:bCs/>
        </w:rPr>
      </w:pPr>
      <w:r w:rsidRPr="00E72A7E">
        <w:rPr>
          <w:rFonts w:asciiTheme="minorHAnsi" w:hAnsiTheme="minorHAnsi" w:cstheme="minorHAnsi"/>
          <w:bCs/>
        </w:rPr>
        <w:t>For each remaining season, the model calculates expected production value, subtracts the cap cost, and brings that surplus back to the valuation date. It then adds the discounted terminal value. Only the contract already active at the valuation date enters the contract-year calculation; a later extension cannot be imported from the historical record.</w:t>
      </w:r>
    </w:p>
    <w:p w14:paraId="1B1597BF" w14:textId="77777777" w:rsidR="00AD2470" w:rsidRPr="00E72A7E" w:rsidRDefault="00000000">
      <w:pPr>
        <w:rPr>
          <w:rFonts w:asciiTheme="minorHAnsi" w:hAnsiTheme="minorHAnsi" w:cstheme="minorHAnsi"/>
          <w:bCs/>
        </w:rPr>
      </w:pPr>
      <w:r w:rsidRPr="00E72A7E">
        <w:rPr>
          <w:rFonts w:asciiTheme="minorHAnsi" w:hAnsiTheme="minorHAnsi" w:cstheme="minorHAnsi"/>
          <w:bCs/>
        </w:rPr>
        <w:t>Each contract year contributes expected production value less the full cap cost, discounted to the valuation date. Written as a formula, this is (</w:t>
      </w:r>
      <w:proofErr w:type="spellStart"/>
      <w:r w:rsidRPr="00E72A7E">
        <w:rPr>
          <w:rFonts w:asciiTheme="minorHAnsi" w:hAnsiTheme="minorHAnsi" w:cstheme="minorHAnsi"/>
          <w:bCs/>
        </w:rPr>
        <w:t>S_k</w:t>
      </w:r>
      <w:proofErr w:type="spellEnd"/>
      <w:r w:rsidRPr="00E72A7E">
        <w:rPr>
          <w:rFonts w:asciiTheme="minorHAnsi" w:hAnsiTheme="minorHAnsi" w:cstheme="minorHAnsi"/>
          <w:bCs/>
        </w:rPr>
        <w:t xml:space="preserve"> times </w:t>
      </w:r>
      <w:proofErr w:type="spellStart"/>
      <w:r w:rsidRPr="00E72A7E">
        <w:rPr>
          <w:rFonts w:asciiTheme="minorHAnsi" w:hAnsiTheme="minorHAnsi" w:cstheme="minorHAnsi"/>
          <w:bCs/>
        </w:rPr>
        <w:t>V_k</w:t>
      </w:r>
      <w:proofErr w:type="spellEnd"/>
      <w:r w:rsidRPr="00E72A7E">
        <w:rPr>
          <w:rFonts w:asciiTheme="minorHAnsi" w:hAnsiTheme="minorHAnsi" w:cstheme="minorHAnsi"/>
          <w:bCs/>
        </w:rPr>
        <w:t xml:space="preserve"> minus C_k) divided by 1.03 raised to k. Here, k is the number of years after valuation, </w:t>
      </w:r>
      <w:proofErr w:type="spellStart"/>
      <w:r w:rsidRPr="00E72A7E">
        <w:rPr>
          <w:rFonts w:asciiTheme="minorHAnsi" w:hAnsiTheme="minorHAnsi" w:cstheme="minorHAnsi"/>
          <w:bCs/>
        </w:rPr>
        <w:t>V_k</w:t>
      </w:r>
      <w:proofErr w:type="spellEnd"/>
      <w:r w:rsidRPr="00E72A7E">
        <w:rPr>
          <w:rFonts w:asciiTheme="minorHAnsi" w:hAnsiTheme="minorHAnsi" w:cstheme="minorHAnsi"/>
          <w:bCs/>
        </w:rPr>
        <w:t xml:space="preserve"> is the projected dollar value of production, C_k is the cap cost, and </w:t>
      </w:r>
      <w:proofErr w:type="spellStart"/>
      <w:r w:rsidRPr="00E72A7E">
        <w:rPr>
          <w:rFonts w:asciiTheme="minorHAnsi" w:hAnsiTheme="minorHAnsi" w:cstheme="minorHAnsi"/>
          <w:bCs/>
        </w:rPr>
        <w:t>S_k</w:t>
      </w:r>
      <w:proofErr w:type="spellEnd"/>
      <w:r w:rsidRPr="00E72A7E">
        <w:rPr>
          <w:rFonts w:asciiTheme="minorHAnsi" w:hAnsiTheme="minorHAnsi" w:cstheme="minorHAnsi"/>
          <w:bCs/>
        </w:rPr>
        <w:t xml:space="preserve"> is the probability of continued NHL participation.</w:t>
      </w:r>
    </w:p>
    <w:p w14:paraId="266B337C" w14:textId="77777777" w:rsidR="00AD2470" w:rsidRPr="00E72A7E" w:rsidRDefault="00000000">
      <w:pPr>
        <w:rPr>
          <w:rFonts w:asciiTheme="minorHAnsi" w:hAnsiTheme="minorHAnsi" w:cstheme="minorHAnsi"/>
          <w:bCs/>
        </w:rPr>
      </w:pPr>
      <w:r w:rsidRPr="00E72A7E">
        <w:rPr>
          <w:rFonts w:asciiTheme="minorHAnsi" w:hAnsiTheme="minorHAnsi" w:cstheme="minorHAnsi"/>
          <w:bCs/>
        </w:rPr>
        <w:t>The model sums those annual amounts and adds control-year surplus, using the separate qualification probabilities and the same valuation date for discounting. In the valuation season, k is zero and survival is one, so neither adjustment reduces that season's value.</w:t>
      </w:r>
    </w:p>
    <w:p w14:paraId="79A2DF41" w14:textId="77777777" w:rsidR="00AD2470" w:rsidRPr="00E72A7E" w:rsidRDefault="00000000">
      <w:pPr>
        <w:rPr>
          <w:rFonts w:asciiTheme="minorHAnsi" w:hAnsiTheme="minorHAnsi" w:cstheme="minorHAnsi"/>
          <w:bCs/>
        </w:rPr>
      </w:pPr>
      <w:r w:rsidRPr="00E72A7E">
        <w:rPr>
          <w:rFonts w:asciiTheme="minorHAnsi" w:hAnsiTheme="minorHAnsi" w:cstheme="minorHAnsi"/>
          <w:bCs/>
        </w:rPr>
        <w:t>For example, $5 million of future production value with a 90% survival probability contributes $4.5 million of expected value. Against a $4 million cap charge, the surplus is $500,000, or about $485,000 if that season is one year away. Multiplying the net $1 million by 90% would instead give $900,000 before discounting. That would incorrectly reduce the contract cost alongside production.</w:t>
      </w:r>
    </w:p>
    <w:p w14:paraId="785BBE31" w14:textId="77777777" w:rsidR="00AD2470" w:rsidRPr="00E72A7E" w:rsidRDefault="00000000">
      <w:pPr>
        <w:rPr>
          <w:rFonts w:asciiTheme="minorHAnsi" w:hAnsiTheme="minorHAnsi" w:cstheme="minorHAnsi"/>
          <w:bCs/>
        </w:rPr>
      </w:pPr>
      <w:r w:rsidRPr="00E72A7E">
        <w:rPr>
          <w:rFonts w:asciiTheme="minorHAnsi" w:hAnsiTheme="minorHAnsi" w:cstheme="minorHAnsi"/>
          <w:bCs/>
        </w:rPr>
        <w:t>Survival multiplies production value but not the signed contract cost. A possible NHL departure therefore lowers expected output while the modeled cap charge continues. The calculation does not reconstruct the contract-specific relief that could follow retirement or another departure. Where relief would apply, keeping the cost overstates the burden.</w:t>
      </w:r>
    </w:p>
    <w:p w14:paraId="23723088" w14:textId="2B96F08B" w:rsidR="00AD2470" w:rsidRPr="00E72A7E" w:rsidRDefault="00000000">
      <w:pPr>
        <w:rPr>
          <w:rFonts w:asciiTheme="minorHAnsi" w:hAnsiTheme="minorHAnsi" w:cstheme="minorHAnsi"/>
          <w:bCs/>
        </w:rPr>
      </w:pPr>
      <w:r w:rsidRPr="00E72A7E">
        <w:rPr>
          <w:rFonts w:asciiTheme="minorHAnsi" w:hAnsiTheme="minorHAnsi" w:cstheme="minorHAnsi"/>
          <w:bCs/>
        </w:rPr>
        <w:t>The cap path grows at 3% a year from the ceiling known at the valuation date. Future amounts are discounted at the same rate to express them in current cap purchasing power. The calculation does not use the cap path that was later realized.</w:t>
      </w:r>
      <w:r w:rsidR="00774D9E" w:rsidRPr="00E72A7E">
        <w:rPr>
          <w:rFonts w:asciiTheme="minorHAnsi" w:hAnsiTheme="minorHAnsi" w:cstheme="minorHAnsi"/>
          <w:bCs/>
        </w:rPr>
        <w:t xml:space="preserve"> </w:t>
      </w:r>
      <w:r w:rsidRPr="00E72A7E">
        <w:rPr>
          <w:rFonts w:asciiTheme="minorHAnsi" w:hAnsiTheme="minorHAnsi" w:cstheme="minorHAnsi"/>
          <w:bCs/>
        </w:rPr>
        <w:t>The 3% path is a planning assumption. The model applies no additional discount for managerial impatience because the trade study may later investigate that behavior. Competitive position, uncertainty, and private information can also explain a club paying more for near-term output, so a preference for current assets would require interpretation.</w:t>
      </w:r>
    </w:p>
    <w:p w14:paraId="6EBCA83F" w14:textId="77777777" w:rsidR="00AD2470" w:rsidRPr="00E72A7E" w:rsidRDefault="00000000">
      <w:pPr>
        <w:rPr>
          <w:rFonts w:asciiTheme="minorHAnsi" w:hAnsiTheme="minorHAnsi" w:cstheme="minorHAnsi"/>
          <w:bCs/>
        </w:rPr>
      </w:pPr>
      <w:r w:rsidRPr="00E72A7E">
        <w:rPr>
          <w:rFonts w:asciiTheme="minorHAnsi" w:hAnsiTheme="minorHAnsi" w:cstheme="minorHAnsi"/>
          <w:bCs/>
        </w:rPr>
        <w:t>A negative surplus means the contract costs more than the fitted market price of its expected production. Team fit, private information, and avoiding a future negotiation may explain why a club still accepts it. The model also omits the cost of losing cap flexibility through a long commitment; adding that cost would lower long-contract value further.</w:t>
      </w:r>
    </w:p>
    <w:p w14:paraId="5664F8DC" w14:textId="77777777" w:rsidR="00AD2470" w:rsidRPr="00E72A7E" w:rsidRDefault="00000000">
      <w:pPr>
        <w:pStyle w:val="Heading1"/>
        <w:rPr>
          <w:rFonts w:asciiTheme="minorHAnsi" w:hAnsiTheme="minorHAnsi" w:cstheme="minorHAnsi"/>
          <w:b w:val="0"/>
          <w:bCs/>
        </w:rPr>
      </w:pPr>
      <w:r w:rsidRPr="00E72A7E">
        <w:rPr>
          <w:rFonts w:asciiTheme="minorHAnsi" w:hAnsiTheme="minorHAnsi" w:cstheme="minorHAnsi"/>
          <w:b w:val="0"/>
          <w:bCs/>
        </w:rPr>
        <w:t>5. Goaltenders</w:t>
      </w:r>
    </w:p>
    <w:p w14:paraId="7B2E2056" w14:textId="77777777" w:rsidR="00E72A7E" w:rsidRPr="00E72A7E" w:rsidRDefault="00E72A7E" w:rsidP="00E72A7E">
      <w:pPr>
        <w:rPr>
          <w:rFonts w:asciiTheme="minorHAnsi" w:hAnsiTheme="minorHAnsi" w:cstheme="minorHAnsi"/>
          <w:bCs/>
          <w:lang w:val="en-US"/>
        </w:rPr>
      </w:pPr>
      <w:r w:rsidRPr="00E72A7E">
        <w:rPr>
          <w:rFonts w:asciiTheme="minorHAnsi" w:hAnsiTheme="minorHAnsi" w:cstheme="minorHAnsi"/>
          <w:bCs/>
          <w:lang w:val="en-US"/>
        </w:rPr>
        <w:t>Goalie performance is much less stable from year to year than skater performance. A strong recent season therefore provides less confidence that a goalie will sustain that level. The model accounts for this by drawing goalie projections much more heavily toward league-average production and using separate pricing and exit estimates.</w:t>
      </w:r>
    </w:p>
    <w:p w14:paraId="339B762F" w14:textId="77777777" w:rsidR="00E72A7E" w:rsidRPr="00E72A7E" w:rsidRDefault="00E72A7E" w:rsidP="00E72A7E">
      <w:pPr>
        <w:rPr>
          <w:rFonts w:asciiTheme="minorHAnsi" w:hAnsiTheme="minorHAnsi" w:cstheme="minorHAnsi"/>
          <w:bCs/>
          <w:lang w:val="en-US"/>
        </w:rPr>
      </w:pPr>
      <w:r w:rsidRPr="00E72A7E">
        <w:rPr>
          <w:rFonts w:asciiTheme="minorHAnsi" w:hAnsiTheme="minorHAnsi" w:cstheme="minorHAnsi"/>
          <w:bCs/>
          <w:lang w:val="en-US"/>
        </w:rPr>
        <w:lastRenderedPageBreak/>
        <w:t>The calculation starts with a weighted average of the goalie’s previous three seasons: 50% on the most recent, 30% on the second, and 20% on the third. With only two seasons, the weights become 60% and 40%; with only the preceding season, that season supplies the baseline. These calculations require the immediately preceding season, although a separate carry-back rule can recover an older baseline when recent history is missing. The skater requirement of at least ten games does not apply.</w:t>
      </w:r>
    </w:p>
    <w:p w14:paraId="6FA5F9F3" w14:textId="4D72DD75" w:rsidR="00E72A7E" w:rsidRPr="00E72A7E" w:rsidRDefault="00E72A7E" w:rsidP="00E72A7E">
      <w:pPr>
        <w:rPr>
          <w:rFonts w:asciiTheme="minorHAnsi" w:hAnsiTheme="minorHAnsi" w:cstheme="minorHAnsi"/>
          <w:bCs/>
          <w:lang w:val="en-US"/>
        </w:rPr>
      </w:pPr>
      <w:r w:rsidRPr="00E72A7E">
        <w:rPr>
          <w:rFonts w:asciiTheme="minorHAnsi" w:hAnsiTheme="minorHAnsi" w:cstheme="minorHAnsi"/>
          <w:bCs/>
          <w:lang w:val="en-US"/>
        </w:rPr>
        <w:t>The projection then combines 35% of the goalie’s own baseline with 65% of the league mean, approximately 2.19 goalie wins above replacement (WAR). For example, a goalie with a baseline of 4.0 wins receives a projection of: 0.35 × 4.0 + 0.65 × 2.19 = 2.82 wins.</w:t>
      </w:r>
    </w:p>
    <w:p w14:paraId="34F517BE" w14:textId="77777777" w:rsidR="00E72A7E" w:rsidRPr="00E72A7E" w:rsidRDefault="00E72A7E" w:rsidP="00E72A7E">
      <w:pPr>
        <w:rPr>
          <w:rFonts w:asciiTheme="minorHAnsi" w:hAnsiTheme="minorHAnsi" w:cstheme="minorHAnsi"/>
          <w:bCs/>
          <w:lang w:val="en-US"/>
        </w:rPr>
      </w:pPr>
      <w:r w:rsidRPr="00E72A7E">
        <w:rPr>
          <w:rFonts w:asciiTheme="minorHAnsi" w:hAnsiTheme="minorHAnsi" w:cstheme="minorHAnsi"/>
          <w:bCs/>
          <w:lang w:val="en-US"/>
        </w:rPr>
        <w:t>This adjustment reflects the limited persistence of goalie performance: the forecast preserves some difference between stronger and weaker goalies while placing less confidence in their recent results. Validation that kept each goalie’s records together when separating training and test samples supported the 65% weight on the league mean after adjusting shortened seasons.</w:t>
      </w:r>
    </w:p>
    <w:p w14:paraId="399CA5C5" w14:textId="77777777" w:rsidR="00E72A7E" w:rsidRPr="00E72A7E" w:rsidRDefault="00E72A7E" w:rsidP="00E72A7E">
      <w:pPr>
        <w:rPr>
          <w:rFonts w:asciiTheme="minorHAnsi" w:hAnsiTheme="minorHAnsi" w:cstheme="minorHAnsi"/>
          <w:bCs/>
          <w:lang w:val="en-US"/>
        </w:rPr>
      </w:pPr>
      <w:r w:rsidRPr="00E72A7E">
        <w:rPr>
          <w:rFonts w:asciiTheme="minorHAnsi" w:hAnsiTheme="minorHAnsi" w:cstheme="minorHAnsi"/>
          <w:bCs/>
          <w:lang w:val="en-US"/>
        </w:rPr>
        <w:t>The resulting production estimate stays constant through the contract. This is a separate modeling choice, made without a fitted goalie aging curve; the validation of the blend does not establish that production should remain flat. Exit probabilities are estimated separately for goalies and reduce expected value as the chance of leaving the NHL accumulates. Forecasts retain the goalie’s historical baseline even when no future performance record exists. A goalie with no usable history is left unpriced.</w:t>
      </w:r>
    </w:p>
    <w:p w14:paraId="499056ED" w14:textId="77777777" w:rsidR="00E72A7E" w:rsidRPr="00E72A7E" w:rsidRDefault="00E72A7E" w:rsidP="00E72A7E">
      <w:pPr>
        <w:rPr>
          <w:rFonts w:asciiTheme="minorHAnsi" w:hAnsiTheme="minorHAnsi" w:cstheme="minorHAnsi"/>
          <w:bCs/>
          <w:lang w:val="en-US"/>
        </w:rPr>
      </w:pPr>
      <w:r w:rsidRPr="00E72A7E">
        <w:rPr>
          <w:rFonts w:asciiTheme="minorHAnsi" w:hAnsiTheme="minorHAnsi" w:cstheme="minorHAnsi"/>
          <w:bCs/>
          <w:lang w:val="en-US"/>
        </w:rPr>
        <w:t>Goalie production is also priced using a separate salary equation: approximately 1.391% of the salary cap plus 1.059% per goalie WAR. This remains an older ordinary least-squares estimate—a regression relating salary to production—rather than the skater method that explicitly accounts for the salary floor. The two models also apply different floor treatments, and goalie control years do not include the qualification-rate adjustment used for skaters. Both produce surplus values in dollars, but these methodological differences limit their comparability.</w:t>
      </w:r>
    </w:p>
    <w:p w14:paraId="765BA866" w14:textId="77777777" w:rsidR="00E72A7E" w:rsidRPr="00E72A7E" w:rsidRDefault="00E72A7E" w:rsidP="00E72A7E">
      <w:pPr>
        <w:rPr>
          <w:rFonts w:asciiTheme="minorHAnsi" w:hAnsiTheme="minorHAnsi" w:cstheme="minorHAnsi"/>
          <w:bCs/>
          <w:lang w:val="en-US"/>
        </w:rPr>
      </w:pPr>
    </w:p>
    <w:p w14:paraId="180887A6" w14:textId="5896D139" w:rsidR="00AD2470" w:rsidRPr="00E72A7E" w:rsidRDefault="00AD2470">
      <w:pPr>
        <w:rPr>
          <w:rFonts w:asciiTheme="minorHAnsi" w:hAnsiTheme="minorHAnsi" w:cstheme="minorHAnsi"/>
          <w:bCs/>
        </w:rPr>
      </w:pPr>
    </w:p>
    <w:sectPr w:rsidR="00AD2470" w:rsidRPr="00E72A7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04A7F"/>
    <w:multiLevelType w:val="multilevel"/>
    <w:tmpl w:val="5F6C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162A4"/>
    <w:multiLevelType w:val="hybridMultilevel"/>
    <w:tmpl w:val="CDDCF216"/>
    <w:lvl w:ilvl="0" w:tplc="D236D734">
      <w:start w:val="1"/>
      <w:numFmt w:val="bullet"/>
      <w:lvlText w:val="●"/>
      <w:lvlJc w:val="left"/>
      <w:pPr>
        <w:ind w:left="720" w:hanging="360"/>
      </w:pPr>
    </w:lvl>
    <w:lvl w:ilvl="1" w:tplc="9E6C042A">
      <w:start w:val="1"/>
      <w:numFmt w:val="bullet"/>
      <w:lvlText w:val="○"/>
      <w:lvlJc w:val="left"/>
      <w:pPr>
        <w:ind w:left="1440" w:hanging="360"/>
      </w:pPr>
    </w:lvl>
    <w:lvl w:ilvl="2" w:tplc="3FA2B0A8">
      <w:start w:val="1"/>
      <w:numFmt w:val="bullet"/>
      <w:lvlText w:val="■"/>
      <w:lvlJc w:val="left"/>
      <w:pPr>
        <w:ind w:left="2160" w:hanging="360"/>
      </w:pPr>
    </w:lvl>
    <w:lvl w:ilvl="3" w:tplc="BD5E6AB8">
      <w:start w:val="1"/>
      <w:numFmt w:val="bullet"/>
      <w:lvlText w:val="●"/>
      <w:lvlJc w:val="left"/>
      <w:pPr>
        <w:ind w:left="2880" w:hanging="360"/>
      </w:pPr>
    </w:lvl>
    <w:lvl w:ilvl="4" w:tplc="8EEA0E76">
      <w:start w:val="1"/>
      <w:numFmt w:val="bullet"/>
      <w:lvlText w:val="○"/>
      <w:lvlJc w:val="left"/>
      <w:pPr>
        <w:ind w:left="3600" w:hanging="360"/>
      </w:pPr>
    </w:lvl>
    <w:lvl w:ilvl="5" w:tplc="02223F3E">
      <w:start w:val="1"/>
      <w:numFmt w:val="bullet"/>
      <w:lvlText w:val="■"/>
      <w:lvlJc w:val="left"/>
      <w:pPr>
        <w:ind w:left="4320" w:hanging="360"/>
      </w:pPr>
    </w:lvl>
    <w:lvl w:ilvl="6" w:tplc="BB460AF0">
      <w:start w:val="1"/>
      <w:numFmt w:val="bullet"/>
      <w:lvlText w:val="●"/>
      <w:lvlJc w:val="left"/>
      <w:pPr>
        <w:ind w:left="5040" w:hanging="360"/>
      </w:pPr>
    </w:lvl>
    <w:lvl w:ilvl="7" w:tplc="FEAA6B76">
      <w:start w:val="1"/>
      <w:numFmt w:val="bullet"/>
      <w:lvlText w:val="●"/>
      <w:lvlJc w:val="left"/>
      <w:pPr>
        <w:ind w:left="5760" w:hanging="360"/>
      </w:pPr>
    </w:lvl>
    <w:lvl w:ilvl="8" w:tplc="1CB4A518">
      <w:start w:val="1"/>
      <w:numFmt w:val="bullet"/>
      <w:lvlText w:val="●"/>
      <w:lvlJc w:val="left"/>
      <w:pPr>
        <w:ind w:left="6480" w:hanging="360"/>
      </w:pPr>
    </w:lvl>
  </w:abstractNum>
  <w:num w:numId="1" w16cid:durableId="1062365546">
    <w:abstractNumId w:val="1"/>
    <w:lvlOverride w:ilvl="0">
      <w:startOverride w:val="1"/>
    </w:lvlOverride>
  </w:num>
  <w:num w:numId="2" w16cid:durableId="1388725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2470"/>
    <w:rsid w:val="00142052"/>
    <w:rsid w:val="00192BC9"/>
    <w:rsid w:val="001A0410"/>
    <w:rsid w:val="001C6154"/>
    <w:rsid w:val="00272474"/>
    <w:rsid w:val="003E0354"/>
    <w:rsid w:val="005C4558"/>
    <w:rsid w:val="005D65FC"/>
    <w:rsid w:val="006457F5"/>
    <w:rsid w:val="006A2139"/>
    <w:rsid w:val="00774D9E"/>
    <w:rsid w:val="007A4CF3"/>
    <w:rsid w:val="007C13E7"/>
    <w:rsid w:val="008C3D1C"/>
    <w:rsid w:val="008C721B"/>
    <w:rsid w:val="009042AD"/>
    <w:rsid w:val="00990A42"/>
    <w:rsid w:val="00AD2470"/>
    <w:rsid w:val="00AD46D7"/>
    <w:rsid w:val="00B93343"/>
    <w:rsid w:val="00D547DE"/>
    <w:rsid w:val="00E66E6B"/>
    <w:rsid w:val="00E72A7E"/>
    <w:rsid w:val="00FC5E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6CFB8"/>
  <w15:docId w15:val="{63C99335-87A8-42FC-B9E5-11CE1E3EC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color w:val="000000"/>
      <w:sz w:val="22"/>
      <w:szCs w:val="22"/>
    </w:rPr>
  </w:style>
  <w:style w:type="paragraph" w:styleId="Heading1">
    <w:name w:val="heading 1"/>
    <w:uiPriority w:val="9"/>
    <w:qFormat/>
    <w:pPr>
      <w:keepNext/>
      <w:keepLines/>
      <w:spacing w:before="280" w:after="140" w:line="276" w:lineRule="auto"/>
      <w:outlineLvl w:val="0"/>
    </w:pPr>
    <w:rPr>
      <w:b/>
      <w:color w:val="2E74B5"/>
      <w:sz w:val="26"/>
      <w:szCs w:val="26"/>
    </w:rPr>
  </w:style>
  <w:style w:type="paragraph" w:styleId="Heading2">
    <w:name w:val="heading 2"/>
    <w:uiPriority w:val="9"/>
    <w:unhideWhenUsed/>
    <w:qFormat/>
    <w:pPr>
      <w:keepNext/>
      <w:keepLines/>
      <w:spacing w:before="200" w:after="140" w:line="276" w:lineRule="auto"/>
      <w:outlineLvl w:val="1"/>
    </w:pPr>
    <w:rPr>
      <w:b/>
      <w:color w:val="1F4D78"/>
      <w:sz w:val="24"/>
      <w:szCs w:val="24"/>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basedOn w:val="Normal"/>
    <w:next w:val="Normal"/>
    <w:qFormat/>
    <w:rPr>
      <w:b/>
      <w:bCs/>
    </w:rPr>
  </w:style>
  <w:style w:type="paragraph" w:styleId="Title">
    <w:name w:val="Title"/>
    <w:uiPriority w:val="10"/>
    <w:qFormat/>
    <w:pPr>
      <w:spacing w:after="240" w:line="276" w:lineRule="auto"/>
    </w:pPr>
    <w:rPr>
      <w:b/>
      <w:color w:val="000000"/>
      <w:sz w:val="30"/>
      <w:szCs w:val="30"/>
    </w:rPr>
  </w:style>
  <w:style w:type="paragraph" w:customStyle="1" w:styleId="Strong10">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1</Pages>
  <Words>2532</Words>
  <Characters>14438</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Thomas Mihaljevic</cp:lastModifiedBy>
  <cp:revision>20</cp:revision>
  <dcterms:created xsi:type="dcterms:W3CDTF">2026-09-09T20:55:00Z</dcterms:created>
  <dcterms:modified xsi:type="dcterms:W3CDTF">2026-09-11T17:34:00Z</dcterms:modified>
</cp:coreProperties>
</file>