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Explainer Document Plan</w:t>
      </w:r>
    </w:p>
    <w:p>
      <w:pPr>
        <w:spacing w:after="160"/>
      </w:pPr>
      <w:r>
        <w:rPr>
          <w:b w:val="false"/>
          <w:bCs w:val="false"/>
          <w:i/>
          <w:iCs/>
        </w:rPr>
        <w:t xml:space="preserve">Outlines only. Full drafts to follow one at a time. Written after the Aug 28 meeting; consolidated from nineteen single-component outlines into five documents on 2026-09-09.</w:t>
      </w:r>
    </w:p>
    <w:p>
      <w:pPr>
        <w:pStyle w:val="Heading2"/>
        <w:spacing w:after="120" w:before="280"/>
      </w:pPr>
      <w:r>
        <w:t xml:space="preserve">Why this exists</w:t>
      </w:r>
    </w:p>
    <w:p>
      <w:pPr>
        <w:spacing w:after="160"/>
      </w:pPr>
      <w:r>
        <w:rPr>
          <w:b w:val="false"/>
          <w:bCs w:val="false"/>
          <w:i w:val="false"/>
          <w:iCs w:val="false"/>
        </w:rPr>
        <w:t xml:space="preserve">The feedback from the meeting was consistent: too much is happening under the hood without written explanation. One item was explicit and repeated (circularity). The rest is the same complaint applied to the whole project. The meeting also ran out of time partway through Step 2, so most of the model has never been walked through at all.</w:t>
      </w:r>
    </w:p>
    <w:p>
      <w:pPr>
        <w:spacing w:after="160"/>
      </w:pPr>
      <w:r>
        <w:rPr>
          <w:b w:val="false"/>
          <w:bCs w:val="false"/>
          <w:i w:val="false"/>
          <w:iCs w:val="false"/>
        </w:rPr>
        <w:t xml:space="preserve">Scope note. An earlier version of this plan covered only the seven sections of the Status Report. That was too narrow — the Status Report is itself a summary, and it omits an entire completed pillar (draft picks), both headline contributions, the back-test design, and several standalone engines. This version covers everything built, everything designed but unbuilt, and every open decision.</w:t>
      </w:r>
    </w:p>
    <w:p>
      <w:pPr>
        <w:spacing w:after="160"/>
      </w:pPr>
      <w:r>
        <w:rPr>
          <w:b w:val="false"/>
          <w:bCs w:val="false"/>
          <w:i w:val="false"/>
          <w:iCs w:val="false"/>
        </w:rPr>
        <w:t xml:space="preserve">Consolidation note (2026-09-09). The original plan split that coverage into nineteen single-component files. Nineteen separate documents was a delivery problem, not a content problem — Karl doesn't need one file per script, he needs one file per question he'll actually ask. This version delivers the same nineteen components as five documents, grouped by narrative arc rather than by pipeline stage. Coverage is unchanged: every component below still states all four required elements. Grouping logic — Doc 1 is the one explicit, repeated ask and stays standalone. Docs 2 and 3 split the player pillar at its natural seam: building the projection (data, baseline, aging curve, exit hazard) vs. turning it into dollars (RFA terminal value, market rate, NPV assembly, goaltenders). Doc 4 groups the draft pillar — built and locked, but thin relative to the player pillar — with the three genuinely unbuilt components (prospects, retention, clauses) and the back-test design; each section is labelled built or designed-not-built so a reader sees status by section rather than assuming the whole document is speculative. Doc 5 is the synthesis layer, assembled from material the other four already contain, and is written last for that reason.</w:t>
      </w:r>
    </w:p>
    <w:p>
      <w:pPr>
        <w:pStyle w:val="Heading2"/>
        <w:spacing w:after="120" w:before="280"/>
      </w:pPr>
      <w:r>
        <w:t xml:space="preserve">Coverage rule</w:t>
      </w:r>
    </w:p>
    <w:p>
      <w:pPr>
        <w:spacing w:after="160"/>
      </w:pPr>
      <w:r>
        <w:rPr>
          <w:b w:val="false"/>
          <w:bCs w:val="false"/>
          <w:i w:val="false"/>
          <w:iCs w:val="false"/>
        </w:rPr>
        <w:t xml:space="preserve">Every component below states four things, and a document is not finished until all four are present, for every component it contains:</w:t>
      </w:r>
    </w:p>
    <w:p>
      <w:pPr>
        <w:pStyle w:val="ListParagraph"/>
        <w:numPr>
          <w:ilvl w:val="0"/>
          <w:numId w:val="2"/>
        </w:numPr>
        <w:spacing w:after="60"/>
      </w:pPr>
      <w:r>
        <w:t xml:space="preserve">How the component works.</w:t>
      </w:r>
    </w:p>
    <w:p>
      <w:pPr>
        <w:pStyle w:val="ListParagraph"/>
        <w:numPr>
          <w:ilvl w:val="0"/>
          <w:numId w:val="2"/>
        </w:numPr>
        <w:spacing w:after="60"/>
      </w:pPr>
      <w:r>
        <w:t xml:space="preserve">Why it was built that way — the alternatives tested and rejected, with evidence.</w:t>
      </w:r>
    </w:p>
    <w:p>
      <w:pPr>
        <w:pStyle w:val="ListParagraph"/>
        <w:numPr>
          <w:ilvl w:val="0"/>
          <w:numId w:val="2"/>
        </w:numPr>
        <w:spacing w:after="60"/>
      </w:pPr>
      <w:r>
        <w:t xml:space="preserve">What it deliberately does not do, and what it therefore cannot detect.</w:t>
      </w:r>
    </w:p>
    <w:p>
      <w:pPr>
        <w:pStyle w:val="ListParagraph"/>
        <w:numPr>
          <w:ilvl w:val="0"/>
          <w:numId w:val="2"/>
        </w:numPr>
        <w:spacing w:after="60"/>
      </w:pPr>
      <w:r>
        <w:t xml:space="preserve">What has not been tested, and what is known to be wrong but unfixed.</w:t>
      </w:r>
    </w:p>
    <w:p>
      <w:pPr>
        <w:spacing w:after="160"/>
      </w:pPr>
      <w:r>
        <w:rPr>
          <w:b w:val="false"/>
          <w:bCs w:val="false"/>
          <w:i w:val="false"/>
          <w:iCs w:val="false"/>
        </w:rPr>
        <w:t xml:space="preserve">The fourth is the one that gets skipped under time pressure and the one a reviewer will find. Untested and known-broken items are marked in orange throughout this plan so they cannot quietly drop out of a draft.</w:t>
      </w:r>
    </w:p>
    <w:p>
      <w:pPr>
        <w:pBdr>
          <w:bottom w:val="single" w:color="AAAAAA" w:sz="6" w:space="4"/>
        </w:pBdr>
        <w:spacing w:after="240"/>
      </w:pPr>
    </w:p>
    <w:p>
      <w:pPr>
        <w:pStyle w:val="Heading1"/>
        <w:spacing w:after="160" w:before="400"/>
      </w:pPr>
      <w:r>
        <w:t xml:space="preserve">Doc 1 — Circularity and Game Value</w:t>
      </w:r>
    </w:p>
    <w:p>
      <w:pPr>
        <w:spacing w:after="160"/>
      </w:pPr>
      <w:r>
        <w:rPr>
          <w:b w:val="false"/>
          <w:bCs w:val="false"/>
          <w:i/>
          <w:iCs/>
        </w:rPr>
        <w:t xml:space="preserve">The one explicit, repeated ask from the Aug 28 meeting. Stays standalone — it does not merge with anything.</w:t>
      </w:r>
    </w:p>
    <w:p>
      <w:pPr>
        <w:pStyle w:val="Heading2"/>
        <w:spacing w:after="120" w:before="280"/>
      </w:pPr>
      <w:r>
        <w:t xml:space="preserve">The Independent Benchmark and Why Circularity Isn't a Problem</w:t>
      </w:r>
    </w:p>
    <w:p>
      <w:pPr>
        <w:spacing w:after="120"/>
      </w:pPr>
      <w:r>
        <w:rPr>
          <w:b/>
          <w:bCs/>
        </w:rPr>
        <w:t xml:space="preserve">Purpose. </w:t>
      </w:r>
      <w:r>
        <w:t xml:space="preserve">Answers the only piece of specific, unresolved feedback from the meeting. Said twice, in the same conversation.</w:t>
      </w:r>
    </w:p>
    <w:p>
      <w:pPr>
        <w:spacing w:after="120"/>
      </w:pPr>
      <w:r>
        <w:rPr>
          <w:b/>
          <w:bCs/>
        </w:rPr>
        <w:t xml:space="preserve">Source material. </w:t>
      </w:r>
      <w:r>
        <w:t xml:space="preserve">Status Report Section 4 intro and Section 5 (Circularity). Phase 4b validation results.</w:t>
      </w:r>
    </w:p>
    <w:p>
      <w:pPr>
        <w:pStyle w:val="Heading3"/>
        <w:spacing w:after="80" w:before="200"/>
      </w:pPr>
      <w:r>
        <w:t xml:space="preserve">Must cover</w:t>
      </w:r>
    </w:p>
    <w:p>
      <w:pPr>
        <w:pStyle w:val="ListParagraph"/>
        <w:numPr>
          <w:ilvl w:val="0"/>
          <w:numId w:val="2"/>
        </w:numPr>
        <w:spacing w:after="60"/>
      </w:pPr>
      <w:r>
        <w:t xml:space="preserve">The problem stated before the solution: WAR feeds the price equation, so any check built from WAR only proves internal consistency.</w:t>
      </w:r>
    </w:p>
    <w:p>
      <w:pPr>
        <w:pStyle w:val="ListParagraph"/>
        <w:numPr>
          <w:ilvl w:val="0"/>
          <w:numId w:val="2"/>
        </w:numPr>
        <w:spacing w:after="60"/>
      </w:pPr>
      <w:r>
        <w:t xml:space="preserve">What Game Value is and how it's built — raw play-by-play, zero Bacon inputs. This independence is the entire point.</w:t>
      </w:r>
    </w:p>
    <w:p>
      <w:pPr>
        <w:pStyle w:val="ListParagraph"/>
        <w:numPr>
          <w:ilvl w:val="0"/>
          <w:numId w:val="2"/>
        </w:numPr>
        <w:spacing w:after="60"/>
      </w:pPr>
      <w:r>
        <w:t xml:space="preserve">The four-test replacement battery and its verdict: GV cannot replace Bacon for skater value. Forwards recovered (R²=0.504 vs Bacon 0.612); defencemen did not (R²=0.012 vs 0.281–0.295). The gap is structural, not tuning — defensive value is largely event prevention, which shot-and-shift data cannot see.</w:t>
      </w:r>
    </w:p>
    <w:p>
      <w:pPr>
        <w:pStyle w:val="ListParagraph"/>
        <w:numPr>
          <w:ilvl w:val="0"/>
          <w:numId w:val="2"/>
        </w:numPr>
        <w:spacing w:after="60"/>
      </w:pPr>
      <w:r>
        <w:t xml:space="preserve">GV's three scoped roles after that verdict: mid-season allocation, and two circularity validators. Nothing else.</w:t>
      </w:r>
    </w:p>
    <w:p>
      <w:pPr>
        <w:pStyle w:val="ListParagraph"/>
        <w:numPr>
          <w:ilvl w:val="0"/>
          <w:numId w:val="2"/>
        </w:numPr>
        <w:spacing w:after="60"/>
      </w:pPr>
      <w:r>
        <w:t xml:space="preserve">The mid-season problem it solves: why cumulative season WAR cannot be prorated by games played, and how proportioning by in-season game value fixes it.</w:t>
      </w:r>
    </w:p>
    <w:p>
      <w:pPr>
        <w:pStyle w:val="ListParagraph"/>
        <w:numPr>
          <w:ilvl w:val="0"/>
          <w:numId w:val="2"/>
        </w:numPr>
        <w:spacing w:after="60"/>
      </w:pPr>
      <w:r>
        <w:t xml:space="preserve">Phase 4b results: r=0.576 on 6,027 player-seasons, 0.55–0.61 in each of nine seasons, three validator variants landing in a 0.56–0.61 band.</w:t>
      </w:r>
    </w:p>
    <w:p>
      <w:pPr>
        <w:pStyle w:val="ListParagraph"/>
        <w:numPr>
          <w:ilvl w:val="0"/>
          <w:numId w:val="2"/>
        </w:numPr>
        <w:spacing w:after="60"/>
      </w:pPr>
      <w:r>
        <w:t xml:space="preserve">What this does NOT prove: convergent validity only, not confirmation that the dollar value of a win is correct. No pass/fail threshold was pre-registered, and retrofitting one afterward was explicitly rejected.</w:t>
      </w:r>
    </w:p>
    <w:p>
      <w:pPr>
        <w:pStyle w:val="ListParagraph"/>
        <w:numPr>
          <w:ilvl w:val="0"/>
          <w:numId w:val="2"/>
        </w:numPr>
        <w:spacing w:after="60"/>
      </w:pPr>
      <w:r>
        <w:t xml:space="preserve">The narrow-independence caveat: WAR and GV share no model and no data source, but they describe the same games.</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Forward/defence split repeats the known defensive weakness (F 0.648, D 0.302). The honest defence range is 0.28–0.30.</w:t>
      </w:r>
    </w:p>
    <w:p>
      <w:pPr>
        <w:pStyle w:val="ListParagraph"/>
        <w:numPr>
          <w:ilvl w:val="0"/>
          <w:numId w:val="2"/>
        </w:numPr>
        <w:spacing w:after="60"/>
      </w:pPr>
      <w:r>
        <w:rPr>
          <w:color w:val="C55A11"/>
        </w:rPr>
        <w:t xml:space="preserve">One pre-specified robustness leg (two raw GV variants for the term test) was deliberately not run. Recorded so it does not read as an oversight.</w:t>
      </w:r>
    </w:p>
    <w:p>
      <w:pPr>
        <w:pBdr>
          <w:bottom w:val="single" w:color="AAAAAA" w:sz="6" w:space="4"/>
        </w:pBdr>
        <w:spacing w:after="240"/>
      </w:pPr>
    </w:p>
    <w:p>
      <w:pPr>
        <w:pStyle w:val="Heading1"/>
        <w:spacing w:after="160" w:before="400"/>
      </w:pPr>
      <w:r>
        <w:t xml:space="preserve">Doc 2 — Player Pillar I — Data, Baseline, and Projection</w:t>
      </w:r>
    </w:p>
    <w:p>
      <w:pPr>
        <w:spacing w:after="160"/>
      </w:pPr>
      <w:r>
        <w:rPr>
          <w:b w:val="false"/>
          <w:bCs w:val="false"/>
          <w:i/>
          <w:iCs/>
        </w:rPr>
        <w:t xml:space="preserve">Built and locked. Almost none of this has been seen. Covers how a player's future gets built: the data underneath it, the trailing baseline, the aging-curve projection, and the survival weight applied against it. Reads as one continuous chain.</w:t>
      </w:r>
    </w:p>
    <w:p>
      <w:pPr>
        <w:pStyle w:val="Heading2"/>
        <w:spacing w:after="120" w:before="280"/>
      </w:pPr>
      <w:r>
        <w:t xml:space="preserve">2.1  Data Foundations, Entity Resolution, and the Trade Ledger</w:t>
      </w:r>
    </w:p>
    <w:p>
      <w:pPr>
        <w:spacing w:after="120"/>
      </w:pPr>
      <w:r>
        <w:rPr>
          <w:b/>
          <w:bCs/>
        </w:rPr>
        <w:t xml:space="preserve">Purpose. </w:t>
      </w:r>
      <w:r>
        <w:t xml:space="preserve">Every later component assumes this. Also the place where the join logic gets stated once instead of being re-explained six times.</w:t>
      </w:r>
    </w:p>
    <w:p>
      <w:pPr>
        <w:spacing w:after="120"/>
      </w:pPr>
      <w:r>
        <w:rPr>
          <w:b/>
          <w:bCs/>
        </w:rPr>
        <w:t xml:space="preserve">Source material. </w:t>
      </w:r>
      <w:r>
        <w:t xml:space="preserve">Status Report Section 3. Linkage architecture and the name-collision register.</w:t>
      </w:r>
    </w:p>
    <w:p>
      <w:pPr>
        <w:pStyle w:val="Heading3"/>
        <w:spacing w:after="80" w:before="200"/>
      </w:pPr>
      <w:r>
        <w:t xml:space="preserve">Must cover</w:t>
      </w:r>
    </w:p>
    <w:p>
      <w:pPr>
        <w:pStyle w:val="ListParagraph"/>
        <w:numPr>
          <w:ilvl w:val="0"/>
          <w:numId w:val="2"/>
        </w:numPr>
        <w:spacing w:after="60"/>
      </w:pPr>
      <w:r>
        <w:t xml:space="preserve">The four source datasets and what each supplies.</w:t>
      </w:r>
    </w:p>
    <w:p>
      <w:pPr>
        <w:pStyle w:val="ListParagraph"/>
        <w:numPr>
          <w:ilvl w:val="0"/>
          <w:numId w:val="2"/>
        </w:numPr>
        <w:spacing w:after="60"/>
      </w:pPr>
      <w:r>
        <w:t xml:space="preserve">The entity spine: PuckPedia player_id as canonical, puckpedia_ep_id as the cross-source join key, nhl_id for GV routing. Say why three keys exist rather than one.</w:t>
      </w:r>
    </w:p>
    <w:p>
      <w:pPr>
        <w:pStyle w:val="ListParagraph"/>
        <w:numPr>
          <w:ilvl w:val="0"/>
          <w:numId w:val="2"/>
        </w:numPr>
        <w:spacing w:after="60"/>
      </w:pPr>
      <w:r>
        <w:t xml:space="preserve">Trade counting: 980 export rows vs 946 distinct events, and the three-team facilitation mechanic — the NHL does not permit true three-team trades, so they are assembled from paired two-team deals.</w:t>
      </w:r>
    </w:p>
    <w:p>
      <w:pPr>
        <w:pStyle w:val="ListParagraph"/>
        <w:numPr>
          <w:ilvl w:val="0"/>
          <w:numId w:val="2"/>
        </w:numPr>
        <w:spacing w:after="60"/>
      </w:pPr>
      <w:r>
        <w:t xml:space="preserve">Time coverage: 2018 onward is a data-availability limit, not a design choice.</w:t>
      </w:r>
    </w:p>
    <w:p>
      <w:pPr>
        <w:pStyle w:val="ListParagraph"/>
        <w:numPr>
          <w:ilvl w:val="0"/>
          <w:numId w:val="2"/>
        </w:numPr>
        <w:spacing w:after="60"/>
      </w:pPr>
      <w:r>
        <w:t xml:space="preserve">Clause data: why a separate scrape was needed (Capspace, cross-checked against Capwages — not CapFriendly, which is an unrelated contingency trade dataset), 97.7% hit rate, 93.4% agreement, hand-resolution outstanding.</w:t>
      </w:r>
    </w:p>
    <w:p>
      <w:pPr>
        <w:pStyle w:val="ListParagraph"/>
        <w:numPr>
          <w:ilvl w:val="0"/>
          <w:numId w:val="2"/>
        </w:numPr>
        <w:spacing w:after="60"/>
      </w:pPr>
      <w:r>
        <w:t xml:space="preserve">Name-collision handling: four confirmed same-name pairs requiring manual disambiguation, plus two cases where distinct players merged under one name and were left unmatched.</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No completeness validation has been run on the trade ledger against any independent source. The contingency dataset exists for exactly this and the spot-check has not been done.</w:t>
      </w:r>
    </w:p>
    <w:p>
      <w:pPr>
        <w:pStyle w:val="ListParagraph"/>
        <w:numPr>
          <w:ilvl w:val="0"/>
          <w:numId w:val="2"/>
        </w:numPr>
        <w:spacing w:after="60"/>
      </w:pPr>
      <w:r>
        <w:rPr>
          <w:color w:val="C55A11"/>
        </w:rPr>
        <w:t xml:space="preserve">WAR_with_age nhl_id pollution: 23 IDs, 217 rows, 47 players. Corrected, but the correction should be documented, not silent.</w:t>
      </w:r>
    </w:p>
    <w:p>
      <w:pPr>
        <w:pStyle w:val="ListParagraph"/>
        <w:numPr>
          <w:ilvl w:val="0"/>
          <w:numId w:val="2"/>
        </w:numPr>
        <w:spacing w:after="60"/>
      </w:pPr>
      <w:r>
        <w:rPr>
          <w:color w:val="C55A11"/>
        </w:rPr>
        <w:t xml:space="preserve">Goalies_WAR carries per-team split rows that must be summed within name-season. A live trap for anyone re-deriving goalie numbers.</w:t>
      </w:r>
    </w:p>
    <w:p>
      <w:pPr>
        <w:pStyle w:val="Heading2"/>
        <w:spacing w:after="120" w:before="280"/>
      </w:pPr>
      <w:r>
        <w:t xml:space="preserve">2.2  Building a Player's Baseline — Trailing Production and Mean Reversion</w:t>
      </w:r>
    </w:p>
    <w:p>
      <w:pPr>
        <w:spacing w:after="120"/>
      </w:pPr>
      <w:r>
        <w:rPr>
          <w:b/>
          <w:bCs/>
        </w:rPr>
        <w:t xml:space="preserve">Purpose. </w:t>
      </w:r>
      <w:r>
        <w:t xml:space="preserve">The most-discussed component in the meeting, and the one where a new open question was raised verbally and needs to be written down before it is lost.</w:t>
      </w:r>
    </w:p>
    <w:p>
      <w:pPr>
        <w:spacing w:after="120"/>
      </w:pPr>
      <w:r>
        <w:rPr>
          <w:b/>
          <w:bCs/>
        </w:rPr>
        <w:t xml:space="preserve">Source material. </w:t>
      </w:r>
      <w:r>
        <w:t xml:space="preserve">Status Report Steps 1–2. Worth naming the resemblance to synthetic control methods — that was the supervisor's own analogy in the meeting, and it will read as recognizably rigorous to this reader.</w:t>
      </w:r>
    </w:p>
    <w:p>
      <w:pPr>
        <w:pStyle w:val="Heading3"/>
        <w:spacing w:after="80" w:before="200"/>
      </w:pPr>
      <w:r>
        <w:t xml:space="preserve">Must cover</w:t>
      </w:r>
    </w:p>
    <w:p>
      <w:pPr>
        <w:pStyle w:val="ListParagraph"/>
        <w:numPr>
          <w:ilvl w:val="0"/>
          <w:numId w:val="2"/>
        </w:numPr>
        <w:spacing w:after="60"/>
      </w:pPr>
      <w:r>
        <w:t xml:space="preserve">Why raw production is not trusted on its own — the hot/cold streak problem.</w:t>
      </w:r>
    </w:p>
    <w:p>
      <w:pPr>
        <w:pStyle w:val="ListParagraph"/>
        <w:numPr>
          <w:ilvl w:val="0"/>
          <w:numId w:val="2"/>
        </w:numPr>
        <w:spacing w:after="60"/>
      </w:pPr>
      <w:r>
        <w:t xml:space="preserve">The 60/40 trailing weight, the 10-game qualifying threshold, and the fallback when only one season exists.</w:t>
      </w:r>
    </w:p>
    <w:p>
      <w:pPr>
        <w:pStyle w:val="ListParagraph"/>
        <w:numPr>
          <w:ilvl w:val="0"/>
          <w:numId w:val="2"/>
        </w:numPr>
        <w:spacing w:after="60"/>
      </w:pPr>
      <w:r>
        <w:t xml:space="preserve">The eight-dimension comparable profile and the 25/25/25/25 weighting.</w:t>
      </w:r>
    </w:p>
    <w:p>
      <w:pPr>
        <w:pStyle w:val="ListParagraph"/>
        <w:numPr>
          <w:ilvl w:val="0"/>
          <w:numId w:val="2"/>
        </w:numPr>
        <w:spacing w:after="60"/>
      </w:pPr>
      <w:r>
        <w:t xml:space="preserve">Distance weighting: no hard cutoff, decay rate set from the median pairwise distance among random same-position pairs rather than chosen by hand.</w:t>
      </w:r>
    </w:p>
    <w:p>
      <w:pPr>
        <w:pStyle w:val="ListParagraph"/>
        <w:numPr>
          <w:ilvl w:val="0"/>
          <w:numId w:val="2"/>
        </w:numPr>
        <w:spacing w:after="60"/>
      </w:pPr>
      <w:r>
        <w:t xml:space="preserve">Why matching is done at a single age rather than across a career — the survivorship argument, with the struggling-22-year-old example.</w:t>
      </w:r>
    </w:p>
    <w:p>
      <w:pPr>
        <w:pStyle w:val="ListParagraph"/>
        <w:numPr>
          <w:ilvl w:val="0"/>
          <w:numId w:val="2"/>
        </w:numPr>
        <w:spacing w:after="60"/>
      </w:pPr>
      <w:r>
        <w:t xml:space="preserve">The four design choices tested on and off in every combination against held-out players: smoothing, age matching, mean reversion at all, and a durability trait. Smoothing and age matching earned their place; durability was dropped.</w:t>
      </w:r>
    </w:p>
    <w:p>
      <w:pPr>
        <w:pStyle w:val="ListParagraph"/>
        <w:numPr>
          <w:ilvl w:val="0"/>
          <w:numId w:val="2"/>
        </w:numPr>
        <w:spacing w:after="60"/>
      </w:pPr>
      <w:r>
        <w:t xml:space="preserve">The blend: lambda = 0.55, recovered by player-split cross-validation, re-confirmed rather than carried forward on trust after the curve rebuild.</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The 60/40 weight is not cross-validated. A 50/30/20 alternative beats it in every bootstrap resample but has not been adopted — adoption requires a fallback ladder, joint lambda re-cross-validation, and refitting the NPV spines plus hardcoded constants in the draft curve script.</w:t>
      </w:r>
    </w:p>
    <w:p>
      <w:pPr>
        <w:pStyle w:val="ListParagraph"/>
        <w:numPr>
          <w:ilvl w:val="0"/>
          <w:numId w:val="2"/>
        </w:numPr>
        <w:spacing w:after="60"/>
      </w:pPr>
      <w:r>
        <w:rPr>
          <w:color w:val="C55A11"/>
        </w:rPr>
        <w:t xml:space="preserve">The 25/25/25/25 profile weighting was never varied in testing.</w:t>
      </w:r>
    </w:p>
    <w:p>
      <w:pPr>
        <w:pStyle w:val="ListParagraph"/>
        <w:numPr>
          <w:ilvl w:val="0"/>
          <w:numId w:val="2"/>
        </w:numPr>
        <w:spacing w:after="60"/>
      </w:pPr>
      <w:r>
        <w:rPr>
          <w:color w:val="C55A11"/>
        </w:rPr>
        <w:t xml:space="preserve">Raised in the meeting and previously unlogged: lambda is applied universally, with no test of whether it should vary by player quality or type.</w:t>
      </w:r>
    </w:p>
    <w:p>
      <w:pPr>
        <w:pStyle w:val="ListParagraph"/>
        <w:numPr>
          <w:ilvl w:val="0"/>
          <w:numId w:val="2"/>
        </w:numPr>
        <w:spacing w:after="60"/>
      </w:pPr>
      <w:r>
        <w:rPr>
          <w:color w:val="C55A11"/>
        </w:rPr>
        <w:t xml:space="preserve">The t2_only population materializes at 61.7% (~$220M of phantom value). The correct instrument is a gate at 0.617, not a staleness discount. Held, not implemented.</w:t>
      </w:r>
    </w:p>
    <w:p>
      <w:pPr>
        <w:pStyle w:val="Heading2"/>
        <w:spacing w:after="120" w:before="280"/>
      </w:pPr>
      <w:r>
        <w:t xml:space="preserve">2.3  Projecting Forward — the Aging Curve</w:t>
      </w:r>
    </w:p>
    <w:p>
      <w:pPr>
        <w:spacing w:after="120"/>
      </w:pPr>
      <w:r>
        <w:rPr>
          <w:b/>
          <w:bCs/>
        </w:rPr>
        <w:t xml:space="preserve">Purpose. </w:t>
      </w:r>
      <w:r>
        <w:t xml:space="preserve">The component described in the meeting as the hardest part of the project. Never reached.</w:t>
      </w:r>
    </w:p>
    <w:p>
      <w:pPr>
        <w:spacing w:after="120"/>
      </w:pPr>
      <w:r>
        <w:rPr>
          <w:b/>
          <w:bCs/>
        </w:rPr>
        <w:t xml:space="preserve">Source material. </w:t>
      </w:r>
      <w:r>
        <w:t xml:space="preserve">Status Report Step 3 including the below-replacement subsection.</w:t>
      </w:r>
    </w:p>
    <w:p>
      <w:pPr>
        <w:pStyle w:val="Heading3"/>
        <w:spacing w:after="80" w:before="200"/>
      </w:pPr>
      <w:r>
        <w:t xml:space="preserve">Must cover</w:t>
      </w:r>
    </w:p>
    <w:p>
      <w:pPr>
        <w:pStyle w:val="ListParagraph"/>
        <w:numPr>
          <w:ilvl w:val="0"/>
          <w:numId w:val="2"/>
        </w:numPr>
        <w:spacing w:after="60"/>
      </w:pPr>
      <w:r>
        <w:t xml:space="preserve">How §2.2's comparable weights are reused to build an age-conditional trajectory, not just a level.</w:t>
      </w:r>
    </w:p>
    <w:p>
      <w:pPr>
        <w:pStyle w:val="ListParagraph"/>
        <w:numPr>
          <w:ilvl w:val="0"/>
          <w:numId w:val="2"/>
        </w:numPr>
        <w:spacing w:after="60"/>
      </w:pPr>
      <w:r>
        <w:t xml:space="preserve">Within-player change vs. cross-sectional age comparison, and why the distinction is a survivorship defence rather than a technicality.</w:t>
      </w:r>
    </w:p>
    <w:p>
      <w:pPr>
        <w:pStyle w:val="ListParagraph"/>
        <w:numPr>
          <w:ilvl w:val="0"/>
          <w:numId w:val="2"/>
        </w:numPr>
        <w:spacing w:after="60"/>
      </w:pPr>
      <w:r>
        <w:t xml:space="preserve">What the curve deliberately does not cover: players who leave the league (§2.4's job) and players who collapse but stay.</w:t>
      </w:r>
    </w:p>
    <w:p>
      <w:pPr>
        <w:pStyle w:val="ListParagraph"/>
        <w:numPr>
          <w:ilvl w:val="0"/>
          <w:numId w:val="2"/>
        </w:numPr>
        <w:spacing w:after="60"/>
      </w:pPr>
      <w:r>
        <w:t xml:space="preserve">Validation on held-out careers: roughly 15% error reduction one year out, 18% at six years, against a flat-projection baseline. The advantage grows with horizon because 'no change' degrades faster.</w:t>
      </w:r>
    </w:p>
    <w:p>
      <w:pPr>
        <w:pStyle w:val="ListParagraph"/>
        <w:numPr>
          <w:ilvl w:val="0"/>
          <w:numId w:val="2"/>
        </w:numPr>
        <w:spacing w:after="60"/>
      </w:pPr>
      <w:r>
        <w:t xml:space="preserve">The below-replacement case in full: why a multiplier is unstable when the baseline is negative (the −0.5 × 0.9 = −0.45 sign-flip problem), the three approaches tested, and why reversion-to-replacement won at every horizon.</w:t>
      </w:r>
    </w:p>
    <w:p>
      <w:pPr>
        <w:pStyle w:val="ListParagraph"/>
        <w:numPr>
          <w:ilvl w:val="0"/>
          <w:numId w:val="2"/>
        </w:numPr>
        <w:spacing w:after="60"/>
      </w:pPr>
      <w:r>
        <w:t xml:space="preserve">The empirical finding that fell out of the second attempt: 93% of below-replacement players who stayed improved the next season, 81% finished back above replacement, group mean −0.22 to +0.32.</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A guard rail exists on one side only. The upper multiplier is capped at +200%; there is no lower bound. When the curve's starting level sits near zero, multipliers go negative — 418 of 1,097 in synthetic testing, most extreme −5.98, which asserts a player will produce six times his output in the opposite direction. Live exposure is 67 contract-seasons across 41 contracts (worst real case −1.61), concentrated in the population the back-test depends on. Known, unfixed, must be stated.</w:t>
      </w:r>
    </w:p>
    <w:p>
      <w:pPr>
        <w:pStyle w:val="ListParagraph"/>
        <w:numPr>
          <w:ilvl w:val="0"/>
          <w:numId w:val="2"/>
        </w:numPr>
        <w:spacing w:after="60"/>
      </w:pPr>
      <w:r>
        <w:rPr>
          <w:color w:val="C55A11"/>
        </w:rPr>
        <w:t xml:space="preserve">The curve is fit on the full panel, including seasons after any given valuation date. See §4.6, the Back-Test Design.</w:t>
      </w:r>
    </w:p>
    <w:p>
      <w:pPr>
        <w:pStyle w:val="Heading2"/>
        <w:spacing w:after="120" w:before="280"/>
      </w:pPr>
      <w:r>
        <w:t xml:space="preserve">2.4  Exit Hazard — Pricing the Chance a Career Ends</w:t>
      </w:r>
    </w:p>
    <w:p>
      <w:pPr>
        <w:spacing w:after="120"/>
      </w:pPr>
      <w:r>
        <w:rPr>
          <w:b/>
          <w:bCs/>
        </w:rPr>
        <w:t xml:space="preserve">Purpose. </w:t>
      </w:r>
      <w:r>
        <w:t xml:space="preserve">A standalone engine currently mentioned in one sentence of the Status Report. It carries one of the two discount factors and defines the quality tiers used elsewhere.</w:t>
      </w:r>
    </w:p>
    <w:p>
      <w:pPr>
        <w:spacing w:after="120"/>
      </w:pPr>
      <w:r>
        <w:rPr>
          <w:b/>
          <w:bCs/>
        </w:rPr>
        <w:t xml:space="preserve">Source material. </w:t>
      </w:r>
      <w:r>
        <w:t xml:space="preserve">exit_hazard.py; the survival tables by quality-and-age bucket.</w:t>
      </w:r>
    </w:p>
    <w:p>
      <w:pPr>
        <w:pStyle w:val="Heading3"/>
        <w:spacing w:after="80" w:before="200"/>
      </w:pPr>
      <w:r>
        <w:t xml:space="preserve">Must cover</w:t>
      </w:r>
    </w:p>
    <w:p>
      <w:pPr>
        <w:pStyle w:val="ListParagraph"/>
        <w:numPr>
          <w:ilvl w:val="0"/>
          <w:numId w:val="2"/>
        </w:numPr>
        <w:spacing w:after="60"/>
      </w:pPr>
      <w:r>
        <w:t xml:space="preserve">What the hazard measures and why it multiplies against the aging curve rather than being folded into it.</w:t>
      </w:r>
    </w:p>
    <w:p>
      <w:pPr>
        <w:pStyle w:val="ListParagraph"/>
        <w:numPr>
          <w:ilvl w:val="0"/>
          <w:numId w:val="2"/>
        </w:numPr>
        <w:spacing w:after="60"/>
      </w:pPr>
      <w:r>
        <w:t xml:space="preserve">The four quality tiers with exact cutoffs — star WAR≥3, regular 1–3, fringe 0–1, below-replacement &lt;0 — stated plainly as project-defined interpretable bands, chosen for legibility, not fitted or optimized.</w:t>
      </w:r>
    </w:p>
    <w:p>
      <w:pPr>
        <w:pStyle w:val="ListParagraph"/>
        <w:numPr>
          <w:ilvl w:val="0"/>
          <w:numId w:val="2"/>
        </w:numPr>
        <w:spacing w:after="60"/>
      </w:pPr>
      <w:r>
        <w:t xml:space="preserve">Observed rates: established players exit near 1%/year; marginal players 10–19%/year; sharp compounding past the mid-thirties.</w:t>
      </w:r>
    </w:p>
    <w:p>
      <w:pPr>
        <w:pStyle w:val="ListParagraph"/>
        <w:numPr>
          <w:ilvl w:val="0"/>
          <w:numId w:val="2"/>
        </w:numPr>
        <w:spacing w:after="60"/>
      </w:pPr>
      <w:r>
        <w:t xml:space="preserve">Why the same tiers are used here and in the RFA gate (§3.1), and why that consistency matters.</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No documented statistical justification for the 0/1/3 boundaries. If asked why not 0.5/1.5/2.5, the honest answer is interpretability.</w:t>
      </w:r>
    </w:p>
    <w:p>
      <w:pPr>
        <w:pStyle w:val="ListParagraph"/>
        <w:numPr>
          <w:ilvl w:val="0"/>
          <w:numId w:val="2"/>
        </w:numPr>
        <w:spacing w:after="60"/>
      </w:pPr>
      <w:r>
        <w:rPr>
          <w:color w:val="C55A11"/>
        </w:rPr>
        <w:t xml:space="preserve">A different star threshold (3.5 WAR) is used in the exploratory star/RFA analysis (§5.2) and is logged as arbitrary and unswept. The project currently has two star definitions. Disambiguate explicitly.</w:t>
      </w:r>
    </w:p>
    <w:p>
      <w:pPr>
        <w:pStyle w:val="ListParagraph"/>
        <w:numPr>
          <w:ilvl w:val="0"/>
          <w:numId w:val="2"/>
        </w:numPr>
        <w:spacing w:after="60"/>
      </w:pPr>
      <w:r>
        <w:rPr>
          <w:color w:val="C55A11"/>
        </w:rPr>
        <w:t xml:space="preserve">Exit risk is understated for below-replacement players: the 93% recovery rate (§2.3) is conditional on reappearing, and exit is precisely the event that removes a player from that sample.</w:t>
      </w:r>
    </w:p>
    <w:p>
      <w:pPr>
        <w:pBdr>
          <w:bottom w:val="single" w:color="AAAAAA" w:sz="6" w:space="4"/>
        </w:pBdr>
        <w:spacing w:after="240"/>
      </w:pPr>
    </w:p>
    <w:p>
      <w:pPr>
        <w:pStyle w:val="Heading1"/>
        <w:spacing w:after="160" w:before="400"/>
      </w:pPr>
      <w:r>
        <w:t xml:space="preserve">Doc 3 — Player Pillar II — Pricing, Discounting, and Assembly</w:t>
      </w:r>
    </w:p>
    <w:p>
      <w:pPr>
        <w:spacing w:after="160"/>
      </w:pPr>
      <w:r>
        <w:rPr>
          <w:b w:val="false"/>
          <w:bCs w:val="false"/>
          <w:i/>
          <w:iCs/>
        </w:rPr>
        <w:t xml:space="preserve">The back half of the player pillar: how the projection from Doc 2 turns into one dollar figure per contract. Terminal value at expiry, the market-rate regression, the NPV assembly that nets everything together, and goaltenders as the parallel pipeline the same logic doesn't quite fit.</w:t>
      </w:r>
    </w:p>
    <w:p>
      <w:pPr>
        <w:pStyle w:val="Heading2"/>
        <w:spacing w:after="120" w:before="280"/>
      </w:pPr>
      <w:r>
        <w:t xml:space="preserve">3.1  End-of-Contract Value Under Restricted Free Agency</w:t>
      </w:r>
    </w:p>
    <w:p>
      <w:pPr>
        <w:spacing w:after="120"/>
      </w:pPr>
      <w:r>
        <w:rPr>
          <w:b/>
          <w:bCs/>
        </w:rPr>
        <w:t xml:space="preserve">Purpose. </w:t>
      </w:r>
      <w:r>
        <w:t xml:space="preserve">Step 4. Partially covered live; the full version including the selection-bias correction has not been seen.</w:t>
      </w:r>
    </w:p>
    <w:p>
      <w:pPr>
        <w:spacing w:after="120"/>
      </w:pPr>
      <w:r>
        <w:rPr>
          <w:b/>
          <w:bCs/>
        </w:rPr>
        <w:t xml:space="preserve">Source material. </w:t>
      </w:r>
      <w:r>
        <w:t xml:space="preserve">Status Report Step 4; rfa_terminal_value.py; the Stage 4 review resolution.</w:t>
      </w:r>
    </w:p>
    <w:p>
      <w:pPr>
        <w:pStyle w:val="Heading3"/>
        <w:spacing w:after="80" w:before="200"/>
      </w:pPr>
      <w:r>
        <w:t xml:space="preserve">Must cover</w:t>
      </w:r>
    </w:p>
    <w:p>
      <w:pPr>
        <w:pStyle w:val="ListParagraph"/>
        <w:numPr>
          <w:ilvl w:val="0"/>
          <w:numId w:val="2"/>
        </w:numPr>
        <w:spacing w:after="60"/>
      </w:pPr>
      <w:r>
        <w:t xml:space="preserve">Why an RFA contract carries value past its final season and a UFA contract does not.</w:t>
      </w:r>
    </w:p>
    <w:p>
      <w:pPr>
        <w:pStyle w:val="ListParagraph"/>
        <w:numPr>
          <w:ilvl w:val="0"/>
          <w:numId w:val="2"/>
        </w:numPr>
        <w:spacing w:after="60"/>
      </w:pPr>
      <w:r>
        <w:t xml:space="preserve">Walking the projection through controlled years and pricing each against the qualifying-offer formula in force that season.</w:t>
      </w:r>
    </w:p>
    <w:p>
      <w:pPr>
        <w:pStyle w:val="ListParagraph"/>
        <w:numPr>
          <w:ilvl w:val="0"/>
          <w:numId w:val="2"/>
        </w:numPr>
        <w:spacing w:after="60"/>
      </w:pPr>
      <w:r>
        <w:t xml:space="preserve">The retention calibration: why the uncalibrated first version failed, catching only 18% of 614 real walk-away decisions.</w:t>
      </w:r>
    </w:p>
    <w:p>
      <w:pPr>
        <w:pStyle w:val="ListParagraph"/>
        <w:numPr>
          <w:ilvl w:val="0"/>
          <w:numId w:val="2"/>
        </w:numPr>
        <w:spacing w:after="60"/>
      </w:pPr>
      <w:r>
        <w:t xml:space="preserve">The selection-bias correction, which is the substantive story here: 1,039 of 2,270 decisions were silently dropped for having no production figure — and those players are exactly the ones clubs walk away from (33.9% walked vs 21.3% in the retained sample). True rate is 27.0%. Fix: treat a missing production figure as informative (below-replacement), not missing.</w:t>
      </w:r>
    </w:p>
    <w:p>
      <w:pPr>
        <w:pStyle w:val="ListParagraph"/>
        <w:numPr>
          <w:ilvl w:val="0"/>
          <w:numId w:val="2"/>
        </w:numPr>
        <w:spacing w:after="60"/>
      </w:pPr>
      <w:r>
        <w:t xml:space="preserve">Magnitude, honestly: terminal value was overstated 12.3% at three control years, not the 20–25% the review estimated. Most of the gap is composition, which does not compound like a rate.</w:t>
      </w:r>
    </w:p>
    <w:p>
      <w:pPr>
        <w:pStyle w:val="ListParagraph"/>
        <w:numPr>
          <w:ilvl w:val="0"/>
          <w:numId w:val="2"/>
        </w:numPr>
        <w:spacing w:after="60"/>
      </w:pPr>
      <w:r>
        <w:t xml:space="preserve">The over-correction check: three changes pushed fringe value down at once, so it was tested — the model is still more generous than clubs actually are (91.6% modeled vs 79.3% observed). No further change needed.</w:t>
      </w:r>
    </w:p>
    <w:p>
      <w:pPr>
        <w:pStyle w:val="ListParagraph"/>
        <w:numPr>
          <w:ilvl w:val="0"/>
          <w:numId w:val="2"/>
        </w:numPr>
        <w:spacing w:after="60"/>
      </w:pPr>
      <w:r>
        <w:t xml:space="preserve">The floor-timing objection that was considered and rejected, with reasoning: the model prices a specific player, not a roster spot.</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The over-correction verdict rests on roughly a $300K margin. At the low end of the intercept's defensible range, the answer reverses.</w:t>
      </w:r>
    </w:p>
    <w:p>
      <w:pPr>
        <w:pStyle w:val="ListParagraph"/>
        <w:numPr>
          <w:ilvl w:val="0"/>
          <w:numId w:val="2"/>
        </w:numPr>
        <w:spacing w:after="60"/>
      </w:pPr>
      <w:r>
        <w:rPr>
          <w:color w:val="C55A11"/>
        </w:rPr>
        <w:t xml:space="preserve">44.6% of RFA contracts have no salary data, so the qualifying offer falls back to AAV — which erases front-loading by construction and thereby disables the CBA's 120% cap in exactly the cases that rule exists for. Known, unfixed.</w:t>
      </w:r>
    </w:p>
    <w:p>
      <w:pPr>
        <w:pStyle w:val="Heading2"/>
        <w:spacing w:after="120" w:before="280"/>
      </w:pPr>
      <w:r>
        <w:t xml:space="preserve">3.2  The Market Rate — Turning Wins Into Dollars</w:t>
      </w:r>
    </w:p>
    <w:p>
      <w:pPr>
        <w:spacing w:after="120"/>
      </w:pPr>
      <w:r>
        <w:rPr>
          <w:b/>
          <w:bCs/>
        </w:rPr>
        <w:t xml:space="preserve">Purpose. </w:t>
      </w:r>
      <w:r>
        <w:t xml:space="preserve">The regression explicitly asked for. Also the place to put the superseded report permanently to rest in writing.</w:t>
      </w:r>
    </w:p>
    <w:p>
      <w:pPr>
        <w:spacing w:after="120"/>
      </w:pPr>
      <w:r>
        <w:rPr>
          <w:b/>
          <w:bCs/>
        </w:rPr>
        <w:t xml:space="preserve">Source material. </w:t>
      </w:r>
      <w:r>
        <w:t xml:space="preserve">Status Report 'Assembling the number'; skater_value_engine.py Stage 0b; the coefficients, standard errors, and plot now built.</w:t>
      </w:r>
    </w:p>
    <w:p>
      <w:pPr>
        <w:pStyle w:val="Heading3"/>
        <w:spacing w:after="80" w:before="200"/>
      </w:pPr>
      <w:r>
        <w:t xml:space="preserve">Must cover</w:t>
      </w:r>
    </w:p>
    <w:p>
      <w:pPr>
        <w:pStyle w:val="ListParagraph"/>
        <w:numPr>
          <w:ilvl w:val="0"/>
          <w:numId w:val="2"/>
        </w:numPr>
        <w:spacing w:after="60"/>
      </w:pPr>
      <w:r>
        <w:t xml:space="preserve">Why cap share rather than raw AAV.</w:t>
      </w:r>
    </w:p>
    <w:p>
      <w:pPr>
        <w:pStyle w:val="ListParagraph"/>
        <w:numPr>
          <w:ilvl w:val="0"/>
          <w:numId w:val="2"/>
        </w:numPr>
        <w:spacing w:after="60"/>
      </w:pPr>
      <w:r>
        <w:t xml:space="preserve">Why a censored (Tobit) fit rather than OLS — the 529 league-minimum contracts made concrete, and why treating a legal floor as a negotiated price drags the line upward.</w:t>
      </w:r>
    </w:p>
    <w:p>
      <w:pPr>
        <w:pStyle w:val="ListParagraph"/>
        <w:numPr>
          <w:ilvl w:val="0"/>
          <w:numId w:val="2"/>
        </w:numPr>
        <w:spacing w:after="60"/>
      </w:pPr>
      <w:r>
        <w:t xml:space="preserve">The position interaction: one intercept, slope difference only, because at zero measured wins the market pays both positions alike.</w:t>
      </w:r>
    </w:p>
    <w:p>
      <w:pPr>
        <w:pStyle w:val="ListParagraph"/>
        <w:numPr>
          <w:ilvl w:val="0"/>
          <w:numId w:val="2"/>
        </w:numPr>
        <w:spacing w:after="60"/>
      </w:pPr>
      <w:r>
        <w:t xml:space="preserve">Coefficients, standard errors, p-values, and the fitted plot.</w:t>
      </w:r>
    </w:p>
    <w:p>
      <w:pPr>
        <w:pStyle w:val="ListParagraph"/>
        <w:numPr>
          <w:ilvl w:val="0"/>
          <w:numId w:val="2"/>
        </w:numPr>
        <w:spacing w:after="60"/>
      </w:pPr>
      <w:r>
        <w:t xml:space="preserve">Fit quality without a true R²: what McFadden pseudo-R² (0.129) and the uncensored squared correlation (0.433) each measure, and why neither is comparable to an OLS R².</w:t>
      </w:r>
    </w:p>
    <w:p>
      <w:pPr>
        <w:pStyle w:val="ListParagraph"/>
        <w:numPr>
          <w:ilvl w:val="0"/>
          <w:numId w:val="2"/>
        </w:numPr>
        <w:spacing w:after="60"/>
      </w:pPr>
      <w:r>
        <w:t xml:space="preserve">The UFA/RFA pooling decision told straight: the old report found separate markets; its sample had goaltenders mixed into a supposedly skater-only sample; corrected, the two are indistinguishable (F=0.12, p=0.887). This is also the best available illustration of why reproduction guards exist (§5.3).</w:t>
      </w:r>
    </w:p>
    <w:p>
      <w:pPr>
        <w:pStyle w:val="ListParagraph"/>
        <w:numPr>
          <w:ilvl w:val="0"/>
          <w:numId w:val="2"/>
        </w:numPr>
        <w:spacing w:after="60"/>
      </w:pPr>
      <w:r>
        <w:t xml:space="preserve">Why 2018 is the fitting floor: the contract export thins to 63/223/452 contracts for 2015–17 against ~700/year after, so fitting earlier would estimate the rate on whichever contracts happened to survive in the export.</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The defence slope premium is the weakest term in the model: z=2.41, p=0.016 — significant at 5%, not at 1%, while the other two coefficients sit at p&lt;0.001. Raise this first rather than letting it be found.</w:t>
      </w:r>
    </w:p>
    <w:p>
      <w:pPr>
        <w:pStyle w:val="ListParagraph"/>
        <w:numPr>
          <w:ilvl w:val="0"/>
          <w:numId w:val="2"/>
        </w:numPr>
        <w:spacing w:after="60"/>
      </w:pPr>
      <w:r>
        <w:rPr>
          <w:color w:val="C55A11"/>
        </w:rPr>
        <w:t xml:space="preserve">Positional error of roughly $496,000 per season remains after the position term.</w:t>
      </w:r>
    </w:p>
    <w:p>
      <w:pPr>
        <w:pStyle w:val="ListParagraph"/>
        <w:numPr>
          <w:ilvl w:val="0"/>
          <w:numId w:val="2"/>
        </w:numPr>
        <w:spacing w:after="60"/>
      </w:pPr>
      <w:r>
        <w:rPr>
          <w:color w:val="C55A11"/>
        </w:rPr>
        <w:t xml:space="preserve">No length term. The pre-registered null test found the long-contract finding survives without one, but the model consequently cannot price the cost certainty a long contract buys.</w:t>
      </w:r>
    </w:p>
    <w:p>
      <w:pPr>
        <w:pStyle w:val="Heading2"/>
        <w:spacing w:after="120" w:before="280"/>
      </w:pPr>
      <w:r>
        <w:t xml:space="preserve">3.3  Discounting and Assembling the Contract NPV</w:t>
      </w:r>
    </w:p>
    <w:p>
      <w:pPr>
        <w:spacing w:after="120"/>
      </w:pPr>
      <w:r>
        <w:rPr>
          <w:b/>
          <w:bCs/>
        </w:rPr>
        <w:t xml:space="preserve">Purpose. </w:t>
      </w:r>
      <w:r>
        <w:t xml:space="preserve">The step that turns everything above into one number per contract. Currently one Status Report paragraph for the whole assembly.</w:t>
      </w:r>
    </w:p>
    <w:p>
      <w:pPr>
        <w:spacing w:after="120"/>
      </w:pPr>
      <w:r>
        <w:rPr>
          <w:b/>
          <w:bCs/>
        </w:rPr>
        <w:t xml:space="preserve">Source material. </w:t>
      </w:r>
      <w:r>
        <w:t xml:space="preserve">Status Report Step 5; contract_npv.py. 2,981 contracts priced; NPV panel at 6,939 rows.</w:t>
      </w:r>
    </w:p>
    <w:p>
      <w:pPr>
        <w:pStyle w:val="Heading3"/>
        <w:spacing w:after="80" w:before="200"/>
      </w:pPr>
      <w:r>
        <w:t xml:space="preserve">Must cover</w:t>
      </w:r>
    </w:p>
    <w:p>
      <w:pPr>
        <w:pStyle w:val="ListParagraph"/>
        <w:numPr>
          <w:ilvl w:val="0"/>
          <w:numId w:val="2"/>
        </w:numPr>
        <w:spacing w:after="60"/>
      </w:pPr>
      <w:r>
        <w:t xml:space="preserve">The two discount factors and why they are separate: survival probability (§2.4) and cap growth.</w:t>
      </w:r>
    </w:p>
    <w:p>
      <w:pPr>
        <w:pStyle w:val="ListParagraph"/>
        <w:numPr>
          <w:ilvl w:val="0"/>
          <w:numId w:val="2"/>
        </w:numPr>
        <w:spacing w:after="60"/>
      </w:pPr>
      <w:r>
        <w:t xml:space="preserve">The 3% cap-growth planning assumption, and the argument that error largely cancels because both sides of a trade share it — which is also the argument for reporting surplus ratios rather than raw dollar differences.</w:t>
      </w:r>
    </w:p>
    <w:p>
      <w:pPr>
        <w:pStyle w:val="ListParagraph"/>
        <w:numPr>
          <w:ilvl w:val="0"/>
          <w:numId w:val="2"/>
        </w:numPr>
        <w:spacing w:after="60"/>
      </w:pPr>
      <w:r>
        <w:t xml:space="preserve">The league-minimum floor on the value side: what it does, and its live footprint (bound on 15.3% of priced rows, adding $582.58M across the sample).</w:t>
      </w:r>
    </w:p>
    <w:p>
      <w:pPr>
        <w:pStyle w:val="ListParagraph"/>
        <w:numPr>
          <w:ilvl w:val="0"/>
          <w:numId w:val="2"/>
        </w:numPr>
        <w:spacing w:after="60"/>
      </w:pPr>
      <w:r>
        <w:t xml:space="preserve">Season-by-season assembly: convert wins to dollars, floor, net against the actual cap charge, discount, sum, add RFA control years.</w:t>
      </w:r>
    </w:p>
    <w:p>
      <w:pPr>
        <w:pStyle w:val="ListParagraph"/>
        <w:numPr>
          <w:ilvl w:val="0"/>
          <w:numId w:val="2"/>
        </w:numPr>
        <w:spacing w:after="60"/>
      </w:pPr>
      <w:r>
        <w:t xml:space="preserve">Why managerial impatience is deliberately excluded from the discount rate — building it in would make it undetectable in the back-test. This is a designed-in blindness, and stating it that way is stronger than defending it.</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Cap optionality is not priced. Adding it would make long contracts look worse, so its absence does not flatter the long-contract finding — say so, since it is the direction that matters.</w:t>
      </w:r>
    </w:p>
    <w:p>
      <w:pPr>
        <w:pStyle w:val="ListParagraph"/>
        <w:numPr>
          <w:ilvl w:val="0"/>
          <w:numId w:val="2"/>
        </w:numPr>
        <w:spacing w:after="60"/>
      </w:pPr>
      <w:r>
        <w:rPr>
          <w:color w:val="C55A11"/>
        </w:rPr>
        <w:t xml:space="preserve">Downstream spines were rewritten on the current rate and gate. Anything built off the older spine is stale. Verify before citing.</w:t>
      </w:r>
    </w:p>
    <w:p>
      <w:pPr>
        <w:pStyle w:val="Heading2"/>
        <w:spacing w:after="120" w:before="280"/>
      </w:pPr>
      <w:r>
        <w:t xml:space="preserve">3.4  Goaltenders</w:t>
      </w:r>
    </w:p>
    <w:p>
      <w:pPr>
        <w:spacing w:after="120"/>
      </w:pPr>
      <w:r>
        <w:rPr>
          <w:b/>
          <w:bCs/>
        </w:rPr>
        <w:t xml:space="preserve">Purpose. </w:t>
      </w:r>
      <w:r>
        <w:t xml:space="preserve">A separate chain covering 390 contracts. Never discussed. Also carries a live inconsistency that must not be discovered by a reader first.</w:t>
      </w:r>
    </w:p>
    <w:p>
      <w:pPr>
        <w:spacing w:after="120"/>
      </w:pPr>
      <w:r>
        <w:rPr>
          <w:b/>
          <w:bCs/>
        </w:rPr>
        <w:t xml:space="preserve">Source material. </w:t>
      </w:r>
      <w:r>
        <w:t xml:space="preserve">Status Report 'Goaltenders'; goalie_value_engine.py.</w:t>
      </w:r>
    </w:p>
    <w:p>
      <w:pPr>
        <w:pStyle w:val="Heading3"/>
        <w:spacing w:after="80" w:before="200"/>
      </w:pPr>
      <w:r>
        <w:t xml:space="preserve">Must cover</w:t>
      </w:r>
    </w:p>
    <w:p>
      <w:pPr>
        <w:pStyle w:val="ListParagraph"/>
        <w:numPr>
          <w:ilvl w:val="0"/>
          <w:numId w:val="2"/>
        </w:numPr>
        <w:spacing w:after="60"/>
      </w:pPr>
      <w:r>
        <w:t xml:space="preserve">Why goaltenders cannot use the skater pipeline: performance barely persists season to season, so a comparable search and aging curve built on persistence have nothing to work with.</w:t>
      </w:r>
    </w:p>
    <w:p>
      <w:pPr>
        <w:pStyle w:val="ListParagraph"/>
        <w:numPr>
          <w:ilvl w:val="0"/>
          <w:numId w:val="2"/>
        </w:numPr>
        <w:spacing w:after="60"/>
      </w:pPr>
      <w:r>
        <w:t xml:space="preserve">The 50/30/20 trailing weight and the fallback ladder to 60/40 and to a single season.</w:t>
      </w:r>
    </w:p>
    <w:p>
      <w:pPr>
        <w:pStyle w:val="ListParagraph"/>
        <w:numPr>
          <w:ilvl w:val="0"/>
          <w:numId w:val="2"/>
        </w:numPr>
        <w:spacing w:after="60"/>
      </w:pPr>
      <w:r>
        <w:t xml:space="preserve">Why shrinkage is far heavier for goalies (65% to league average) than skaters (45%), and what that implies about trusting a goalie's recent numbers.</w:t>
      </w:r>
    </w:p>
    <w:p>
      <w:pPr>
        <w:pStyle w:val="ListParagraph"/>
        <w:numPr>
          <w:ilvl w:val="0"/>
          <w:numId w:val="2"/>
        </w:numPr>
        <w:spacing w:after="60"/>
      </w:pPr>
      <w:r>
        <w:t xml:space="preserve">Stale-anchor carry resolution and the parity gate.</w:t>
      </w:r>
    </w:p>
    <w:p>
      <w:pPr>
        <w:pStyle w:val="ListParagraph"/>
        <w:numPr>
          <w:ilvl w:val="0"/>
          <w:numId w:val="2"/>
        </w:numPr>
        <w:spacing w:after="60"/>
      </w:pPr>
      <w:r>
        <w:t xml:space="preserve">The separately fitted goalie rate and why the skater rate (§3.2) cannot transfer.</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Goaltenders are still priced on the older least-squares rate, not the current censored rate used for skaters. Deliberate — held until the goalie pillar's own items settle — but it means the two populations are currently priced on different equations. State it explicitly.</w:t>
      </w:r>
    </w:p>
    <w:p>
      <w:pPr>
        <w:pStyle w:val="ListParagraph"/>
        <w:numPr>
          <w:ilvl w:val="0"/>
          <w:numId w:val="2"/>
        </w:numPr>
        <w:spacing w:after="60"/>
      </w:pPr>
      <w:r>
        <w:rPr>
          <w:color w:val="C55A11"/>
        </w:rPr>
        <w:t xml:space="preserve">A goalie contact-percentage metric was assessed and shelved: the faceoff-adjacency proxy collapsed in 2022-23/2023-24, a database-stability issue that is a prerequisite to any build work.</w:t>
      </w:r>
    </w:p>
    <w:p>
      <w:pPr>
        <w:pBdr>
          <w:bottom w:val="single" w:color="AAAAAA" w:sz="6" w:space="4"/>
        </w:pBdr>
        <w:spacing w:after="240"/>
      </w:pPr>
    </w:p>
    <w:p>
      <w:pPr>
        <w:pStyle w:val="Heading1"/>
        <w:spacing w:after="160" w:before="400"/>
      </w:pPr>
      <w:r>
        <w:t xml:space="preserve">Doc 4 — Drafting, Prospects, and Unbuilt Components</w:t>
      </w:r>
    </w:p>
    <w:p>
      <w:pPr>
        <w:spacing w:after="160"/>
      </w:pPr>
      <w:r>
        <w:rPr>
          <w:b w:val="false"/>
          <w:bCs w:val="false"/>
          <w:i/>
          <w:iCs/>
        </w:rPr>
        <w:t xml:space="preserve">Everything outside the player pillar's core, grouped so build status is visible section by section rather than assumed for the whole document. §4.1–4.2 (draft picks) are built and locked — a complete second asset class with real headline numbers, just thinner than the player pillar. §4.3–4.6 (prospects, retention, clauses, back-test) are designed but not built; those sections describe design and risk, not results.</w:t>
      </w:r>
    </w:p>
    <w:p>
      <w:pPr>
        <w:pStyle w:val="Heading2"/>
        <w:spacing w:after="120" w:before="280"/>
      </w:pPr>
      <w:r>
        <w:t xml:space="preserve">4.1  Draft Pick Linkage and the Yield Curve — built and locked</w:t>
      </w:r>
    </w:p>
    <w:p>
      <w:pPr>
        <w:spacing w:after="120"/>
      </w:pPr>
      <w:r>
        <w:rPr>
          <w:b/>
          <w:bCs/>
        </w:rPr>
        <w:t xml:space="preserve">Purpose. </w:t>
      </w:r>
      <w:r>
        <w:t xml:space="preserve">A complete second pillar with its own decision stack, none of it written up for an outside reader.</w:t>
      </w:r>
    </w:p>
    <w:p>
      <w:pPr>
        <w:spacing w:after="120"/>
      </w:pPr>
      <w:r>
        <w:rPr>
          <w:b/>
          <w:bCs/>
        </w:rPr>
        <w:t xml:space="preserve">Source material. </w:t>
      </w:r>
      <w:r>
        <w:t xml:space="preserve">draft_pick_linkage.py, draft_yield_curve.py; D22–D27; review items 4.3, 5.5, 5.6.</w:t>
      </w:r>
    </w:p>
    <w:p>
      <w:pPr>
        <w:pStyle w:val="Heading3"/>
        <w:spacing w:after="80" w:before="200"/>
      </w:pPr>
      <w:r>
        <w:t xml:space="preserve">Must cover</w:t>
      </w:r>
    </w:p>
    <w:p>
      <w:pPr>
        <w:pStyle w:val="ListParagraph"/>
        <w:numPr>
          <w:ilvl w:val="0"/>
          <w:numId w:val="2"/>
        </w:numPr>
        <w:spacing w:after="60"/>
      </w:pPr>
      <w:r>
        <w:t xml:space="preserve">The framing: a pick is a call option on an unknown player.</w:t>
      </w:r>
    </w:p>
    <w:p>
      <w:pPr>
        <w:pStyle w:val="ListParagraph"/>
        <w:numPr>
          <w:ilvl w:val="0"/>
          <w:numId w:val="2"/>
        </w:numPr>
        <w:spacing w:after="60"/>
      </w:pPr>
      <w:r>
        <w:t xml:space="preserve">The linkage chain from pick to professional record, and how the curve is fitted into value buckets.</w:t>
      </w:r>
    </w:p>
    <w:p>
      <w:pPr>
        <w:pStyle w:val="ListParagraph"/>
        <w:numPr>
          <w:ilvl w:val="0"/>
          <w:numId w:val="2"/>
        </w:numPr>
        <w:spacing w:after="60"/>
      </w:pPr>
      <w:r>
        <w:t xml:space="preserve">Rule A, the zero-surplus convention: value is projected production across the ELC window at the market rate less slotted ELC cost, with post-ELC surplus zero by construction. State the convention and its consequence.</w:t>
      </w:r>
    </w:p>
    <w:p>
      <w:pPr>
        <w:pStyle w:val="ListParagraph"/>
        <w:numPr>
          <w:ilvl w:val="0"/>
          <w:numId w:val="2"/>
        </w:numPr>
        <w:spacing w:after="60"/>
      </w:pPr>
      <w:r>
        <w:t xml:space="preserve">The headline curve: $13.65M at pick 1 down to $0.61M at picks 151–224, a pick-1-to-tail ratio of about 22.4.</w:t>
      </w:r>
    </w:p>
    <w:p>
      <w:pPr>
        <w:pStyle w:val="ListParagraph"/>
        <w:numPr>
          <w:ilvl w:val="0"/>
          <w:numId w:val="2"/>
        </w:numPr>
        <w:spacing w:after="60"/>
      </w:pPr>
      <w:r>
        <w:t xml:space="preserve">Why the curve is denominated in the skater rate (§3.2) and therefore had to be rebuilt when that rate changed — a one-line re-point, but a real dependency worth showing.</w:t>
      </w:r>
    </w:p>
    <w:p>
      <w:pPr>
        <w:pStyle w:val="ListParagraph"/>
        <w:numPr>
          <w:ilvl w:val="0"/>
          <w:numId w:val="2"/>
        </w:numPr>
        <w:spacing w:after="60"/>
      </w:pPr>
      <w:r>
        <w:t xml:space="preserve">Bootstrap intervals, 10,000 resamples per bucket, and why they replaced analytic standard errors that assumed a symmetry the data does not have.</w:t>
      </w:r>
    </w:p>
    <w:p>
      <w:pPr>
        <w:pStyle w:val="ListParagraph"/>
        <w:numPr>
          <w:ilvl w:val="0"/>
          <w:numId w:val="2"/>
        </w:numPr>
        <w:spacing w:after="60"/>
      </w:pPr>
      <w:r>
        <w:t xml:space="preserve">The skew that motivates all of the above: past pick 100, seven in ten picks produce nothing and the best 10% carry 62% of the value in the range.</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Precision at the top is weak: eleven cohorts means eleven first-overall picks. Pick 1's interval runs $9.24M–$18.61M. The pick-1-vs-2 gap is $5.29M with an interval of $0.18M–$10.82M — clearing zero, but only just, with a 2.0% chance the ordering reverses on resampling. No claim that pick 1 is worth substantially more than pick 2 should appear without that interval attached.</w:t>
      </w:r>
    </w:p>
    <w:p>
      <w:pPr>
        <w:pStyle w:val="ListParagraph"/>
        <w:numPr>
          <w:ilvl w:val="0"/>
          <w:numId w:val="2"/>
        </w:numPr>
        <w:spacing w:after="60"/>
      </w:pPr>
      <w:r>
        <w:rPr>
          <w:color w:val="C55A11"/>
        </w:rPr>
        <w:t xml:space="preserve">16.3% of the curve's value rests on a name match rather than a shared identifier. No incorrect match has been found; the exposure is stated rather than left implicit.</w:t>
      </w:r>
    </w:p>
    <w:p>
      <w:pPr>
        <w:pStyle w:val="ListParagraph"/>
        <w:numPr>
          <w:ilvl w:val="0"/>
          <w:numId w:val="2"/>
        </w:numPr>
        <w:spacing w:after="60"/>
      </w:pPr>
      <w:r>
        <w:rPr>
          <w:color w:val="C55A11"/>
        </w:rPr>
        <w:t xml:space="preserve">The bands caused a live failure, not a theoretical one: the 51–100 band carries one value across fifty slots, so trade-downs inside it priced at exactly zero. The 151 boundary also splits round 5 across two bands. Fix is a shape-constrained monotone fit; not yet done.</w:t>
      </w:r>
    </w:p>
    <w:p>
      <w:pPr>
        <w:pStyle w:val="ListParagraph"/>
        <w:numPr>
          <w:ilvl w:val="0"/>
          <w:numId w:val="2"/>
        </w:numPr>
        <w:spacing w:after="60"/>
      </w:pPr>
      <w:r>
        <w:rPr>
          <w:color w:val="C55A11"/>
        </w:rPr>
        <w:t xml:space="preserve">Rule A's zero-surplus assumption is not independent of the price equation. If contract length carries genuine market value, successful picks generate second-contract surplus the curve sets to zero, and the top of the curve is understated.</w:t>
      </w:r>
    </w:p>
    <w:p>
      <w:pPr>
        <w:pStyle w:val="ListParagraph"/>
        <w:numPr>
          <w:ilvl w:val="0"/>
          <w:numId w:val="2"/>
        </w:numPr>
        <w:spacing w:after="60"/>
      </w:pPr>
      <w:r>
        <w:rPr>
          <w:color w:val="C55A11"/>
        </w:rPr>
        <w:t xml:space="preserve">A global parametric form was tried and overstated pick 1 by 112%. Recorded so it is not revisited.</w:t>
      </w:r>
    </w:p>
    <w:p>
      <w:pPr>
        <w:pStyle w:val="Heading2"/>
        <w:spacing w:after="120" w:before="280"/>
      </w:pPr>
      <w:r>
        <w:t xml:space="preserve">4.2  Pricing Actual Traded Picks, and the Future-Pick Discount — built and locked</w:t>
      </w:r>
    </w:p>
    <w:p>
      <w:pPr>
        <w:spacing w:after="120"/>
      </w:pPr>
      <w:r>
        <w:rPr>
          <w:b/>
          <w:bCs/>
        </w:rPr>
        <w:t xml:space="preserve">Purpose. </w:t>
      </w:r>
      <w:r>
        <w:t xml:space="preserve">Separates the fitted curve (§4.1) from applying it to real trades, which is unfinished and has one genuine negative finding worth writing up as a finding.</w:t>
      </w:r>
    </w:p>
    <w:p>
      <w:pPr>
        <w:spacing w:after="120"/>
      </w:pPr>
      <w:r>
        <w:rPr>
          <w:b/>
          <w:bCs/>
        </w:rPr>
        <w:t xml:space="preserve">Source material. </w:t>
      </w:r>
      <w:r>
        <w:t xml:space="preserve">01_Draft_Model_Sequence steps 3–5.</w:t>
      </w:r>
    </w:p>
    <w:p>
      <w:pPr>
        <w:pStyle w:val="Heading3"/>
        <w:spacing w:after="80" w:before="200"/>
      </w:pPr>
      <w:r>
        <w:t xml:space="preserve">Must cover</w:t>
      </w:r>
    </w:p>
    <w:p>
      <w:pPr>
        <w:pStyle w:val="ListParagraph"/>
        <w:numPr>
          <w:ilvl w:val="0"/>
          <w:numId w:val="2"/>
        </w:numPr>
        <w:spacing w:after="60"/>
      </w:pPr>
      <w:r>
        <w:t xml:space="preserve">Why pricing a traded pick is not the same as reading the curve: unknown slots, conditional and protected picks, and lottery mechanics.</w:t>
      </w:r>
    </w:p>
    <w:p>
      <w:pPr>
        <w:pStyle w:val="ListParagraph"/>
        <w:numPr>
          <w:ilvl w:val="0"/>
          <w:numId w:val="2"/>
        </w:numPr>
        <w:spacing w:after="60"/>
      </w:pPr>
      <w:r>
        <w:t xml:space="preserve">The unknown-slot problem: a future second traded before its number exists needs a convention. Candidates are a round-mean slot and a standings-conditioned expectation.</w:t>
      </w:r>
    </w:p>
    <w:p>
      <w:pPr>
        <w:pStyle w:val="ListParagraph"/>
        <w:numPr>
          <w:ilvl w:val="0"/>
          <w:numId w:val="2"/>
        </w:numPr>
        <w:spacing w:after="60"/>
      </w:pPr>
      <w:r>
        <w:t xml:space="preserve">The finding, stated as a finding rather than a gap: the pure pick-for-pick sample cannot identify a future-pick discount. 119 trades, 56 cross-year, 39 one-for-one, 35 of those same-round swaps carrying almost no information — leaving 17 bundle trades as the entire estimation sample. This is a market-structure result about what the data can support.</w:t>
      </w:r>
    </w:p>
    <w:p>
      <w:pPr>
        <w:pStyle w:val="ListParagraph"/>
        <w:numPr>
          <w:ilvl w:val="0"/>
          <w:numId w:val="2"/>
        </w:numPr>
        <w:spacing w:after="60"/>
      </w:pPr>
      <w:r>
        <w:t xml:space="preserve">The repeat-sales design as the stronger alternative: 811 distinct picks appear in the trade file, 241 traded more than once, 163 at two or more different horizons. Observing one identical asset priced twice gives the discount factor directly, and holding the asset fixed removes the unknown-slot convention from the comparison.</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The back-filled overall_position field must never be used for ex-ante pricing — it carries a number nobody knew on the trade date. This is the live look-ahead threat specific to this pillar (see §5.1).</w:t>
      </w:r>
    </w:p>
    <w:p>
      <w:pPr>
        <w:pStyle w:val="ListParagraph"/>
        <w:numPr>
          <w:ilvl w:val="0"/>
          <w:numId w:val="2"/>
        </w:numPr>
        <w:spacing w:after="60"/>
      </w:pPr>
      <w:r>
        <w:rPr>
          <w:color w:val="C55A11"/>
        </w:rPr>
        <w:t xml:space="preserve">Double-counting bust risk is the most likely place a reviewer finds a problem: the curve already prices bust probability per slot, so any deferral premium charging bust risk again charges it twice.</w:t>
      </w:r>
    </w:p>
    <w:p>
      <w:pPr>
        <w:pStyle w:val="ListParagraph"/>
        <w:numPr>
          <w:ilvl w:val="0"/>
          <w:numId w:val="2"/>
        </w:numPr>
        <w:spacing w:after="60"/>
      </w:pPr>
      <w:r>
        <w:rPr>
          <w:color w:val="C55A11"/>
        </w:rPr>
        <w:t xml:space="preserve">Repeat-sales is blocked until the prospect pillar (§4.3) exists — only 4 of 163 have all legs inside pure pick trades.</w:t>
      </w:r>
    </w:p>
    <w:p>
      <w:pPr>
        <w:pStyle w:val="Heading2"/>
        <w:spacing w:after="120" w:before="280"/>
      </w:pPr>
      <w:r>
        <w:t xml:space="preserve">4.3  The Prospect Pillar — designed, not built</w:t>
      </w:r>
    </w:p>
    <w:p>
      <w:pPr>
        <w:spacing w:after="120"/>
      </w:pPr>
      <w:r>
        <w:rPr>
          <w:b/>
          <w:bCs/>
        </w:rPr>
        <w:t xml:space="preserve">Purpose. </w:t>
      </w:r>
      <w:r>
        <w:t xml:space="preserve">The last unbuilt pillar and the largest remaining structural risk to the thesis's central claim that three asset classes price onto one currency.</w:t>
      </w:r>
    </w:p>
    <w:p>
      <w:pPr>
        <w:spacing w:after="120"/>
      </w:pPr>
      <w:r>
        <w:rPr>
          <w:b/>
          <w:bCs/>
        </w:rPr>
        <w:t xml:space="preserve">Source material. </w:t>
      </w:r>
      <w:r>
        <w:t xml:space="preserve">02_Prospect_Model_Sequence; nhle_temporal.csv; draft_slot_baseline.csv; ep_extract.py.</w:t>
      </w:r>
    </w:p>
    <w:p>
      <w:pPr>
        <w:pStyle w:val="Heading3"/>
        <w:spacing w:after="80" w:before="200"/>
      </w:pPr>
      <w:r>
        <w:t xml:space="preserve">Must cover</w:t>
      </w:r>
    </w:p>
    <w:p>
      <w:pPr>
        <w:pStyle w:val="ListParagraph"/>
        <w:numPr>
          <w:ilvl w:val="0"/>
          <w:numId w:val="2"/>
        </w:numPr>
        <w:spacing w:after="60"/>
      </w:pPr>
      <w:r>
        <w:t xml:space="preserve">The binding design constraint, stated first: apply the market rate (§3.2), do not fit against it. Estimate in win or probability units and convert to dollars only at the final step, so a later rate change is a re-point rather than a refit.</w:t>
      </w:r>
    </w:p>
    <w:p>
      <w:pPr>
        <w:pStyle w:val="ListParagraph"/>
        <w:numPr>
          <w:ilvl w:val="0"/>
          <w:numId w:val="2"/>
        </w:numPr>
        <w:spacing w:after="60"/>
      </w:pPr>
      <w:r>
        <w:t xml:space="preserve">Era-varying NHLe: why the season-specific coefficient is used and never a pooled one.</w:t>
      </w:r>
    </w:p>
    <w:p>
      <w:pPr>
        <w:pStyle w:val="ListParagraph"/>
        <w:numPr>
          <w:ilvl w:val="0"/>
          <w:numId w:val="2"/>
        </w:numPr>
        <w:spacing w:after="60"/>
      </w:pPr>
      <w:r>
        <w:t xml:space="preserve">The draft-slot prior as the starting point for a prospect with no professional record.</w:t>
      </w:r>
    </w:p>
    <w:p>
      <w:pPr>
        <w:pStyle w:val="ListParagraph"/>
        <w:numPr>
          <w:ilvl w:val="0"/>
          <w:numId w:val="2"/>
        </w:numPr>
        <w:spacing w:after="60"/>
      </w:pPr>
      <w:r>
        <w:t xml:space="preserve">The fading prior — the core machinery: a weight moving from slot prior toward observed production as evidence accumulates. Evidence unit (games is most defensible), fade rate (estimate, do not assume), and whether the prior fades to zero.</w:t>
      </w:r>
    </w:p>
    <w:p>
      <w:pPr>
        <w:pStyle w:val="ListParagraph"/>
        <w:numPr>
          <w:ilvl w:val="0"/>
          <w:numId w:val="2"/>
        </w:numPr>
        <w:spacing w:after="60"/>
      </w:pPr>
      <w:r>
        <w:t xml:space="preserve">Mirroring §4.1's Rule A so the two pillars remain comparable.</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The shared-input problem: the slot baselines feed both this pillar and the draft curve's r=0.893 external validation (§4.1). Once used here, the two are no longer independent. Say so once, explicitly.</w:t>
      </w:r>
    </w:p>
    <w:p>
      <w:pPr>
        <w:pStyle w:val="ListParagraph"/>
        <w:numPr>
          <w:ilvl w:val="0"/>
          <w:numId w:val="2"/>
        </w:numPr>
        <w:spacing w:after="60"/>
      </w:pPr>
      <w:r>
        <w:rPr>
          <w:color w:val="C55A11"/>
        </w:rPr>
        <w:t xml:space="preserve">Circularity risk specific to this pillar: if the fade rate is estimated on outcomes that also feed the valuation, it repeats the problem Phase 4b was built to address (Doc 1). Recover it from held-out prediction.</w:t>
      </w:r>
    </w:p>
    <w:p>
      <w:pPr>
        <w:pStyle w:val="ListParagraph"/>
        <w:numPr>
          <w:ilvl w:val="0"/>
          <w:numId w:val="2"/>
        </w:numPr>
        <w:spacing w:after="60"/>
      </w:pPr>
      <w:r>
        <w:rPr>
          <w:color w:val="C55A11"/>
        </w:rPr>
        <w:t xml:space="preserve">Selection bias with no analogue in the other pillars: which prospects have professional records at all is not random. Players who stay in junior or go to untracked European leagues drop out in a way correlated with quality.</w:t>
      </w:r>
    </w:p>
    <w:p>
      <w:pPr>
        <w:pStyle w:val="ListParagraph"/>
        <w:numPr>
          <w:ilvl w:val="0"/>
          <w:numId w:val="2"/>
        </w:numPr>
        <w:spacing w:after="60"/>
      </w:pPr>
      <w:r>
        <w:rPr>
          <w:color w:val="C55A11"/>
        </w:rPr>
        <w:t xml:space="preserve">The NHLe slug crosswalk was generated but never verified, and everything downstream reads through it.</w:t>
      </w:r>
    </w:p>
    <w:p>
      <w:pPr>
        <w:pStyle w:val="Heading2"/>
        <w:spacing w:after="120" w:before="280"/>
      </w:pPr>
      <w:r>
        <w:t xml:space="preserve">4.4  Salary Retention Pricing — Headline Contribution Two — designed, not built</w:t>
      </w:r>
    </w:p>
    <w:p>
      <w:pPr>
        <w:spacing w:after="120"/>
      </w:pPr>
      <w:r>
        <w:rPr>
          <w:b/>
          <w:bCs/>
        </w:rPr>
        <w:t xml:space="preserve">Purpose. </w:t>
      </w:r>
      <w:r>
        <w:t xml:space="preserve">One of the thesis's two original contributions.</w:t>
      </w:r>
    </w:p>
    <w:p>
      <w:pPr>
        <w:spacing w:after="120"/>
      </w:pPr>
      <w:r>
        <w:rPr>
          <w:b/>
          <w:bCs/>
        </w:rPr>
        <w:t xml:space="preserve">Source material. </w:t>
      </w:r>
      <w:r>
        <w:t xml:space="preserve">Research Brief 3C; roughly 51 three-team facilitator deals.</w:t>
      </w:r>
    </w:p>
    <w:p>
      <w:pPr>
        <w:pStyle w:val="Heading3"/>
        <w:spacing w:after="80" w:before="200"/>
      </w:pPr>
      <w:r>
        <w:t xml:space="preserve">Must cover</w:t>
      </w:r>
    </w:p>
    <w:p>
      <w:pPr>
        <w:pStyle w:val="ListParagraph"/>
        <w:numPr>
          <w:ilvl w:val="0"/>
          <w:numId w:val="2"/>
        </w:numPr>
        <w:spacing w:after="60"/>
      </w:pPr>
      <w:r>
        <w:t xml:space="preserve">What retention is and why it has a price: the CBA permits up to 50% of salary and cap hit, fixed for the contract's life, max three retained contracts per team, aggregate 15% of the upper limit.</w:t>
      </w:r>
    </w:p>
    <w:p>
      <w:pPr>
        <w:pStyle w:val="ListParagraph"/>
        <w:numPr>
          <w:ilvl w:val="0"/>
          <w:numId w:val="2"/>
        </w:numPr>
        <w:spacing w:after="60"/>
      </w:pPr>
      <w:r>
        <w:t xml:space="preserve">Why three-team facilitator deals identify the price: the middle team supplies only cap space, so what it receives is close to a clean read on what retention costs.</w:t>
      </w:r>
    </w:p>
    <w:p>
      <w:pPr>
        <w:pStyle w:val="ListParagraph"/>
        <w:numPr>
          <w:ilvl w:val="0"/>
          <w:numId w:val="2"/>
        </w:numPr>
        <w:spacing w:after="60"/>
      </w:pPr>
      <w:r>
        <w:t xml:space="preserve">The design for recovering that price, and the sample it rests on.</w:t>
      </w:r>
    </w:p>
    <w:p>
      <w:pPr>
        <w:pStyle w:val="ListParagraph"/>
        <w:numPr>
          <w:ilvl w:val="0"/>
          <w:numId w:val="2"/>
        </w:numPr>
        <w:spacing w:after="60"/>
      </w:pPr>
      <w:r>
        <w:t xml:space="preserve">The 2025-26 amendment ending same-transaction double retention, and what it means for the estimable window.</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Self-contained and parallelisable, but not built.</w:t>
      </w:r>
    </w:p>
    <w:p>
      <w:pPr>
        <w:pStyle w:val="ListParagraph"/>
        <w:numPr>
          <w:ilvl w:val="0"/>
          <w:numId w:val="2"/>
        </w:numPr>
        <w:spacing w:after="60"/>
      </w:pPr>
      <w:r>
        <w:rPr>
          <w:color w:val="C55A11"/>
        </w:rPr>
        <w:t xml:space="preserve">Roughly 51 deals is a small sample. Whatever comes out needs an interval, not a point estimate presented as settled.</w:t>
      </w:r>
    </w:p>
    <w:p>
      <w:pPr>
        <w:pStyle w:val="Heading2"/>
        <w:spacing w:after="120" w:before="280"/>
      </w:pPr>
      <w:r>
        <w:t xml:space="preserve">4.5  Trade Clauses and the Friction Cost — Headline Contribution One — designed, not built</w:t>
      </w:r>
    </w:p>
    <w:p>
      <w:pPr>
        <w:spacing w:after="120"/>
      </w:pPr>
      <w:r>
        <w:rPr>
          <w:b/>
          <w:bCs/>
        </w:rPr>
        <w:t xml:space="preserve">Purpose. </w:t>
      </w:r>
      <w:r>
        <w:t xml:space="preserve">The other original contribution, and the only one still data-blocked.</w:t>
      </w:r>
    </w:p>
    <w:p>
      <w:pPr>
        <w:spacing w:after="120"/>
      </w:pPr>
      <w:r>
        <w:rPr>
          <w:b/>
          <w:bCs/>
        </w:rPr>
        <w:t xml:space="preserve">Source material. </w:t>
      </w:r>
      <w:r>
        <w:t xml:space="preserve">Research Brief 3D; capspace_scraper.py output.</w:t>
      </w:r>
    </w:p>
    <w:p>
      <w:pPr>
        <w:pStyle w:val="Heading3"/>
        <w:spacing w:after="80" w:before="200"/>
      </w:pPr>
      <w:r>
        <w:t xml:space="preserve">Must cover</w:t>
      </w:r>
    </w:p>
    <w:p>
      <w:pPr>
        <w:pStyle w:val="ListParagraph"/>
        <w:numPr>
          <w:ilvl w:val="0"/>
          <w:numId w:val="2"/>
        </w:numPr>
        <w:spacing w:after="60"/>
      </w:pPr>
      <w:r>
        <w:t xml:space="preserve">The clause taxonomy: full NTC, modified/limited NTC with allow- or block-lists, and NMC, and how each differs in what it restricts.</w:t>
      </w:r>
    </w:p>
    <w:p>
      <w:pPr>
        <w:pStyle w:val="ListParagraph"/>
        <w:numPr>
          <w:ilvl w:val="0"/>
          <w:numId w:val="2"/>
        </w:numPr>
        <w:spacing w:after="60"/>
      </w:pPr>
      <w:r>
        <w:t xml:space="preserve">Why a clause has a price: it removes the club's outside options, so the acquiring club holds leverage. This is a monopsony argument and should be framed as one.</w:t>
      </w:r>
    </w:p>
    <w:p>
      <w:pPr>
        <w:pStyle w:val="ListParagraph"/>
        <w:numPr>
          <w:ilvl w:val="0"/>
          <w:numId w:val="2"/>
        </w:numPr>
        <w:spacing w:after="60"/>
      </w:pPr>
      <w:r>
        <w:t xml:space="preserve">Prevalence: roughly 100–130 players, 10–15% of the league.</w:t>
      </w:r>
    </w:p>
    <w:p>
      <w:pPr>
        <w:pStyle w:val="ListParagraph"/>
        <w:numPr>
          <w:ilvl w:val="0"/>
          <w:numId w:val="2"/>
        </w:numPr>
        <w:spacing w:after="60"/>
      </w:pPr>
      <w:r>
        <w:t xml:space="preserve">The gap this fills: no peer-reviewed quantification exists. Practitioner estimates suggest 3–8% additional AAV or an extra year, and should be cited as practitioner estimates, not equivalents.</w:t>
      </w:r>
    </w:p>
    <w:p>
      <w:pPr>
        <w:pStyle w:val="ListParagraph"/>
        <w:numPr>
          <w:ilvl w:val="0"/>
          <w:numId w:val="2"/>
        </w:numPr>
        <w:spacing w:after="60"/>
      </w:pPr>
      <w:r>
        <w:t xml:space="preserve">The intended design: measure the residual in an AAV-vs-projected-value model conditioning on clause presence.</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Clause status is attached to every contract-season, but nothing yet supports a revealed-preference estimate of what a clause costs an asset. This is the live blocker on a headline contribution.</w:t>
      </w:r>
    </w:p>
    <w:p>
      <w:pPr>
        <w:pStyle w:val="ListParagraph"/>
        <w:numPr>
          <w:ilvl w:val="0"/>
          <w:numId w:val="2"/>
        </w:numPr>
        <w:spacing w:after="60"/>
      </w:pPr>
      <w:r>
        <w:rPr>
          <w:color w:val="C55A11"/>
        </w:rPr>
        <w:t xml:space="preserve">Forced-trade detection does not exist. An upper bound is known — 53 of 205 clean player-only trades carry a clause-holder flag — but a clause's presence is not proof it caused the move. Needed before monopsony trades can be a back-test category rather than sitting in the residual.</w:t>
      </w:r>
    </w:p>
    <w:p>
      <w:pPr>
        <w:pStyle w:val="ListParagraph"/>
        <w:numPr>
          <w:ilvl w:val="0"/>
          <w:numId w:val="2"/>
        </w:numPr>
        <w:spacing w:after="60"/>
      </w:pPr>
      <w:r>
        <w:rPr>
          <w:color w:val="C55A11"/>
        </w:rPr>
        <w:t xml:space="preserve">The Research Brief flags an error in the eligibility rule that circulated in early scoping (the '7+ accrued AND 4+ years pro' formula is arbitration eligibility, not clause eligibility). Correct rule: Group 3 UFA status, 27+ or 7+ accrued seasons.</w:t>
      </w:r>
    </w:p>
    <w:p>
      <w:pPr>
        <w:pStyle w:val="Heading2"/>
        <w:spacing w:after="120" w:before="280"/>
      </w:pPr>
      <w:r>
        <w:t xml:space="preserve">4.6  The Back-Test Design — designed, not built</w:t>
      </w:r>
    </w:p>
    <w:p>
      <w:pPr>
        <w:spacing w:after="120"/>
      </w:pPr>
      <w:r>
        <w:rPr>
          <w:b/>
          <w:bCs/>
        </w:rPr>
        <w:t xml:space="preserve">Purpose. </w:t>
      </w:r>
      <w:r>
        <w:t xml:space="preserve">The thing everything else exists to enable. Not built, but the design needs to be legible before it is, because its structure determines what the earlier pillars must produce.</w:t>
      </w:r>
    </w:p>
    <w:p>
      <w:pPr>
        <w:spacing w:after="120"/>
      </w:pPr>
      <w:r>
        <w:rPr>
          <w:b/>
          <w:bCs/>
        </w:rPr>
        <w:t xml:space="preserve">Source material. </w:t>
      </w:r>
      <w:r>
        <w:t xml:space="preserve">PROJECT_STATE back-test logic; the efficient-market null.</w:t>
      </w:r>
    </w:p>
    <w:p>
      <w:pPr>
        <w:pStyle w:val="Heading3"/>
        <w:spacing w:after="80" w:before="200"/>
      </w:pPr>
      <w:r>
        <w:t xml:space="preserve">Must cover</w:t>
      </w:r>
    </w:p>
    <w:p>
      <w:pPr>
        <w:pStyle w:val="ListParagraph"/>
        <w:numPr>
          <w:ilvl w:val="0"/>
          <w:numId w:val="2"/>
        </w:numPr>
        <w:spacing w:after="60"/>
      </w:pPr>
      <w:r>
        <w:t xml:space="preserve">The per-trade procedure: NPV of assets sent vs received using only point-in-time information; the differential is the ex-ante prediction.</w:t>
      </w:r>
    </w:p>
    <w:p>
      <w:pPr>
        <w:pStyle w:val="ListParagraph"/>
        <w:numPr>
          <w:ilvl w:val="0"/>
          <w:numId w:val="2"/>
        </w:numPr>
        <w:spacing w:after="60"/>
      </w:pPr>
      <w:r>
        <w:t xml:space="preserve">Why surplus ratios rather than raw dollar differences — robustness to level error in the dollars-per-win rate. This is the same argument as the shared cap-growth assumption in §3.3.</w:t>
      </w:r>
    </w:p>
    <w:p>
      <w:pPr>
        <w:pStyle w:val="ListParagraph"/>
        <w:numPr>
          <w:ilvl w:val="0"/>
          <w:numId w:val="2"/>
        </w:numPr>
        <w:spacing w:after="60"/>
      </w:pPr>
      <w:r>
        <w:t xml:space="preserve">Why realized outcomes are measured with the non-Bacon metric (Doc 1): it is the only yardstick that breaks circularity for systematic claims.</w:t>
      </w:r>
    </w:p>
    <w:p>
      <w:pPr>
        <w:pStyle w:val="ListParagraph"/>
        <w:numPr>
          <w:ilvl w:val="0"/>
          <w:numId w:val="2"/>
        </w:numPr>
        <w:spacing w:after="60"/>
      </w:pPr>
      <w:r>
        <w:t xml:space="preserve">Residual decomposition: genuine mispricing vs team-fit premiums vs private-information rents vs monopsony pricing under clauses.</w:t>
      </w:r>
    </w:p>
    <w:p>
      <w:pPr>
        <w:pStyle w:val="ListParagraph"/>
        <w:numPr>
          <w:ilvl w:val="0"/>
          <w:numId w:val="2"/>
        </w:numPr>
        <w:spacing w:after="60"/>
      </w:pPr>
      <w:r>
        <w:t xml:space="preserve">The efficient-market null stated in advance: the market prices all three classes correctly on average, surplus differences are noise, no systematic pattern by asset class, contract length, age, or competitive position. Stating it before running is what makes a null publishable rather than a failure.</w:t>
      </w:r>
    </w:p>
    <w:p>
      <w:pPr>
        <w:pStyle w:val="ListParagraph"/>
        <w:numPr>
          <w:ilvl w:val="0"/>
          <w:numId w:val="2"/>
        </w:numPr>
        <w:spacing w:after="60"/>
      </w:pPr>
      <w:r>
        <w:t xml:space="preserve">What is priceable today and what is not: 69.1% of the 946 events involve at least one draft pick; the cleanest fully-priceable category is player-only trades at 205 events (21.7%), of which 153 need mid-season allocation.</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The power analysis has not been re-run since the model was mostly unbuilt, so failing to reject cannot yet be read as evidence of efficiency. Prerequisite, not a footnote.</w:t>
      </w:r>
    </w:p>
    <w:p>
      <w:pPr>
        <w:pStyle w:val="ListParagraph"/>
        <w:numPr>
          <w:ilvl w:val="0"/>
          <w:numId w:val="2"/>
        </w:numPr>
        <w:spacing w:after="60"/>
      </w:pPr>
      <w:r>
        <w:rPr>
          <w:color w:val="C55A11"/>
        </w:rPr>
        <w:t xml:space="preserve">Selection bias is structural: trades occur only when two clubs agree, so the counterfactual is unobservable. Documented, not solved.</w:t>
      </w:r>
    </w:p>
    <w:p>
      <w:pPr>
        <w:pBdr>
          <w:bottom w:val="single" w:color="AAAAAA" w:sz="6" w:space="4"/>
        </w:pBdr>
        <w:spacing w:after="240"/>
      </w:pPr>
    </w:p>
    <w:p>
      <w:pPr>
        <w:pStyle w:val="Heading1"/>
        <w:spacing w:after="160" w:before="400"/>
      </w:pPr>
      <w:r>
        <w:t xml:space="preserve">Doc 5 — Cross-Cutting — Identification, Findings, Verification, and Bias</w:t>
      </w:r>
    </w:p>
    <w:p>
      <w:pPr>
        <w:spacing w:after="160"/>
      </w:pPr>
      <w:r>
        <w:rPr>
          <w:b w:val="false"/>
          <w:bCs w:val="false"/>
          <w:i/>
          <w:iCs/>
        </w:rPr>
        <w:t xml:space="preserve">Synthesis. Each section pulls together material already written in Docs 1–4 rather than introducing new results — written last for exactly that reason.</w:t>
      </w:r>
    </w:p>
    <w:p>
      <w:pPr>
        <w:pStyle w:val="Heading2"/>
        <w:spacing w:after="120" w:before="280"/>
      </w:pPr>
      <w:r>
        <w:t xml:space="preserve">5.1  Identification Threats — Look-Ahead and Selection</w:t>
      </w:r>
    </w:p>
    <w:p>
      <w:pPr>
        <w:spacing w:after="120"/>
      </w:pPr>
      <w:r>
        <w:rPr>
          <w:b/>
          <w:bCs/>
        </w:rPr>
        <w:t xml:space="preserve">Purpose. </w:t>
      </w:r>
      <w:r>
        <w:t xml:space="preserve">The standing lens for this reader. Better as one section than scattered across the whole plan.</w:t>
      </w:r>
    </w:p>
    <w:p>
      <w:pPr>
        <w:spacing w:after="120"/>
      </w:pPr>
      <w:r>
        <w:rPr>
          <w:b/>
          <w:bCs/>
        </w:rPr>
        <w:t xml:space="preserve">Source material. </w:t>
      </w:r>
      <w:r>
        <w:t xml:space="preserve">Status Report Section 5; the split-sample stability check.</w:t>
      </w:r>
    </w:p>
    <w:p>
      <w:pPr>
        <w:pStyle w:val="Heading3"/>
        <w:spacing w:after="80" w:before="200"/>
      </w:pPr>
      <w:r>
        <w:t xml:space="preserve">Must cover</w:t>
      </w:r>
    </w:p>
    <w:p>
      <w:pPr>
        <w:pStyle w:val="ListParagraph"/>
        <w:numPr>
          <w:ilvl w:val="0"/>
          <w:numId w:val="2"/>
        </w:numPr>
        <w:spacing w:after="60"/>
      </w:pPr>
      <w:r>
        <w:t xml:space="preserve">The trailing-only rule stated as the core defence, before the exception.</w:t>
      </w:r>
    </w:p>
    <w:p>
      <w:pPr>
        <w:pStyle w:val="ListParagraph"/>
        <w:numPr>
          <w:ilvl w:val="0"/>
          <w:numId w:val="2"/>
        </w:numPr>
        <w:spacing w:after="60"/>
      </w:pPr>
      <w:r>
        <w:t xml:space="preserve">The one documented exception: the comparable pool and the aging curve are each fit once on the full panel. No individual player's future reaches his own valuation; what crosses the line is a population regularity.</w:t>
      </w:r>
    </w:p>
    <w:p>
      <w:pPr>
        <w:pStyle w:val="ListParagraph"/>
        <w:numPr>
          <w:ilvl w:val="0"/>
          <w:numId w:val="2"/>
        </w:numPr>
        <w:spacing w:after="60"/>
      </w:pPr>
      <w:r>
        <w:t xml:space="preserve">The test actually run against it: aging curve fit separately on 2007-08–2015 and 2016–2025. Across 16 ages, forwards differ at 0 of 16 and defencemen at 1 of 16, against roughly 1.6 expected by chance. Stability tested rather than asserted.</w:t>
      </w:r>
    </w:p>
    <w:p>
      <w:pPr>
        <w:pStyle w:val="ListParagraph"/>
        <w:numPr>
          <w:ilvl w:val="0"/>
          <w:numId w:val="2"/>
        </w:numPr>
        <w:spacing w:after="60"/>
      </w:pPr>
      <w:r>
        <w:t xml:space="preserve">The same treatment for the market rate (§3.2) and the retirement-risk table (§2.4) — structural league-wide parameters fit once and applied backward.</w:t>
      </w:r>
    </w:p>
    <w:p>
      <w:pPr>
        <w:pStyle w:val="ListParagraph"/>
        <w:numPr>
          <w:ilvl w:val="0"/>
          <w:numId w:val="2"/>
        </w:numPr>
        <w:spacing w:after="60"/>
      </w:pPr>
      <w:r>
        <w:t xml:space="preserve">The pillar-specific look-ahead threats gathered in one place: the back-filled pick position (§4.2), NHLe coefficients and slot baselines as current-vintage estimates applied to historical decisions (§4.3).</w:t>
      </w:r>
    </w:p>
    <w:p>
      <w:pPr>
        <w:pStyle w:val="ListParagraph"/>
        <w:numPr>
          <w:ilvl w:val="0"/>
          <w:numId w:val="2"/>
        </w:numPr>
        <w:spacing w:after="60"/>
      </w:pPr>
      <w:r>
        <w:t xml:space="preserve">Selection bias, structural and unsolvable, plus the pillar-specific variant in prospects (§4.3).</w:t>
      </w:r>
    </w:p>
    <w:p>
      <w:pPr>
        <w:pStyle w:val="ListParagraph"/>
        <w:numPr>
          <w:ilvl w:val="0"/>
          <w:numId w:val="2"/>
        </w:numPr>
        <w:spacing w:after="60"/>
      </w:pPr>
      <w:r>
        <w:t xml:space="preserve">An index pointing to which section carries each mechanism, so this one does not repeat them.</w:t>
      </w:r>
    </w:p>
    <w:p>
      <w:pPr>
        <w:pStyle w:val="Heading2"/>
        <w:spacing w:after="120" w:before="280"/>
      </w:pPr>
      <w:r>
        <w:t xml:space="preserve">5.2  The Findings That Are Findings, Not Bugs</w:t>
      </w:r>
    </w:p>
    <w:p>
      <w:pPr>
        <w:spacing w:after="120"/>
      </w:pPr>
      <w:r>
        <w:rPr>
          <w:b/>
          <w:bCs/>
        </w:rPr>
        <w:t xml:space="preserve">Purpose. </w:t>
      </w:r>
      <w:r>
        <w:t xml:space="preserve">Three results that look like model failures and are not. Grouping them makes the shared logic visible: each survived correction attempts, which is what turns an anomaly into a result.</w:t>
      </w:r>
    </w:p>
    <w:p>
      <w:pPr>
        <w:spacing w:after="120"/>
      </w:pPr>
      <w:r>
        <w:rPr>
          <w:b/>
          <w:bCs/>
        </w:rPr>
        <w:t xml:space="preserve">Source material. </w:t>
      </w:r>
      <w:r>
        <w:t xml:space="preserve">Status Report Section 6; 03_Player_Market_Model_Sequence items 4–6.</w:t>
      </w:r>
    </w:p>
    <w:p>
      <w:pPr>
        <w:pStyle w:val="Heading3"/>
        <w:spacing w:after="80" w:before="200"/>
      </w:pPr>
      <w:r>
        <w:t xml:space="preserve">Must cover</w:t>
      </w:r>
    </w:p>
    <w:p>
      <w:pPr>
        <w:pStyle w:val="ListParagraph"/>
        <w:numPr>
          <w:ilvl w:val="0"/>
          <w:numId w:val="2"/>
        </w:numPr>
        <w:spacing w:after="60"/>
      </w:pPr>
      <w:r>
        <w:t xml:space="preserve">Ascending young players: 41 contracts, players 23.5 or younger on six-plus-year deals, median NPV near −$20.6M. The two-part diagnostic splits it into under-forecasting (~$6–8M/deal) and a residual market premium (well over $10M/deal). Four mechanical fixes tested under held-out validation; every one degraded out-of-sample accuracy.</w:t>
      </w:r>
    </w:p>
    <w:p>
      <w:pPr>
        <w:pStyle w:val="ListParagraph"/>
        <w:numPr>
          <w:ilvl w:val="0"/>
          <w:numId w:val="2"/>
        </w:numPr>
        <w:spacing w:after="60"/>
      </w:pPr>
      <w:r>
        <w:t xml:space="preserve">The star-by-RFA interaction: RFA and star main effects are both zero (z=0.5, z=0.3); only the interaction fires, at −$1.71M cap share, z=−4.4. The entire top-end price distortion is star RFAs specifically. A 4.5-WAR forward re-signing prices at $11.07M as a UFA vs $9.43M as an RFA — about 14%, or roughly $13M of cap across an eight-year term.</w:t>
      </w:r>
    </w:p>
    <w:p>
      <w:pPr>
        <w:pStyle w:val="ListParagraph"/>
        <w:numPr>
          <w:ilvl w:val="0"/>
          <w:numId w:val="2"/>
        </w:numPr>
        <w:spacing w:after="60"/>
      </w:pPr>
      <w:r>
        <w:t xml:space="preserve">The own-club level premium: +$0.58M, z=5.1, no slope component. Because it is a level shift it is 19% on a $3M player and 6% on a $10M star, so it lands hardest mid-market — a candidate mechanism for clubs getting into cap trouble on mid-tier players, and a distinct finding rather than the same one.</w:t>
      </w:r>
    </w:p>
    <w:p>
      <w:pPr>
        <w:pStyle w:val="ListParagraph"/>
        <w:numPr>
          <w:ilvl w:val="0"/>
          <w:numId w:val="2"/>
        </w:numPr>
        <w:spacing w:after="60"/>
      </w:pPr>
      <w:r>
        <w:t xml:space="preserve">The interpretive split that must survive into any write-up: 'star RFAs are underpaid relative to star UFAs' is a within-market differential and is measurable. 'Stars league-wide are underpaid relative to true value' is a level claim and is not measurable from inside the market, because value is a market prediction and a market-wide depression depresses the prediction too. Do not conflate them.</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The 3.5-WAR star cutoff in this analysis is arbitrary and unswept, and differs from the 3-WAR cutoff used for the exit-hazard quality tiers (§2.4); a 3.0–4.5 sensitivity sweep is owed.</w:t>
      </w:r>
    </w:p>
    <w:p>
      <w:pPr>
        <w:pStyle w:val="ListParagraph"/>
        <w:numPr>
          <w:ilvl w:val="0"/>
          <w:numId w:val="2"/>
        </w:numPr>
        <w:spacing w:after="60"/>
      </w:pPr>
      <w:r>
        <w:rPr>
          <w:color w:val="C55A11"/>
        </w:rPr>
        <w:t xml:space="preserve">The exploratory fit used 2,468 contracts with unprorated anchors and 34 stars total. A refit on the locked 2,349 sample with prorated anchors is required before adoption.</w:t>
      </w:r>
    </w:p>
    <w:p>
      <w:pPr>
        <w:pStyle w:val="ListParagraph"/>
        <w:numPr>
          <w:ilvl w:val="0"/>
          <w:numId w:val="2"/>
        </w:numPr>
        <w:spacing w:after="60"/>
      </w:pPr>
      <w:r>
        <w:rPr>
          <w:color w:val="C55A11"/>
        </w:rPr>
        <w:t xml:space="preserve">Only two open-market star signings exist in the window (2019, 2022). Both priced above the own-club star mean, but n=2 and nothing can rest on it.</w:t>
      </w:r>
    </w:p>
    <w:p>
      <w:pPr>
        <w:pStyle w:val="ListParagraph"/>
        <w:numPr>
          <w:ilvl w:val="0"/>
          <w:numId w:val="2"/>
        </w:numPr>
        <w:spacing w:after="60"/>
      </w:pPr>
      <w:r>
        <w:rPr>
          <w:color w:val="C55A11"/>
        </w:rPr>
        <w:t xml:space="preserve">Long-term deals crossing UFA eligibility have no separate handling. This is very likely the same phenomenon as the young-star finding seen from the other end — a star RFA signing long is buying UFA years at RFA-discounted prices. Open since project start, never actioned.</w:t>
      </w:r>
    </w:p>
    <w:p>
      <w:pPr>
        <w:pStyle w:val="Heading2"/>
        <w:spacing w:after="120" w:before="280"/>
      </w:pPr>
      <w:r>
        <w:t xml:space="preserve">5.3  Verification Discipline and Reproducibility</w:t>
      </w:r>
    </w:p>
    <w:p>
      <w:pPr>
        <w:spacing w:after="120"/>
      </w:pPr>
      <w:r>
        <w:rPr>
          <w:b/>
          <w:bCs/>
        </w:rPr>
        <w:t xml:space="preserve">Purpose. </w:t>
      </w:r>
      <w:r>
        <w:t xml:space="preserve">Methodological credibility. This is the section that shows the project catches its own errors, which is worth more to a sceptical reader than any single result.</w:t>
      </w:r>
    </w:p>
    <w:p>
      <w:pPr>
        <w:spacing w:after="120"/>
      </w:pPr>
      <w:r>
        <w:rPr>
          <w:b/>
          <w:bCs/>
        </w:rPr>
        <w:t xml:space="preserve">Source material. </w:t>
      </w:r>
      <w:r>
        <w:t xml:space="preserve">PROJECT_STATE file-management protocol; the reproduction guards in the value engines.</w:t>
      </w:r>
    </w:p>
    <w:p>
      <w:pPr>
        <w:pStyle w:val="Heading3"/>
        <w:spacing w:after="80" w:before="200"/>
      </w:pPr>
      <w:r>
        <w:t xml:space="preserve">Must cover</w:t>
      </w:r>
    </w:p>
    <w:p>
      <w:pPr>
        <w:pStyle w:val="ListParagraph"/>
        <w:numPr>
          <w:ilvl w:val="0"/>
          <w:numId w:val="2"/>
        </w:numPr>
        <w:spacing w:after="60"/>
      </w:pPr>
      <w:r>
        <w:t xml:space="preserve">The reproduce-before-extending rule and the case that produced it: the locked v2 regression pooled goaltenders into a presented-as-skater-only sample with no mention in its methods. It surfaced only because a reproduction guard was built and run before the numbers were trusted.</w:t>
      </w:r>
    </w:p>
    <w:p>
      <w:pPr>
        <w:pStyle w:val="ListParagraph"/>
        <w:numPr>
          <w:ilvl w:val="0"/>
          <w:numId w:val="2"/>
        </w:numPr>
        <w:spacing w:after="60"/>
      </w:pPr>
      <w:r>
        <w:t xml:space="preserve">How the guards work in practice — the pipeline reproduces its own superseded results first, as proof it has not drifted, before fitting anything current.</w:t>
      </w:r>
    </w:p>
    <w:p>
      <w:pPr>
        <w:pStyle w:val="ListParagraph"/>
        <w:numPr>
          <w:ilvl w:val="0"/>
          <w:numId w:val="2"/>
        </w:numPr>
        <w:spacing w:after="60"/>
      </w:pPr>
      <w:r>
        <w:t xml:space="preserve">Local-first authority, content-hash verification against MANIFEST, and why file size is not an integrity check (the pre- and post-rebuild curve files are both exactly 845 bytes with different contents).</w:t>
      </w:r>
    </w:p>
    <w:p>
      <w:pPr>
        <w:pStyle w:val="ListParagraph"/>
        <w:numPr>
          <w:ilvl w:val="0"/>
          <w:numId w:val="2"/>
        </w:numPr>
        <w:spacing w:after="60"/>
      </w:pPr>
      <w:r>
        <w:t xml:space="preserve">Two-machine reproduction of the contract pricing.</w:t>
      </w:r>
    </w:p>
    <w:p>
      <w:pPr>
        <w:pStyle w:val="Heading3"/>
        <w:spacing w:after="80" w:before="200"/>
      </w:pPr>
      <w:r>
        <w:t xml:space="preserve">Open / untested — must be stated as such</w:t>
      </w:r>
    </w:p>
    <w:p>
      <w:pPr>
        <w:pStyle w:val="ListParagraph"/>
        <w:numPr>
          <w:ilvl w:val="0"/>
          <w:numId w:val="2"/>
        </w:numPr>
        <w:spacing w:after="60"/>
      </w:pPr>
      <w:r>
        <w:rPr>
          <w:color w:val="C55A11"/>
        </w:rPr>
        <w:t xml:space="preserve">A verification gap was on record for the Stage 2–5 changes not being run locally and cross-checked the way Stage 1 was; closed 2026-09-09 with the Stage 2 length-term null test run and confirmed decisive (§3.2's length-term note). State that it was closed by a specific, named run rather than by assertion.</w:t>
      </w:r>
    </w:p>
    <w:p>
      <w:pPr>
        <w:pStyle w:val="Heading2"/>
        <w:spacing w:after="120" w:before="280"/>
      </w:pPr>
      <w:r>
        <w:t xml:space="preserve">5.4  The Bias Register</w:t>
      </w:r>
    </w:p>
    <w:p>
      <w:pPr>
        <w:spacing w:after="120"/>
      </w:pPr>
      <w:r>
        <w:rPr>
          <w:b/>
          <w:bCs/>
        </w:rPr>
        <w:t xml:space="preserve">Purpose. </w:t>
      </w:r>
      <w:r>
        <w:t xml:space="preserve">A single short section listing every known bias with its direction. Direction is what matters — a bias that works against your own finding strengthens it, and that argument is only available if the direction is stated.</w:t>
      </w:r>
    </w:p>
    <w:p>
      <w:pPr>
        <w:spacing w:after="120"/>
      </w:pPr>
      <w:r>
        <w:rPr>
          <w:b/>
          <w:bCs/>
        </w:rPr>
        <w:t xml:space="preserve">Source material. </w:t>
      </w:r>
      <w:r>
        <w:t xml:space="preserve">Model_Review_Resolution 'Recorded biases'; assorted flags across the pillars.</w:t>
      </w:r>
    </w:p>
    <w:p>
      <w:pPr>
        <w:pStyle w:val="Heading3"/>
        <w:spacing w:after="80" w:before="200"/>
      </w:pPr>
      <w:r>
        <w:t xml:space="preserve">Must cover</w:t>
      </w:r>
    </w:p>
    <w:p>
      <w:pPr>
        <w:pStyle w:val="ListParagraph"/>
        <w:numPr>
          <w:ilvl w:val="0"/>
          <w:numId w:val="2"/>
        </w:numPr>
        <w:spacing w:after="60"/>
      </w:pPr>
      <w:r>
        <w:t xml:space="preserve">Zero surplus after the entry-level contract flatters the top of the draft curve (§4.1).</w:t>
      </w:r>
    </w:p>
    <w:p>
      <w:pPr>
        <w:pStyle w:val="ListParagraph"/>
        <w:numPr>
          <w:ilvl w:val="0"/>
          <w:numId w:val="2"/>
        </w:numPr>
        <w:spacing w:after="60"/>
      </w:pPr>
      <w:r>
        <w:t xml:space="preserve">Exit risk is understated for below-replacement players, because the recovery rate is conditional on reappearing (§2.4).</w:t>
      </w:r>
    </w:p>
    <w:p>
      <w:pPr>
        <w:pStyle w:val="ListParagraph"/>
        <w:numPr>
          <w:ilvl w:val="0"/>
          <w:numId w:val="2"/>
        </w:numPr>
        <w:spacing w:after="60"/>
      </w:pPr>
      <w:r>
        <w:t xml:space="preserve">Cap optionality is not priced, which does not flatter long contracts — the direction that matters for the long-contract finding (§3.3).</w:t>
      </w:r>
    </w:p>
    <w:p>
      <w:pPr>
        <w:pStyle w:val="ListParagraph"/>
        <w:numPr>
          <w:ilvl w:val="0"/>
          <w:numId w:val="2"/>
        </w:numPr>
        <w:spacing w:after="60"/>
      </w:pPr>
      <w:r>
        <w:t xml:space="preserve">Positional error of roughly $496,000 per season survives the position term (§3.2).</w:t>
      </w:r>
    </w:p>
    <w:p>
      <w:pPr>
        <w:pStyle w:val="ListParagraph"/>
        <w:numPr>
          <w:ilvl w:val="0"/>
          <w:numId w:val="2"/>
        </w:numPr>
        <w:spacing w:after="60"/>
      </w:pPr>
      <w:r>
        <w:t xml:space="preserve">44.6% of RFA contracts fall back to AAV for the qualifying offer, disabling the CBA's 120% cap in the front-loaded cases it was written for (§3.1).</w:t>
      </w:r>
    </w:p>
    <w:p>
      <w:pPr>
        <w:pStyle w:val="ListParagraph"/>
        <w:numPr>
          <w:ilvl w:val="0"/>
          <w:numId w:val="2"/>
        </w:numPr>
        <w:spacing w:after="60"/>
      </w:pPr>
      <w:r>
        <w:t xml:space="preserve">16.3% of draft-curve value rests on a name match (§4.1).</w:t>
      </w:r>
    </w:p>
    <w:p>
      <w:pPr>
        <w:pStyle w:val="ListParagraph"/>
        <w:numPr>
          <w:ilvl w:val="0"/>
          <w:numId w:val="2"/>
        </w:numPr>
        <w:spacing w:after="60"/>
      </w:pPr>
      <w:r>
        <w:t xml:space="preserve">The aging curve's missing lower guard rail, live on 67 contract-seasons (§2.3).</w:t>
      </w:r>
    </w:p>
    <w:p>
      <w:pPr>
        <w:pStyle w:val="ListParagraph"/>
        <w:numPr>
          <w:ilvl w:val="0"/>
          <w:numId w:val="2"/>
        </w:numPr>
        <w:spacing w:after="60"/>
      </w:pPr>
      <w:r>
        <w:t xml:space="preserve">Goaltenders priced on a different (older) rate than skaters (§3.4).</w:t>
      </w:r>
    </w:p>
    <w:p>
      <w:pPr>
        <w:pStyle w:val="ListParagraph"/>
        <w:numPr>
          <w:ilvl w:val="0"/>
          <w:numId w:val="2"/>
        </w:numPr>
        <w:spacing w:after="60"/>
      </w:pPr>
      <w:r>
        <w:t xml:space="preserve">Each entry states direction, magnitude where known, and whether it helps or hurts the associated finding.</w:t>
      </w:r>
    </w:p>
    <w:p>
      <w:pPr>
        <w:pBdr>
          <w:bottom w:val="single" w:color="AAAAAA" w:sz="6" w:space="4"/>
        </w:pBdr>
        <w:spacing w:after="240"/>
      </w:pPr>
    </w:p>
    <w:p>
      <w:pPr>
        <w:pStyle w:val="Heading1"/>
        <w:spacing w:after="160" w:before="400"/>
      </w:pPr>
      <w:r>
        <w:t xml:space="preserve">Suggested order</w:t>
      </w:r>
    </w:p>
    <w:p>
      <w:pPr>
        <w:spacing w:after="160"/>
      </w:pPr>
      <w:r>
        <w:rPr>
          <w:b w:val="false"/>
          <w:bCs w:val="false"/>
          <w:i w:val="false"/>
          <w:iCs w:val="false"/>
        </w:rPr>
        <w:t xml:space="preserve">Doc 1 first — it is the only explicit outstanding ask. Then Docs 2 and 3, in section order, as the spine of the player pillar, since everything else references them. Doc 4 next: draft the built sections (§4.1–4.2) as soon as Docs 2–3 are done, because the draft pillar is built and its absence from any written account was the largest coverage gap in the original plan; hold the designed-not-built sections (§4.3–4.6) until those components are more settled, since they describe designs that will still change. Doc 5 last in full — §5.1 and §5.4 are cheap once the pillar documents exist, since both are largely assembled from material already written, but §5.2 and §5.3 should still wait until Doc 4 has settled so they don't duplicate material that hasn't stabilized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2026-09-09T16:07:11.707Z</dcterms:created>
  <dcterms:modified xsi:type="dcterms:W3CDTF">2026-09-09T16:07:11.708Z</dcterms:modified>
</cp:coreProperties>
</file>

<file path=docProps/custom.xml><?xml version="1.0" encoding="utf-8"?>
<Properties xmlns="http://schemas.openxmlformats.org/officeDocument/2006/custom-properties" xmlns:vt="http://schemas.openxmlformats.org/officeDocument/2006/docPropsVTypes"/>
</file>